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jc w:val="center"/>
        <w:rPr>
          <w:rFonts w:hint="eastAsia" w:ascii="等线" w:hAnsi="等线" w:eastAsia="等线"/>
          <w:kern w:val="2"/>
          <w:szCs w:val="21"/>
          <w:lang w:val="en-US"/>
        </w:rPr>
      </w:pP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pPr>
              <w:snapToGrid w:val="0"/>
              <w:spacing w:line="240" w:lineRule="auto"/>
              <w:rPr>
                <w:rFonts w:hint="eastAsia" w:ascii="微软雅黑" w:hAnsi="微软雅黑" w:eastAsia="微软雅黑"/>
                <w:b/>
                <w:spacing w:val="45"/>
                <w:sz w:val="30"/>
                <w:szCs w:val="30"/>
              </w:rPr>
            </w:pPr>
          </w:p>
          <w:p>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0"/>
              </w:rPr>
              <w:t>建筑碳排放报告</w:t>
            </w:r>
            <w:r>
              <w:rPr>
                <w:rFonts w:hint="eastAsia" w:ascii="微软雅黑" w:hAnsi="微软雅黑" w:eastAsia="微软雅黑"/>
                <w:b/>
                <w:spacing w:val="6"/>
                <w:kern w:val="0"/>
                <w:sz w:val="72"/>
                <w:szCs w:val="52"/>
                <w:fitText w:val="7200" w:id="0"/>
              </w:rPr>
              <w:t>书</w:t>
            </w:r>
          </w:p>
          <w:p>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居住建筑</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napToGrid w:val="0"/>
              <w:spacing w:before="312" w:beforeLines="100" w:line="240" w:lineRule="auto"/>
              <w:jc w:val="center"/>
              <w:rPr>
                <w:rFonts w:hint="eastAsia" w:ascii="微软雅黑" w:hAnsi="微软雅黑" w:eastAsia="微软雅黑"/>
                <w:b/>
                <w:sz w:val="36"/>
                <w:szCs w:val="36"/>
              </w:rPr>
            </w:pPr>
            <w:bookmarkStart w:id="1" w:name="项目名称"/>
            <w:bookmarkEnd w:id="1"/>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bookmarkEnd w:id="2"/>
          </w:p>
          <w:p>
            <w:pPr>
              <w:snapToGrid w:val="0"/>
              <w:spacing w:line="240" w:lineRule="auto"/>
              <w:jc w:val="center"/>
              <w:rPr>
                <w:rFonts w:hint="eastAsia" w:ascii="微软雅黑" w:hAnsi="微软雅黑" w:eastAsia="微软雅黑"/>
                <w:b/>
                <w:sz w:val="32"/>
                <w:szCs w:val="5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pPr>
        <w:widowControl w:val="0"/>
        <w:jc w:val="center"/>
        <w:rPr>
          <w:rFonts w:hint="eastAsia" w:ascii="等线" w:hAnsi="等线" w:eastAsia="等线"/>
          <w:kern w:val="2"/>
          <w:szCs w:val="22"/>
          <w:lang w:val="en-US"/>
        </w:rPr>
      </w:pPr>
      <w:r>
        <w:drawing>
          <wp:inline distT="0" distB="0" distL="0" distR="0">
            <wp:extent cx="1009650" cy="10096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云南-普洱-孟连</w:t>
            </w:r>
            <w:bookmarkEnd w:id="4"/>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pPr>
              <w:widowControl w:val="0"/>
              <w:spacing w:line="600" w:lineRule="exact"/>
              <w:jc w:val="center"/>
              <w:rPr>
                <w:rFonts w:hint="default" w:ascii="微软雅黑" w:hAnsi="微软雅黑" w:eastAsia="微软雅黑"/>
                <w:kern w:val="2"/>
                <w:sz w:val="24"/>
                <w:szCs w:val="24"/>
                <w:lang w:val="en-US" w:eastAsia="zh-CN"/>
              </w:rPr>
            </w:pPr>
            <w:bookmarkStart w:id="5" w:name="建设单位"/>
            <w:bookmarkEnd w:id="5"/>
            <w:r>
              <w:rPr>
                <w:rFonts w:hint="eastAsia" w:ascii="微软雅黑" w:hAnsi="微软雅黑" w:eastAsia="微软雅黑"/>
                <w:kern w:val="2"/>
                <w:sz w:val="24"/>
                <w:szCs w:val="24"/>
                <w:lang w:val="en-US" w:eastAsia="zh-CN"/>
              </w:rPr>
              <w:t>普洱学院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pPr>
              <w:widowControl w:val="0"/>
              <w:spacing w:line="600" w:lineRule="exact"/>
              <w:jc w:val="center"/>
              <w:rPr>
                <w:rFonts w:hint="default" w:ascii="微软雅黑" w:hAnsi="微软雅黑" w:eastAsia="微软雅黑"/>
                <w:kern w:val="2"/>
                <w:sz w:val="24"/>
                <w:szCs w:val="24"/>
                <w:lang w:val="en-US" w:eastAsia="zh-CN"/>
              </w:rPr>
            </w:pPr>
            <w:bookmarkStart w:id="6" w:name="设计单位"/>
            <w:bookmarkEnd w:id="6"/>
            <w:r>
              <w:rPr>
                <w:rFonts w:hint="eastAsia" w:ascii="微软雅黑" w:hAnsi="微软雅黑" w:eastAsia="微软雅黑"/>
                <w:kern w:val="2"/>
                <w:sz w:val="24"/>
                <w:szCs w:val="24"/>
                <w:lang w:val="en-US" w:eastAsia="zh-CN"/>
              </w:rPr>
              <w:t>理工学院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pPr>
              <w:widowControl w:val="0"/>
              <w:spacing w:line="600" w:lineRule="exact"/>
              <w:jc w:val="center"/>
              <w:rPr>
                <w:rFonts w:hint="default" w:ascii="微软雅黑" w:hAnsi="微软雅黑" w:eastAsia="微软雅黑"/>
                <w:kern w:val="2"/>
                <w:sz w:val="24"/>
                <w:szCs w:val="24"/>
                <w:lang w:val="en-US" w:eastAsia="zh-CN"/>
              </w:rPr>
            </w:pPr>
            <w:r>
              <w:rPr>
                <w:rFonts w:hint="eastAsia" w:ascii="微软雅黑" w:hAnsi="微软雅黑" w:eastAsia="微软雅黑"/>
                <w:kern w:val="2"/>
                <w:sz w:val="24"/>
                <w:szCs w:val="24"/>
                <w:lang w:val="en-US" w:eastAsia="zh-CN"/>
              </w:rPr>
              <w:t>杨格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pPr>
              <w:widowControl w:val="0"/>
              <w:spacing w:line="600" w:lineRule="exact"/>
              <w:jc w:val="center"/>
              <w:rPr>
                <w:rFonts w:hint="eastAsia" w:ascii="微软雅黑" w:hAnsi="微软雅黑" w:eastAsia="微软雅黑"/>
                <w:kern w:val="2"/>
                <w:sz w:val="24"/>
                <w:szCs w:val="24"/>
                <w:lang w:val="en-US" w:eastAsia="zh-CN"/>
              </w:rPr>
            </w:pPr>
            <w:r>
              <w:rPr>
                <w:rFonts w:hint="eastAsia" w:ascii="微软雅黑" w:hAnsi="微软雅黑" w:eastAsia="微软雅黑"/>
                <w:kern w:val="2"/>
                <w:sz w:val="24"/>
                <w:szCs w:val="24"/>
                <w:lang w:val="en-US" w:eastAsia="zh-CN"/>
              </w:rPr>
              <w:t>兰花艳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pPr>
              <w:widowControl w:val="0"/>
              <w:spacing w:line="600" w:lineRule="exact"/>
              <w:jc w:val="center"/>
              <w:rPr>
                <w:rFonts w:hint="eastAsia" w:ascii="微软雅黑" w:hAnsi="微软雅黑" w:eastAsia="微软雅黑"/>
                <w:kern w:val="2"/>
                <w:sz w:val="24"/>
                <w:szCs w:val="24"/>
                <w:lang w:val="en-US" w:eastAsia="zh-CN"/>
              </w:rPr>
            </w:pPr>
            <w:r>
              <w:rPr>
                <w:rFonts w:hint="eastAsia" w:ascii="微软雅黑" w:hAnsi="微软雅黑" w:eastAsia="微软雅黑"/>
                <w:kern w:val="2"/>
                <w:sz w:val="24"/>
                <w:szCs w:val="24"/>
                <w:lang w:val="en-US" w:eastAsia="zh-CN"/>
              </w:rPr>
              <w:t>兰花艳</w:t>
            </w:r>
            <w:bookmarkStart w:id="116" w:name="_GoBack"/>
            <w:bookmarkEnd w:id="116"/>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2026年3月28日</w:t>
            </w:r>
            <w:bookmarkEnd w:id="7"/>
          </w:p>
        </w:tc>
      </w:tr>
    </w:tbl>
    <w:p>
      <w:pPr>
        <w:widowControl w:val="0"/>
        <w:jc w:val="both"/>
        <w:rPr>
          <w:rFonts w:hint="eastAsia" w:ascii="等线" w:hAnsi="等线" w:eastAsia="等线"/>
          <w:kern w:val="2"/>
          <w:szCs w:val="22"/>
          <w:lang w:val="en-US"/>
        </w:rPr>
      </w:pPr>
    </w:p>
    <w:p>
      <w:pPr>
        <w:widowControl w:val="0"/>
        <w:jc w:val="both"/>
        <w:rPr>
          <w:rFonts w:hint="eastAsia" w:ascii="等线" w:hAnsi="等线" w:eastAsia="等线"/>
          <w:kern w:val="2"/>
          <w:szCs w:val="22"/>
          <w:lang w:val="en-US"/>
        </w:rPr>
      </w:pPr>
    </w:p>
    <w:p>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pPr>
              <w:spacing w:line="180" w:lineRule="exact"/>
              <w:rPr>
                <w:rFonts w:hint="eastAsia" w:ascii="等线" w:hAnsi="等线" w:eastAsia="等线"/>
                <w:color w:val="767171"/>
                <w:kern w:val="2"/>
                <w:szCs w:val="22"/>
                <w:lang w:val="en-US"/>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T18895987967</w:t>
            </w:r>
            <w:bookmarkEnd w:id="10"/>
          </w:p>
        </w:tc>
        <w:tc>
          <w:tcPr>
            <w:tcW w:w="3958" w:type="dxa"/>
            <w:vMerge w:val="continue"/>
          </w:tcPr>
          <w:p>
            <w:pPr>
              <w:spacing w:line="180" w:lineRule="exact"/>
              <w:rPr>
                <w:rFonts w:hint="eastAsia" w:ascii="等线" w:hAnsi="等线" w:eastAsia="等线"/>
                <w:color w:val="767171"/>
                <w:kern w:val="2"/>
                <w:szCs w:val="22"/>
                <w:lang w:val="en-US"/>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pPr>
              <w:spacing w:line="180" w:lineRule="exact"/>
              <w:rPr>
                <w:rFonts w:hint="eastAsia" w:ascii="等线" w:hAnsi="等线" w:eastAsia="等线"/>
                <w:color w:val="767171"/>
                <w:kern w:val="2"/>
                <w:szCs w:val="22"/>
                <w:lang w:val="en-US"/>
              </w:rPr>
            </w:pPr>
          </w:p>
        </w:tc>
      </w:tr>
    </w:tbl>
    <w:p>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hint="eastAsia" w:ascii="宋体" w:hAnsi="宋体"/>
          <w:szCs w:val="20"/>
        </w:rPr>
      </w:pPr>
    </w:p>
    <w:p>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_Toc19445 </w:instrText>
      </w:r>
      <w:r>
        <w:rPr>
          <w:rFonts w:ascii="宋体" w:hAnsi="宋体"/>
          <w:bCs w:val="0"/>
          <w:caps/>
        </w:rPr>
        <w:fldChar w:fldCharType="separate"/>
      </w:r>
      <w:r>
        <w:rPr>
          <w:rFonts w:hint="eastAsia"/>
        </w:rPr>
        <w:t>1 建筑概况</w:t>
      </w:r>
      <w:r>
        <w:tab/>
      </w:r>
      <w:r>
        <w:fldChar w:fldCharType="begin"/>
      </w:r>
      <w:r>
        <w:instrText xml:space="preserve"> PAGEREF _Toc19445 \h </w:instrText>
      </w:r>
      <w:r>
        <w:fldChar w:fldCharType="separate"/>
      </w:r>
      <w:r>
        <w:t>4</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fldChar w:fldCharType="begin"/>
      </w:r>
      <w:r>
        <w:instrText xml:space="preserve"> HYPERLINK \l _Toc18948 </w:instrText>
      </w:r>
      <w:r>
        <w:fldChar w:fldCharType="separate"/>
      </w:r>
      <w:r>
        <w:rPr>
          <w:rFonts w:hint="eastAsia"/>
        </w:rPr>
        <w:t>2 标准依据</w:t>
      </w:r>
      <w:r>
        <w:tab/>
      </w:r>
      <w:r>
        <w:fldChar w:fldCharType="begin"/>
      </w:r>
      <w:r>
        <w:instrText xml:space="preserve"> PAGEREF _Toc18948 \h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_Toc28822 </w:instrText>
      </w:r>
      <w:r>
        <w:fldChar w:fldCharType="separate"/>
      </w:r>
      <w:r>
        <w:rPr>
          <w:rFonts w:hint="eastAsia"/>
        </w:rPr>
        <w:t>3 软件介绍</w:t>
      </w:r>
      <w:r>
        <w:tab/>
      </w:r>
      <w:r>
        <w:fldChar w:fldCharType="begin"/>
      </w:r>
      <w:r>
        <w:instrText xml:space="preserve"> PAGEREF _Toc28822 \h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_Toc8145 </w:instrText>
      </w:r>
      <w:r>
        <w:fldChar w:fldCharType="separate"/>
      </w:r>
      <w:r>
        <w:rPr>
          <w:rFonts w:hint="eastAsia"/>
        </w:rPr>
        <w:t>4 气象数据</w:t>
      </w:r>
      <w:r>
        <w:tab/>
      </w:r>
      <w:r>
        <w:fldChar w:fldCharType="begin"/>
      </w:r>
      <w:r>
        <w:instrText xml:space="preserve"> PAGEREF _Toc8145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_Toc22971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_Toc22971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_Toc987 </w:instrText>
      </w:r>
      <w:r>
        <w:fldChar w:fldCharType="separate"/>
      </w:r>
      <w:r>
        <w:rPr>
          <w:rFonts w:hint="eastAsia"/>
          <w:lang w:val="en-GB"/>
        </w:rPr>
        <w:t xml:space="preserve">4.2 </w:t>
      </w:r>
      <w:r>
        <w:rPr>
          <w:rFonts w:hint="eastAsia"/>
        </w:rPr>
        <w:t>逐月辐照量表</w:t>
      </w:r>
      <w:r>
        <w:tab/>
      </w:r>
      <w:r>
        <w:fldChar w:fldCharType="begin"/>
      </w:r>
      <w:r>
        <w:instrText xml:space="preserve"> PAGEREF _Toc987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_Toc12758 </w:instrText>
      </w:r>
      <w:r>
        <w:fldChar w:fldCharType="separate"/>
      </w:r>
      <w:r>
        <w:rPr>
          <w:rFonts w:hint="eastAsia"/>
          <w:lang w:val="en-GB"/>
        </w:rPr>
        <w:t xml:space="preserve">4.3 </w:t>
      </w:r>
      <w:r>
        <w:rPr>
          <w:rFonts w:hint="eastAsia"/>
        </w:rPr>
        <w:t>峰值工况</w:t>
      </w:r>
      <w:r>
        <w:tab/>
      </w:r>
      <w:r>
        <w:fldChar w:fldCharType="begin"/>
      </w:r>
      <w:r>
        <w:instrText xml:space="preserve"> PAGEREF _Toc12758 \h </w:instrText>
      </w:r>
      <w:r>
        <w:fldChar w:fldCharType="separate"/>
      </w:r>
      <w:r>
        <w:t>5</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_Toc18178 </w:instrText>
      </w:r>
      <w:r>
        <w:fldChar w:fldCharType="separate"/>
      </w:r>
      <w:r>
        <w:rPr>
          <w:rFonts w:hint="eastAsia"/>
        </w:rPr>
        <w:t xml:space="preserve">5 </w:t>
      </w:r>
      <w:r>
        <w:t>围护结构</w:t>
      </w:r>
      <w:r>
        <w:tab/>
      </w:r>
      <w:r>
        <w:fldChar w:fldCharType="begin"/>
      </w:r>
      <w:r>
        <w:instrText xml:space="preserve"> PAGEREF _Toc18178 \h </w:instrText>
      </w:r>
      <w:r>
        <w:fldChar w:fldCharType="separate"/>
      </w:r>
      <w:r>
        <w:t>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_Toc32149 </w:instrText>
      </w:r>
      <w:r>
        <w:fldChar w:fldCharType="separate"/>
      </w:r>
      <w:r>
        <w:rPr>
          <w:rFonts w:hint="eastAsia"/>
          <w:lang w:val="en-GB"/>
        </w:rPr>
        <w:t xml:space="preserve">5.1 </w:t>
      </w:r>
      <w:r>
        <w:t>工程材料</w:t>
      </w:r>
      <w:r>
        <w:tab/>
      </w:r>
      <w:r>
        <w:fldChar w:fldCharType="begin"/>
      </w:r>
      <w:r>
        <w:instrText xml:space="preserve"> PAGEREF _Toc32149 \h </w:instrText>
      </w:r>
      <w:r>
        <w:fldChar w:fldCharType="separate"/>
      </w:r>
      <w:r>
        <w:t>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_Toc15689 </w:instrText>
      </w:r>
      <w:r>
        <w:fldChar w:fldCharType="separate"/>
      </w:r>
      <w:r>
        <w:rPr>
          <w:rFonts w:hint="eastAsia"/>
          <w:lang w:val="en-GB"/>
        </w:rPr>
        <w:t xml:space="preserve">5.2 </w:t>
      </w:r>
      <w:r>
        <w:t>围护结构作法简要说明</w:t>
      </w:r>
      <w:r>
        <w:tab/>
      </w:r>
      <w:r>
        <w:fldChar w:fldCharType="begin"/>
      </w:r>
      <w:r>
        <w:instrText xml:space="preserve"> PAGEREF _Toc15689 \h </w:instrText>
      </w:r>
      <w:r>
        <w:fldChar w:fldCharType="separate"/>
      </w:r>
      <w:r>
        <w:t>6</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_Toc17105 </w:instrText>
      </w:r>
      <w:r>
        <w:fldChar w:fldCharType="separate"/>
      </w:r>
      <w:r>
        <w:rPr>
          <w:rFonts w:hint="eastAsia"/>
        </w:rPr>
        <w:t xml:space="preserve">6 </w:t>
      </w:r>
      <w:r>
        <w:t>房间类型</w:t>
      </w:r>
      <w:r>
        <w:tab/>
      </w:r>
      <w:r>
        <w:fldChar w:fldCharType="begin"/>
      </w:r>
      <w:r>
        <w:instrText xml:space="preserve"> PAGEREF _Toc17105 \h </w:instrText>
      </w:r>
      <w:r>
        <w:fldChar w:fldCharType="separate"/>
      </w:r>
      <w:r>
        <w:t>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_Toc22401 </w:instrText>
      </w:r>
      <w:r>
        <w:fldChar w:fldCharType="separate"/>
      </w:r>
      <w:r>
        <w:rPr>
          <w:rFonts w:hint="eastAsia"/>
          <w:lang w:val="en-GB"/>
        </w:rPr>
        <w:t xml:space="preserve">6.1 </w:t>
      </w:r>
      <w:r>
        <w:t>房间参数表</w:t>
      </w:r>
      <w:r>
        <w:tab/>
      </w:r>
      <w:r>
        <w:fldChar w:fldCharType="begin"/>
      </w:r>
      <w:r>
        <w:instrText xml:space="preserve"> PAGEREF _Toc22401 \h </w:instrText>
      </w:r>
      <w:r>
        <w:fldChar w:fldCharType="separate"/>
      </w:r>
      <w:r>
        <w:t>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_Toc4108 </w:instrText>
      </w:r>
      <w:r>
        <w:fldChar w:fldCharType="separate"/>
      </w:r>
      <w:r>
        <w:rPr>
          <w:rFonts w:hint="eastAsia"/>
          <w:lang w:val="en-GB"/>
        </w:rPr>
        <w:t xml:space="preserve">6.2 </w:t>
      </w:r>
      <w:r>
        <w:t>作息时间表</w:t>
      </w:r>
      <w:r>
        <w:tab/>
      </w:r>
      <w:r>
        <w:fldChar w:fldCharType="begin"/>
      </w:r>
      <w:r>
        <w:instrText xml:space="preserve"> PAGEREF _Toc4108 \h </w:instrText>
      </w:r>
      <w:r>
        <w:fldChar w:fldCharType="separate"/>
      </w:r>
      <w:r>
        <w:t>7</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_Toc3913 </w:instrText>
      </w:r>
      <w:r>
        <w:fldChar w:fldCharType="separate"/>
      </w:r>
      <w:r>
        <w:rPr>
          <w:rFonts w:hint="eastAsia"/>
        </w:rPr>
        <w:t xml:space="preserve">7 </w:t>
      </w:r>
      <w:r>
        <w:t>系统类型</w:t>
      </w:r>
      <w:r>
        <w:tab/>
      </w:r>
      <w:r>
        <w:fldChar w:fldCharType="begin"/>
      </w:r>
      <w:r>
        <w:instrText xml:space="preserve"> PAGEREF _Toc3913 \h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_Toc12520 </w:instrText>
      </w:r>
      <w:r>
        <w:fldChar w:fldCharType="separate"/>
      </w:r>
      <w:r>
        <w:rPr>
          <w:rFonts w:hint="eastAsia"/>
          <w:lang w:val="en-GB"/>
        </w:rPr>
        <w:t xml:space="preserve">7.1 </w:t>
      </w:r>
      <w:r>
        <w:t>系统分区</w:t>
      </w:r>
      <w:r>
        <w:tab/>
      </w:r>
      <w:r>
        <w:fldChar w:fldCharType="begin"/>
      </w:r>
      <w:r>
        <w:instrText xml:space="preserve"> PAGEREF _Toc12520 \h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_Toc24632 </w:instrText>
      </w:r>
      <w:r>
        <w:fldChar w:fldCharType="separate"/>
      </w:r>
      <w:r>
        <w:rPr>
          <w:rFonts w:hint="eastAsia"/>
          <w:lang w:val="en-GB"/>
        </w:rPr>
        <w:t xml:space="preserve">7.2 </w:t>
      </w:r>
      <w:r>
        <w:t>热回收参数</w:t>
      </w:r>
      <w:r>
        <w:tab/>
      </w:r>
      <w:r>
        <w:fldChar w:fldCharType="begin"/>
      </w:r>
      <w:r>
        <w:instrText xml:space="preserve"> PAGEREF _Toc24632 \h </w:instrText>
      </w:r>
      <w:r>
        <w:fldChar w:fldCharType="separate"/>
      </w:r>
      <w:r>
        <w:t>7</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_Toc32565 </w:instrText>
      </w:r>
      <w:r>
        <w:fldChar w:fldCharType="separate"/>
      </w:r>
      <w:r>
        <w:rPr>
          <w:rFonts w:hint="eastAsia"/>
        </w:rPr>
        <w:t xml:space="preserve">8 </w:t>
      </w:r>
      <w:r>
        <w:t>制冷系统</w:t>
      </w:r>
      <w:r>
        <w:tab/>
      </w:r>
      <w:r>
        <w:fldChar w:fldCharType="begin"/>
      </w:r>
      <w:r>
        <w:instrText xml:space="preserve"> PAGEREF _Toc32565 \h </w:instrText>
      </w:r>
      <w:r>
        <w:fldChar w:fldCharType="separate"/>
      </w:r>
      <w:r>
        <w:t>7</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_Toc7975 </w:instrText>
      </w:r>
      <w:r>
        <w:fldChar w:fldCharType="separate"/>
      </w:r>
      <w:r>
        <w:rPr>
          <w:rFonts w:hint="eastAsia"/>
        </w:rPr>
        <w:t xml:space="preserve">9 </w:t>
      </w:r>
      <w:r>
        <w:t>空调风机</w:t>
      </w:r>
      <w:r>
        <w:tab/>
      </w:r>
      <w:r>
        <w:fldChar w:fldCharType="begin"/>
      </w:r>
      <w:r>
        <w:instrText xml:space="preserve"> PAGEREF _Toc7975 \h </w:instrText>
      </w:r>
      <w:r>
        <w:fldChar w:fldCharType="separate"/>
      </w:r>
      <w:r>
        <w:t>7</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_Toc32135 </w:instrText>
      </w:r>
      <w:r>
        <w:fldChar w:fldCharType="separate"/>
      </w:r>
      <w:r>
        <w:rPr>
          <w:rFonts w:hint="eastAsia"/>
        </w:rPr>
        <w:t xml:space="preserve">10 </w:t>
      </w:r>
      <w:r>
        <w:t>照明</w:t>
      </w:r>
      <w:r>
        <w:tab/>
      </w:r>
      <w:r>
        <w:fldChar w:fldCharType="begin"/>
      </w:r>
      <w:r>
        <w:instrText xml:space="preserve"> PAGEREF _Toc32135 \h </w:instrText>
      </w:r>
      <w:r>
        <w:fldChar w:fldCharType="separate"/>
      </w:r>
      <w:r>
        <w:t>7</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_Toc18675 </w:instrText>
      </w:r>
      <w:r>
        <w:fldChar w:fldCharType="separate"/>
      </w:r>
      <w:r>
        <w:rPr>
          <w:rFonts w:hint="eastAsia"/>
        </w:rPr>
        <w:t xml:space="preserve">11 </w:t>
      </w:r>
      <w:r>
        <w:t>插座设备</w:t>
      </w:r>
      <w:r>
        <w:tab/>
      </w:r>
      <w:r>
        <w:fldChar w:fldCharType="begin"/>
      </w:r>
      <w:r>
        <w:instrText xml:space="preserve"> PAGEREF _Toc18675 \h </w:instrText>
      </w:r>
      <w:r>
        <w:fldChar w:fldCharType="separate"/>
      </w:r>
      <w:r>
        <w:t>7</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_Toc3962 </w:instrText>
      </w:r>
      <w:r>
        <w:fldChar w:fldCharType="separate"/>
      </w:r>
      <w:r>
        <w:rPr>
          <w:rFonts w:hint="eastAsia"/>
        </w:rPr>
        <w:t xml:space="preserve">12 </w:t>
      </w:r>
      <w:r>
        <w:t>生活热水</w:t>
      </w:r>
      <w:r>
        <w:tab/>
      </w:r>
      <w:r>
        <w:fldChar w:fldCharType="begin"/>
      </w:r>
      <w:r>
        <w:instrText xml:space="preserve"> PAGEREF _Toc3962 \h </w:instrText>
      </w:r>
      <w:r>
        <w:fldChar w:fldCharType="separate"/>
      </w:r>
      <w:r>
        <w:t>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_Toc27700 </w:instrText>
      </w:r>
      <w:r>
        <w:fldChar w:fldCharType="separate"/>
      </w:r>
      <w:r>
        <w:rPr>
          <w:rFonts w:hint="eastAsia"/>
          <w:lang w:val="en-GB"/>
        </w:rPr>
        <w:t xml:space="preserve">12.1 </w:t>
      </w:r>
      <w:r>
        <w:t>热水需求</w:t>
      </w:r>
      <w:r>
        <w:tab/>
      </w:r>
      <w:r>
        <w:fldChar w:fldCharType="begin"/>
      </w:r>
      <w:r>
        <w:instrText xml:space="preserve"> PAGEREF _Toc27700 \h </w:instrText>
      </w:r>
      <w:r>
        <w:fldChar w:fldCharType="separate"/>
      </w:r>
      <w:r>
        <w:t>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_Toc1287 </w:instrText>
      </w:r>
      <w:r>
        <w:fldChar w:fldCharType="separate"/>
      </w:r>
      <w:r>
        <w:rPr>
          <w:rFonts w:hint="eastAsia"/>
          <w:lang w:val="en-GB"/>
        </w:rPr>
        <w:t xml:space="preserve">12.2 </w:t>
      </w:r>
      <w:r>
        <w:t>太阳能集热</w:t>
      </w:r>
      <w:r>
        <w:tab/>
      </w:r>
      <w:r>
        <w:fldChar w:fldCharType="begin"/>
      </w:r>
      <w:r>
        <w:instrText xml:space="preserve"> PAGEREF _Toc1287 \h </w:instrText>
      </w:r>
      <w:r>
        <w:fldChar w:fldCharType="separate"/>
      </w:r>
      <w:r>
        <w:t>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_Toc11703 </w:instrText>
      </w:r>
      <w:r>
        <w:fldChar w:fldCharType="separate"/>
      </w:r>
      <w:r>
        <w:rPr>
          <w:rFonts w:hint="eastAsia"/>
          <w:lang w:val="en-GB"/>
        </w:rPr>
        <w:t xml:space="preserve">12.3 </w:t>
      </w:r>
      <w:r>
        <w:t>热水设备</w:t>
      </w:r>
      <w:r>
        <w:tab/>
      </w:r>
      <w:r>
        <w:fldChar w:fldCharType="begin"/>
      </w:r>
      <w:r>
        <w:instrText xml:space="preserve"> PAGEREF _Toc11703 \h </w:instrText>
      </w:r>
      <w:r>
        <w:fldChar w:fldCharType="separate"/>
      </w:r>
      <w:r>
        <w:t>8</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_Toc6556 </w:instrText>
      </w:r>
      <w:r>
        <w:fldChar w:fldCharType="separate"/>
      </w:r>
      <w:r>
        <w:rPr>
          <w:rFonts w:hint="eastAsia"/>
        </w:rPr>
        <w:t xml:space="preserve">13 </w:t>
      </w:r>
      <w:r>
        <w:t>光伏发电</w:t>
      </w:r>
      <w:r>
        <w:tab/>
      </w:r>
      <w:r>
        <w:fldChar w:fldCharType="begin"/>
      </w:r>
      <w:r>
        <w:instrText xml:space="preserve"> PAGEREF _Toc6556 \h </w:instrText>
      </w:r>
      <w:r>
        <w:fldChar w:fldCharType="separate"/>
      </w:r>
      <w:r>
        <w:t>8</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_Toc9662 </w:instrText>
      </w:r>
      <w:r>
        <w:fldChar w:fldCharType="separate"/>
      </w:r>
      <w:r>
        <w:rPr>
          <w:rFonts w:hint="eastAsia"/>
        </w:rPr>
        <w:t xml:space="preserve">14 </w:t>
      </w:r>
      <w:r>
        <w:t>计算结果</w:t>
      </w:r>
      <w:r>
        <w:tab/>
      </w:r>
      <w:r>
        <w:fldChar w:fldCharType="begin"/>
      </w:r>
      <w:r>
        <w:instrText xml:space="preserve"> PAGEREF _Toc9662 \h </w:instrText>
      </w:r>
      <w:r>
        <w:fldChar w:fldCharType="separate"/>
      </w:r>
      <w:r>
        <w:t>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_Toc19667 </w:instrText>
      </w:r>
      <w:r>
        <w:fldChar w:fldCharType="separate"/>
      </w:r>
      <w:r>
        <w:rPr>
          <w:rFonts w:hint="eastAsia"/>
          <w:lang w:val="en-GB"/>
        </w:rPr>
        <w:t xml:space="preserve">14.1 </w:t>
      </w:r>
      <w:r>
        <w:t>建材生产运输碳排放</w:t>
      </w:r>
      <w:r>
        <w:tab/>
      </w:r>
      <w:r>
        <w:fldChar w:fldCharType="begin"/>
      </w:r>
      <w:r>
        <w:instrText xml:space="preserve"> PAGEREF _Toc19667 \h </w:instrText>
      </w:r>
      <w:r>
        <w:fldChar w:fldCharType="separate"/>
      </w:r>
      <w:r>
        <w:t>8</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_Toc1110 </w:instrText>
      </w:r>
      <w:r>
        <w:fldChar w:fldCharType="separate"/>
      </w:r>
      <w:r>
        <w:rPr>
          <w:rFonts w:hint="eastAsia" w:eastAsia="宋体"/>
          <w:szCs w:val="24"/>
          <w:lang w:val="en-GB"/>
        </w:rPr>
        <w:t xml:space="preserve">14.1.1 </w:t>
      </w:r>
      <w:r>
        <w:t>建材生产阶段</w:t>
      </w:r>
      <w:r>
        <w:tab/>
      </w:r>
      <w:r>
        <w:fldChar w:fldCharType="begin"/>
      </w:r>
      <w:r>
        <w:instrText xml:space="preserve"> PAGEREF _Toc1110 \h </w:instrText>
      </w:r>
      <w:r>
        <w:fldChar w:fldCharType="separate"/>
      </w:r>
      <w:r>
        <w:t>8</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_Toc27129 </w:instrText>
      </w:r>
      <w:r>
        <w:fldChar w:fldCharType="separate"/>
      </w:r>
      <w:r>
        <w:rPr>
          <w:rFonts w:hint="eastAsia" w:eastAsia="宋体"/>
          <w:szCs w:val="24"/>
          <w:lang w:val="en-GB"/>
        </w:rPr>
        <w:t xml:space="preserve">14.1.2 </w:t>
      </w:r>
      <w:r>
        <w:t>建材运输阶段</w:t>
      </w:r>
      <w:r>
        <w:tab/>
      </w:r>
      <w:r>
        <w:fldChar w:fldCharType="begin"/>
      </w:r>
      <w:r>
        <w:instrText xml:space="preserve"> PAGEREF _Toc27129 \h </w:instrText>
      </w:r>
      <w:r>
        <w:fldChar w:fldCharType="separate"/>
      </w:r>
      <w:r>
        <w:t>9</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_Toc7487 </w:instrText>
      </w:r>
      <w:r>
        <w:fldChar w:fldCharType="separate"/>
      </w:r>
      <w:r>
        <w:rPr>
          <w:rFonts w:hint="eastAsia"/>
          <w:lang w:val="en-GB"/>
        </w:rPr>
        <w:t xml:space="preserve">14.2 </w:t>
      </w:r>
      <w:r>
        <w:t>建筑建造拆除碳排放</w:t>
      </w:r>
      <w:r>
        <w:tab/>
      </w:r>
      <w:r>
        <w:fldChar w:fldCharType="begin"/>
      </w:r>
      <w:r>
        <w:instrText xml:space="preserve"> PAGEREF _Toc7487 \h </w:instrText>
      </w:r>
      <w:r>
        <w:fldChar w:fldCharType="separate"/>
      </w:r>
      <w:r>
        <w:t>9</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_Toc31946 </w:instrText>
      </w:r>
      <w:r>
        <w:fldChar w:fldCharType="separate"/>
      </w:r>
      <w:r>
        <w:rPr>
          <w:rFonts w:hint="eastAsia" w:eastAsia="宋体"/>
          <w:szCs w:val="24"/>
          <w:lang w:val="en-GB"/>
        </w:rPr>
        <w:t xml:space="preserve">14.2.1 </w:t>
      </w:r>
      <w:r>
        <w:t>建筑建造</w:t>
      </w:r>
      <w:r>
        <w:tab/>
      </w:r>
      <w:r>
        <w:fldChar w:fldCharType="begin"/>
      </w:r>
      <w:r>
        <w:instrText xml:space="preserve"> PAGEREF _Toc31946 \h </w:instrText>
      </w:r>
      <w:r>
        <w:fldChar w:fldCharType="separate"/>
      </w:r>
      <w:r>
        <w:t>9</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_Toc16448 </w:instrText>
      </w:r>
      <w:r>
        <w:fldChar w:fldCharType="separate"/>
      </w:r>
      <w:r>
        <w:rPr>
          <w:rFonts w:hint="eastAsia" w:eastAsia="宋体"/>
          <w:szCs w:val="24"/>
          <w:lang w:val="en-GB"/>
        </w:rPr>
        <w:t xml:space="preserve">14.2.2 </w:t>
      </w:r>
      <w:r>
        <w:t>建筑拆除</w:t>
      </w:r>
      <w:r>
        <w:tab/>
      </w:r>
      <w:r>
        <w:fldChar w:fldCharType="begin"/>
      </w:r>
      <w:r>
        <w:instrText xml:space="preserve"> PAGEREF _Toc16448 \h </w:instrText>
      </w:r>
      <w:r>
        <w:fldChar w:fldCharType="separate"/>
      </w:r>
      <w:r>
        <w:t>10</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_Toc9483 </w:instrText>
      </w:r>
      <w:r>
        <w:fldChar w:fldCharType="separate"/>
      </w:r>
      <w:r>
        <w:rPr>
          <w:rFonts w:hint="eastAsia"/>
          <w:lang w:val="en-GB"/>
        </w:rPr>
        <w:t xml:space="preserve">14.3 </w:t>
      </w:r>
      <w:r>
        <w:t>碳汇</w:t>
      </w:r>
      <w:r>
        <w:tab/>
      </w:r>
      <w:r>
        <w:fldChar w:fldCharType="begin"/>
      </w:r>
      <w:r>
        <w:instrText xml:space="preserve"> PAGEREF _Toc9483 \h </w:instrText>
      </w:r>
      <w:r>
        <w:fldChar w:fldCharType="separate"/>
      </w:r>
      <w:r>
        <w:t>10</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_Toc10453 </w:instrText>
      </w:r>
      <w:r>
        <w:fldChar w:fldCharType="separate"/>
      </w:r>
      <w:r>
        <w:rPr>
          <w:rFonts w:hint="eastAsia"/>
          <w:lang w:val="en-GB"/>
        </w:rPr>
        <w:t xml:space="preserve">14.4 </w:t>
      </w:r>
      <w:r>
        <w:t>建筑运行碳排放</w:t>
      </w:r>
      <w:r>
        <w:tab/>
      </w:r>
      <w:r>
        <w:fldChar w:fldCharType="begin"/>
      </w:r>
      <w:r>
        <w:instrText xml:space="preserve"> PAGEREF _Toc10453 \h </w:instrText>
      </w:r>
      <w:r>
        <w:fldChar w:fldCharType="separate"/>
      </w:r>
      <w:r>
        <w:t>10</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_Toc2021 </w:instrText>
      </w:r>
      <w:r>
        <w:fldChar w:fldCharType="separate"/>
      </w:r>
      <w:r>
        <w:rPr>
          <w:rFonts w:hint="eastAsia"/>
          <w:lang w:val="en-GB"/>
        </w:rPr>
        <w:t xml:space="preserve">14.5 </w:t>
      </w:r>
      <w:r>
        <w:t>全生命周期碳排放</w:t>
      </w:r>
      <w:r>
        <w:tab/>
      </w:r>
      <w:r>
        <w:fldChar w:fldCharType="begin"/>
      </w:r>
      <w:r>
        <w:instrText xml:space="preserve"> PAGEREF _Toc2021 \h </w:instrText>
      </w:r>
      <w:r>
        <w:fldChar w:fldCharType="separate"/>
      </w:r>
      <w:r>
        <w:t>11</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_Toc26780 </w:instrText>
      </w:r>
      <w:r>
        <w:fldChar w:fldCharType="separate"/>
      </w:r>
      <w:r>
        <w:rPr>
          <w:rFonts w:hint="eastAsia" w:eastAsia="宋体"/>
          <w:szCs w:val="24"/>
          <w:lang w:val="en-GB"/>
        </w:rPr>
        <w:t xml:space="preserve">14.5.1 </w:t>
      </w:r>
      <w:r>
        <w:t>碳排放强度</w:t>
      </w:r>
      <w:r>
        <w:tab/>
      </w:r>
      <w:r>
        <w:fldChar w:fldCharType="begin"/>
      </w:r>
      <w:r>
        <w:instrText xml:space="preserve"> PAGEREF _Toc26780 \h </w:instrText>
      </w:r>
      <w:r>
        <w:fldChar w:fldCharType="separate"/>
      </w:r>
      <w:r>
        <w:t>11</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_Toc21810 </w:instrText>
      </w:r>
      <w:r>
        <w:fldChar w:fldCharType="separate"/>
      </w:r>
      <w:r>
        <w:rPr>
          <w:rFonts w:hint="eastAsia" w:eastAsia="宋体"/>
          <w:szCs w:val="24"/>
          <w:lang w:val="en-GB"/>
        </w:rPr>
        <w:t xml:space="preserve">14.5.2 </w:t>
      </w:r>
      <w:r>
        <w:t>总碳排放量</w:t>
      </w:r>
      <w:r>
        <w:tab/>
      </w:r>
      <w:r>
        <w:fldChar w:fldCharType="begin"/>
      </w:r>
      <w:r>
        <w:instrText xml:space="preserve"> PAGEREF _Toc21810 \h </w:instrText>
      </w:r>
      <w:r>
        <w:fldChar w:fldCharType="separate"/>
      </w:r>
      <w:r>
        <w:t>11</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_Toc2546 </w:instrText>
      </w:r>
      <w:r>
        <w:fldChar w:fldCharType="separate"/>
      </w:r>
      <w:r>
        <w:rPr>
          <w:rFonts w:hint="eastAsia"/>
        </w:rPr>
        <w:t xml:space="preserve">15 </w:t>
      </w:r>
      <w:r>
        <w:t>附录</w:t>
      </w:r>
      <w:r>
        <w:tab/>
      </w:r>
      <w:r>
        <w:fldChar w:fldCharType="begin"/>
      </w:r>
      <w:r>
        <w:instrText xml:space="preserve"> PAGEREF _Toc2546 \h </w:instrText>
      </w:r>
      <w:r>
        <w:fldChar w:fldCharType="separate"/>
      </w:r>
      <w:r>
        <w:t>13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_Toc18458 </w:instrText>
      </w:r>
      <w:r>
        <w:fldChar w:fldCharType="separate"/>
      </w:r>
      <w:r>
        <w:rPr>
          <w:rFonts w:hint="eastAsia"/>
          <w:lang w:val="en-GB"/>
        </w:rPr>
        <w:t xml:space="preserve">15.1 </w:t>
      </w:r>
      <w:r>
        <w:t>工作日/节假日人员逐时在室率(%)</w:t>
      </w:r>
      <w:r>
        <w:tab/>
      </w:r>
      <w:r>
        <w:fldChar w:fldCharType="begin"/>
      </w:r>
      <w:r>
        <w:instrText xml:space="preserve"> PAGEREF _Toc18458 \h </w:instrText>
      </w:r>
      <w:r>
        <w:fldChar w:fldCharType="separate"/>
      </w:r>
      <w:r>
        <w:t>13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_Toc21655 </w:instrText>
      </w:r>
      <w:r>
        <w:fldChar w:fldCharType="separate"/>
      </w:r>
      <w:r>
        <w:rPr>
          <w:rFonts w:hint="eastAsia"/>
          <w:lang w:val="en-GB"/>
        </w:rPr>
        <w:t xml:space="preserve">15.2 </w:t>
      </w:r>
      <w:r>
        <w:t>工作日/节假日照明开关时间表(%)</w:t>
      </w:r>
      <w:r>
        <w:tab/>
      </w:r>
      <w:r>
        <w:fldChar w:fldCharType="begin"/>
      </w:r>
      <w:r>
        <w:instrText xml:space="preserve"> PAGEREF _Toc21655 \h </w:instrText>
      </w:r>
      <w:r>
        <w:fldChar w:fldCharType="separate"/>
      </w:r>
      <w:r>
        <w:t>13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_Toc1459 </w:instrText>
      </w:r>
      <w:r>
        <w:fldChar w:fldCharType="separate"/>
      </w:r>
      <w:r>
        <w:rPr>
          <w:rFonts w:hint="eastAsia"/>
          <w:lang w:val="en-GB"/>
        </w:rPr>
        <w:t xml:space="preserve">15.3 </w:t>
      </w:r>
      <w:r>
        <w:t>工作日/节假日设备逐时使用率(%)</w:t>
      </w:r>
      <w:r>
        <w:tab/>
      </w:r>
      <w:r>
        <w:fldChar w:fldCharType="begin"/>
      </w:r>
      <w:r>
        <w:instrText xml:space="preserve"> PAGEREF _Toc1459 \h </w:instrText>
      </w:r>
      <w:r>
        <w:fldChar w:fldCharType="separate"/>
      </w:r>
      <w:r>
        <w:t>13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_Toc11349 </w:instrText>
      </w:r>
      <w:r>
        <w:fldChar w:fldCharType="separate"/>
      </w:r>
      <w:r>
        <w:rPr>
          <w:rFonts w:hint="eastAsia"/>
          <w:lang w:val="en-GB"/>
        </w:rPr>
        <w:t xml:space="preserve">15.4 </w:t>
      </w:r>
      <w:r>
        <w:t>工作日/节假日空调系统运行时间表(1:开,0:关)</w:t>
      </w:r>
      <w:r>
        <w:tab/>
      </w:r>
      <w:r>
        <w:fldChar w:fldCharType="begin"/>
      </w:r>
      <w:r>
        <w:instrText xml:space="preserve"> PAGEREF _Toc11349 \h </w:instrText>
      </w:r>
      <w:r>
        <w:fldChar w:fldCharType="separate"/>
      </w:r>
      <w:r>
        <w:t>13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_Toc4480 </w:instrText>
      </w:r>
      <w:r>
        <w:fldChar w:fldCharType="separate"/>
      </w:r>
      <w:r>
        <w:rPr>
          <w:rFonts w:hint="eastAsia"/>
          <w:lang w:val="en-GB"/>
        </w:rPr>
        <w:t xml:space="preserve">15.5 </w:t>
      </w:r>
      <w:r>
        <w:t>工作日/节假日新风运行时间表(%)</w:t>
      </w:r>
      <w:r>
        <w:tab/>
      </w:r>
      <w:r>
        <w:fldChar w:fldCharType="begin"/>
      </w:r>
      <w:r>
        <w:instrText xml:space="preserve"> PAGEREF _Toc4480 \h </w:instrText>
      </w:r>
      <w:r>
        <w:fldChar w:fldCharType="separate"/>
      </w:r>
      <w:r>
        <w:t>14</w:t>
      </w:r>
      <w:r>
        <w:fldChar w:fldCharType="end"/>
      </w:r>
      <w:r>
        <w:fldChar w:fldCharType="end"/>
      </w:r>
    </w:p>
    <w:p>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pPr>
        <w:pStyle w:val="2"/>
      </w:pPr>
      <w:bookmarkStart w:id="11" w:name="_Toc19445"/>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pPr>
              <w:pStyle w:val="3"/>
              <w:ind w:firstLine="0" w:firstLineChars="0"/>
              <w:rPr>
                <w:rFonts w:hint="eastAsia" w:ascii="宋体" w:hAnsi="宋体"/>
                <w:lang w:val="en-US"/>
              </w:rPr>
            </w:pPr>
            <w:bookmarkStart w:id="12" w:name="工程名称"/>
            <w:bookmarkEnd w:id="12"/>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pPr>
              <w:pStyle w:val="3"/>
              <w:ind w:firstLine="0" w:firstLineChars="0"/>
              <w:rPr>
                <w:rFonts w:hint="eastAsia" w:ascii="宋体" w:hAnsi="宋体"/>
                <w:lang w:val="en-US"/>
              </w:rPr>
            </w:pPr>
            <w:bookmarkStart w:id="13" w:name="工程地点"/>
            <w:r>
              <w:t>云南-普洱-孟连</w:t>
            </w:r>
            <w:bookmarkEnd w:id="13"/>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地理位置</w:t>
            </w:r>
          </w:p>
        </w:tc>
        <w:tc>
          <w:tcPr>
            <w:tcW w:w="3032" w:type="dxa"/>
          </w:tcPr>
          <w:p>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24.32</w:t>
            </w:r>
            <w:bookmarkEnd w:id="14"/>
            <w:r>
              <w:rPr>
                <w:rFonts w:hint="eastAsia" w:ascii="宋体" w:hAnsi="宋体"/>
                <w:lang w:val="en-US"/>
              </w:rPr>
              <w:t>°</w:t>
            </w:r>
          </w:p>
        </w:tc>
        <w:tc>
          <w:tcPr>
            <w:tcW w:w="3037" w:type="dxa"/>
          </w:tcPr>
          <w:p>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113.80</w:t>
            </w:r>
            <w:bookmarkEnd w:id="15"/>
            <w:r>
              <w:rPr>
                <w:rFonts w:hint="eastAsia" w:ascii="宋体" w:hAnsi="宋体"/>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pPr>
              <w:pStyle w:val="3"/>
              <w:ind w:firstLine="0" w:firstLineChars="0"/>
              <w:rPr>
                <w:rFonts w:hint="eastAsia" w:ascii="宋体" w:hAnsi="宋体"/>
                <w:lang w:val="en-US"/>
              </w:rPr>
            </w:pPr>
            <w:bookmarkStart w:id="16" w:name="建筑寿命"/>
            <w:r>
              <w:t>50</w:t>
            </w:r>
            <w:bookmarkEnd w:id="16"/>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1726</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4</w:t>
            </w:r>
            <w:bookmarkEnd w:id="19"/>
            <w:r>
              <w:rPr>
                <w:rFonts w:hint="eastAsia" w:ascii="宋体" w:hAnsi="宋体"/>
                <w:lang w:val="en-US"/>
              </w:rPr>
              <w:t xml:space="preserve">          地下</w:t>
            </w:r>
            <w:bookmarkStart w:id="20" w:name="地下建筑层数"/>
            <w:r>
              <w:t>0</w:t>
            </w:r>
            <w:bookmarkEnd w:id="20"/>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13.9</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pPr>
              <w:pStyle w:val="3"/>
              <w:ind w:firstLine="0" w:firstLineChars="0"/>
              <w:rPr>
                <w:rFonts w:hint="eastAsia" w:ascii="宋体" w:hAnsi="宋体"/>
                <w:lang w:val="en-US"/>
              </w:rPr>
            </w:pPr>
            <w:bookmarkStart w:id="23" w:name="建筑体积"/>
            <w:r>
              <w:t>5988.11</w:t>
            </w:r>
            <w:bookmarkEnd w:id="23"/>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pPr>
              <w:pStyle w:val="3"/>
              <w:ind w:firstLine="0" w:firstLineChars="0"/>
              <w:rPr>
                <w:rFonts w:hint="eastAsia" w:ascii="宋体" w:hAnsi="宋体"/>
                <w:lang w:val="en-US"/>
              </w:rPr>
            </w:pPr>
            <w:bookmarkStart w:id="24" w:name="外表面积"/>
            <w:r>
              <w:t>1807.37</w:t>
            </w:r>
            <w:bookmarkEnd w:id="24"/>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pPr>
              <w:pStyle w:val="3"/>
              <w:ind w:firstLine="0" w:firstLineChars="0"/>
              <w:rPr>
                <w:rFonts w:hint="eastAsia" w:ascii="宋体" w:hAnsi="宋体"/>
                <w:lang w:val="en-US"/>
              </w:rPr>
            </w:pPr>
            <w:bookmarkStart w:id="25" w:name="北向角度"/>
            <w:r>
              <w:t>90</w:t>
            </w:r>
            <w:bookmarkEnd w:id="25"/>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pPr>
              <w:pStyle w:val="3"/>
              <w:ind w:firstLine="0" w:firstLineChars="0"/>
              <w:rPr>
                <w:rFonts w:hint="eastAsia" w:ascii="宋体" w:hAnsi="宋体"/>
                <w:lang w:val="en-US"/>
              </w:rPr>
            </w:pPr>
            <w:bookmarkStart w:id="26" w:name="结构类型"/>
            <w:bookmarkEnd w:id="26"/>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rPr>
              <w:t>外墙太阳辐射吸收系数</w:t>
            </w:r>
          </w:p>
        </w:tc>
        <w:tc>
          <w:tcPr>
            <w:tcW w:w="6069" w:type="dxa"/>
            <w:gridSpan w:val="2"/>
          </w:tcPr>
          <w:p>
            <w:pPr>
              <w:pStyle w:val="3"/>
              <w:ind w:firstLine="0" w:firstLineChars="0"/>
              <w:rPr>
                <w:rFonts w:hint="eastAsia" w:ascii="宋体" w:hAnsi="宋体"/>
                <w:lang w:val="en-US"/>
              </w:rPr>
            </w:pPr>
            <w:bookmarkStart w:id="27" w:name="外墙ρ"/>
            <w:r>
              <w:rPr>
                <w:rFonts w:hint="eastAsia"/>
              </w:rPr>
              <w:t>0.29</w:t>
            </w:r>
            <w:bookmarkEnd w:id="27"/>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rPr>
              <w:t>屋顶太阳辐射吸收系数</w:t>
            </w:r>
          </w:p>
        </w:tc>
        <w:tc>
          <w:tcPr>
            <w:tcW w:w="6069" w:type="dxa"/>
            <w:gridSpan w:val="2"/>
          </w:tcPr>
          <w:p>
            <w:pPr>
              <w:pStyle w:val="3"/>
              <w:ind w:firstLine="0" w:firstLineChars="0"/>
              <w:rPr>
                <w:rFonts w:hint="eastAsia" w:ascii="宋体" w:hAnsi="宋体"/>
                <w:lang w:val="en-US"/>
              </w:rPr>
            </w:pPr>
            <w:bookmarkStart w:id="28" w:name="屋顶ρ"/>
            <w:r>
              <w:rPr>
                <w:rFonts w:hint="eastAsia"/>
              </w:rPr>
              <w:t>0.70</w:t>
            </w:r>
            <w:bookmarkEnd w:id="28"/>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pPr>
            <w:r>
              <w:rPr>
                <w:rFonts w:hint="eastAsia"/>
              </w:rPr>
              <w:t>控温期</w:t>
            </w:r>
          </w:p>
        </w:tc>
        <w:tc>
          <w:tcPr>
            <w:tcW w:w="6069" w:type="dxa"/>
            <w:gridSpan w:val="2"/>
          </w:tcPr>
          <w:p>
            <w:pPr>
              <w:pStyle w:val="3"/>
              <w:ind w:firstLine="0" w:firstLineChars="0"/>
            </w:pPr>
            <w:bookmarkStart w:id="29" w:name="控温期"/>
            <w:r>
              <w:t>供冷期:4.1-10.31</w:t>
            </w:r>
            <w:bookmarkEnd w:id="29"/>
          </w:p>
        </w:tc>
      </w:tr>
    </w:tbl>
    <w:p>
      <w:pPr>
        <w:pStyle w:val="3"/>
        <w:ind w:firstLine="0" w:firstLineChars="0"/>
        <w:rPr>
          <w:lang w:val="en-US"/>
        </w:rPr>
      </w:pPr>
    </w:p>
    <w:p>
      <w:pPr>
        <w:pStyle w:val="2"/>
      </w:pPr>
      <w:bookmarkStart w:id="30" w:name="TitleFormat"/>
      <w:bookmarkStart w:id="31" w:name="_Toc18948"/>
      <w:r>
        <w:rPr>
          <w:rFonts w:hint="eastAsia"/>
        </w:rPr>
        <w:t>标准依据</w:t>
      </w:r>
      <w:bookmarkEnd w:id="30"/>
      <w:bookmarkEnd w:id="31"/>
    </w:p>
    <w:p>
      <w:pPr>
        <w:pStyle w:val="3"/>
        <w:ind w:firstLine="0" w:firstLineChars="0"/>
        <w:rPr>
          <w:lang w:val="en-US"/>
        </w:rPr>
      </w:pPr>
      <w:bookmarkStart w:id="32" w:name="计算依据"/>
      <w:bookmarkEnd w:id="32"/>
      <w:r>
        <w:rPr>
          <w:lang w:val="en-US"/>
        </w:rPr>
        <w:t>1. 《绿色建筑评价标准》(GB/T50378-2019)</w:t>
      </w:r>
    </w:p>
    <w:p>
      <w:pPr>
        <w:pStyle w:val="3"/>
        <w:ind w:firstLine="0" w:firstLineChars="0"/>
        <w:rPr>
          <w:lang w:val="en-US"/>
        </w:rPr>
      </w:pPr>
      <w:r>
        <w:rPr>
          <w:lang w:val="en-US"/>
        </w:rPr>
        <w:t>2. 《民用建筑绿色性能计算标准》(JGJ/T 449-2018)</w:t>
      </w:r>
    </w:p>
    <w:p>
      <w:pPr>
        <w:pStyle w:val="3"/>
        <w:ind w:firstLine="0" w:firstLineChars="0"/>
        <w:rPr>
          <w:lang w:val="en-US"/>
        </w:rPr>
      </w:pPr>
      <w:r>
        <w:rPr>
          <w:lang w:val="en-US"/>
        </w:rPr>
        <w:t>3. 《建筑能效标识技术标准》(JGJ/T 288-2012)</w:t>
      </w:r>
    </w:p>
    <w:p>
      <w:pPr>
        <w:pStyle w:val="2"/>
      </w:pPr>
      <w:bookmarkStart w:id="33" w:name="_Toc59787735"/>
      <w:bookmarkStart w:id="34" w:name="_Toc59800596"/>
      <w:bookmarkStart w:id="35" w:name="_Toc58336110"/>
      <w:bookmarkStart w:id="36" w:name="_Toc59802421"/>
      <w:bookmarkStart w:id="37" w:name="_Toc28822"/>
      <w:r>
        <w:rPr>
          <w:rFonts w:hint="eastAsia"/>
        </w:rPr>
        <w:t>软件介绍</w:t>
      </w:r>
      <w:bookmarkEnd w:id="33"/>
      <w:bookmarkEnd w:id="34"/>
      <w:bookmarkEnd w:id="35"/>
      <w:bookmarkEnd w:id="36"/>
      <w:bookmarkEnd w:id="37"/>
    </w:p>
    <w:p>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pPr>
        <w:pStyle w:val="2"/>
      </w:pPr>
      <w:bookmarkStart w:id="39" w:name="_Toc8145"/>
      <w:r>
        <w:rPr>
          <w:rFonts w:hint="eastAsia"/>
        </w:rPr>
        <w:t>气象数据</w:t>
      </w:r>
      <w:bookmarkEnd w:id="39"/>
    </w:p>
    <w:p>
      <w:pPr>
        <w:pStyle w:val="4"/>
      </w:pPr>
      <w:bookmarkStart w:id="40" w:name="_Toc22971"/>
      <w:r>
        <w:rPr>
          <w:rFonts w:hint="eastAsia"/>
        </w:rPr>
        <w:t>逐日干球温度表</w:t>
      </w:r>
      <w:bookmarkEnd w:id="40"/>
    </w:p>
    <w:p>
      <w:pPr>
        <w:pStyle w:val="3"/>
        <w:ind w:firstLine="0" w:firstLineChars="0"/>
        <w:rPr>
          <w:lang w:val="en-US"/>
        </w:rPr>
      </w:pPr>
      <w:bookmarkStart w:id="41" w:name="日均干球温度变化表"/>
      <w:bookmarkEnd w:id="41"/>
      <w:r>
        <w:drawing>
          <wp:inline distT="0" distB="0" distL="0" distR="0">
            <wp:extent cx="5667375" cy="29051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905125"/>
                    </a:xfrm>
                    <a:prstGeom prst="rect">
                      <a:avLst/>
                    </a:prstGeom>
                  </pic:spPr>
                </pic:pic>
              </a:graphicData>
            </a:graphic>
          </wp:inline>
        </w:drawing>
      </w:r>
    </w:p>
    <w:p>
      <w:pPr>
        <w:pStyle w:val="4"/>
      </w:pPr>
      <w:bookmarkStart w:id="42" w:name="_Toc987"/>
      <w:r>
        <w:rPr>
          <w:rFonts w:hint="eastAsia"/>
        </w:rPr>
        <w:t>逐月辐照量表</w:t>
      </w:r>
      <w:bookmarkEnd w:id="42"/>
    </w:p>
    <w:p>
      <w:pPr>
        <w:pStyle w:val="3"/>
        <w:ind w:firstLine="0" w:firstLineChars="0"/>
        <w:rPr>
          <w:lang w:val="en-US"/>
        </w:rPr>
      </w:pPr>
      <w:bookmarkStart w:id="43" w:name="逐月辐照量图表"/>
      <w:bookmarkEnd w:id="43"/>
      <w:r>
        <w:drawing>
          <wp:inline distT="0" distB="0" distL="0" distR="0">
            <wp:extent cx="5667375" cy="26289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28900"/>
                    </a:xfrm>
                    <a:prstGeom prst="rect">
                      <a:avLst/>
                    </a:prstGeom>
                  </pic:spPr>
                </pic:pic>
              </a:graphicData>
            </a:graphic>
          </wp:inline>
        </w:drawing>
      </w:r>
    </w:p>
    <w:p>
      <w:pPr>
        <w:pStyle w:val="4"/>
      </w:pPr>
      <w:bookmarkStart w:id="44" w:name="_Toc12758"/>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气象数据</w:t>
            </w:r>
          </w:p>
        </w:tc>
        <w:tc>
          <w:tcPr>
            <w:shd w:val="clear" w:color="auto" w:fill="E6E6E6"/>
            <w:vAlign w:val="center"/>
          </w:tcPr>
          <w:p>
            <w:pPr>
              <w:jc w:val="center"/>
            </w:pPr>
            <w:r>
              <w:t>时刻</w:t>
            </w:r>
          </w:p>
        </w:tc>
        <w:tc>
          <w:tcPr>
            <w:shd w:val="clear" w:color="auto" w:fill="E6E6E6"/>
            <w:vAlign w:val="center"/>
          </w:tcPr>
          <w:p>
            <w:pPr>
              <w:jc w:val="center"/>
            </w:pPr>
            <w:r>
              <w:t>干球温度(℃)</w:t>
            </w:r>
          </w:p>
        </w:tc>
        <w:tc>
          <w:tcPr>
            <w:shd w:val="clear" w:color="auto" w:fill="E6E6E6"/>
            <w:vAlign w:val="center"/>
          </w:tcPr>
          <w:p>
            <w:pPr>
              <w:jc w:val="center"/>
            </w:pPr>
            <w:r>
              <w:t>湿球温度(℃)</w:t>
            </w:r>
          </w:p>
        </w:tc>
        <w:tc>
          <w:tcPr>
            <w:shd w:val="clear" w:color="auto" w:fill="E6E6E6"/>
            <w:vAlign w:val="center"/>
          </w:tcPr>
          <w:p>
            <w:pPr>
              <w:jc w:val="center"/>
            </w:pPr>
            <w:r>
              <w:t>含湿量(g/kg)</w:t>
            </w:r>
          </w:p>
        </w:tc>
        <w:tc>
          <w:tcPr>
            <w:shd w:val="clear" w:color="auto" w:fill="E6E6E6"/>
            <w:vAlign w:val="center"/>
          </w:tcPr>
          <w:p>
            <w:pPr>
              <w:jc w:val="center"/>
            </w:pPr>
            <w:r>
              <w:t>焓值(kj/kg)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最热</w:t>
            </w:r>
          </w:p>
        </w:tc>
        <w:tc>
          <w:tcPr>
            <w:vAlign w:val="center"/>
          </w:tcPr>
          <w:p>
            <w:r>
              <w:t>05月13日16时</w:t>
            </w:r>
          </w:p>
        </w:tc>
        <w:tc>
          <w:tcPr>
            <w:vAlign w:val="center"/>
          </w:tcPr>
          <w:p>
            <w:r>
              <w:t>32.2</w:t>
            </w:r>
          </w:p>
        </w:tc>
        <w:tc>
          <w:tcPr>
            <w:vAlign w:val="center"/>
          </w:tcPr>
          <w:p>
            <w:r>
              <w:t>16.7</w:t>
            </w:r>
          </w:p>
        </w:tc>
        <w:tc>
          <w:tcPr>
            <w:vAlign w:val="center"/>
          </w:tcPr>
          <w:p>
            <w:r>
              <w:t>7.3</w:t>
            </w:r>
          </w:p>
        </w:tc>
        <w:tc>
          <w:tcPr>
            <w:vAlign w:val="center"/>
          </w:tcPr>
          <w:p>
            <w:r>
              <w:t>51.1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最冷</w:t>
            </w:r>
          </w:p>
        </w:tc>
        <w:tc>
          <w:tcPr>
            <w:vAlign w:val="center"/>
          </w:tcPr>
          <w:p>
            <w:r>
              <w:t>01月03日05时</w:t>
            </w:r>
          </w:p>
        </w:tc>
        <w:tc>
          <w:tcPr>
            <w:vAlign w:val="center"/>
          </w:tcPr>
          <w:p>
            <w:r>
              <w:t>3.3</w:t>
            </w:r>
          </w:p>
        </w:tc>
        <w:tc>
          <w:tcPr>
            <w:vAlign w:val="center"/>
          </w:tcPr>
          <w:p>
            <w:r>
              <w:t>3.3</w:t>
            </w:r>
          </w:p>
        </w:tc>
        <w:tc>
          <w:tcPr>
            <w:vAlign w:val="center"/>
          </w:tcPr>
          <w:p>
            <w:r>
              <w:t>5.5</w:t>
            </w:r>
          </w:p>
        </w:tc>
        <w:tc>
          <w:tcPr>
            <w:vAlign w:val="center"/>
          </w:tcPr>
          <w:p>
            <w:r>
              <w:t>17.1</w:t>
            </w:r>
          </w:p>
        </w:tc>
      </w:tr>
    </w:tbl>
    <w:p>
      <w:pPr>
        <w:pStyle w:val="2"/>
        <w:widowControl w:val="0"/>
        <w:jc w:val="both"/>
      </w:pPr>
      <w:bookmarkStart w:id="45" w:name="气象峰值工况"/>
      <w:bookmarkEnd w:id="45"/>
      <w:bookmarkStart w:id="46" w:name="_Toc18178"/>
      <w:r>
        <w:t>围护结构</w:t>
      </w:r>
      <w:bookmarkEnd w:id="46"/>
    </w:p>
    <w:p>
      <w:pPr>
        <w:pStyle w:val="4"/>
        <w:widowControl w:val="0"/>
        <w:jc w:val="both"/>
      </w:pPr>
      <w:bookmarkStart w:id="47" w:name="_Toc32149"/>
      <w:r>
        <w:t>工程材料</w:t>
      </w:r>
      <w:bookmarkEnd w:id="47"/>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材料名称</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密度</w:t>
            </w:r>
            <w:r>
              <w:br w:type="textWrapping"/>
            </w:r>
            <w:r>
              <w:t>ρ</w:t>
            </w:r>
          </w:p>
        </w:tc>
        <w:tc>
          <w:tcPr>
            <w:shd w:val="clear" w:color="auto" w:fill="E6E6E6"/>
            <w:vAlign w:val="center"/>
          </w:tcPr>
          <w:p>
            <w:pPr>
              <w:jc w:val="center"/>
            </w:pPr>
            <w:r>
              <w:t>比热容</w:t>
            </w:r>
            <w:r>
              <w:br w:type="textWrapping"/>
            </w:r>
            <w:r>
              <w:t>Cp</w:t>
            </w:r>
          </w:p>
        </w:tc>
        <w:tc>
          <w:tcPr>
            <w:shd w:val="clear" w:color="auto" w:fill="E6E6E6"/>
            <w:vAlign w:val="center"/>
          </w:tcPr>
          <w:p>
            <w:pPr>
              <w:jc w:val="center"/>
            </w:pPr>
            <w:r>
              <w:t>蒸汽渗透</w:t>
            </w:r>
            <w:r>
              <w:br w:type="textWrapping"/>
            </w:r>
            <w:r>
              <w:t>系数u</w:t>
            </w:r>
          </w:p>
        </w:tc>
        <w:tc>
          <w:tcPr>
            <w:vMerge w:val="restart"/>
            <w:shd w:val="clear" w:color="auto" w:fill="E6E6E6"/>
            <w:vAlign w:val="center"/>
          </w:tcPr>
          <w:p>
            <w:pPr>
              <w:jc w:val="center"/>
            </w:pPr>
            <w:r>
              <w:t>数据来源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kg/m</w:t>
            </w:r>
            <w:r>
              <w:rPr>
                <w:vertAlign w:val="superscript"/>
              </w:rPr>
              <w:t>3</w:t>
            </w:r>
          </w:p>
        </w:tc>
        <w:tc>
          <w:tcPr>
            <w:shd w:val="clear" w:color="auto" w:fill="E6E6E6"/>
            <w:vAlign w:val="center"/>
          </w:tcPr>
          <w:p>
            <w:pPr>
              <w:jc w:val="center"/>
            </w:pPr>
            <w:r>
              <w:t>J/(kg.K)</w:t>
            </w:r>
          </w:p>
        </w:tc>
        <w:tc>
          <w:tcPr>
            <w:shd w:val="clear" w:color="auto" w:fill="E6E6E6"/>
            <w:vAlign w:val="center"/>
          </w:tcPr>
          <w:p>
            <w:pPr>
              <w:jc w:val="center"/>
            </w:pPr>
            <w:r>
              <w:t>g/(m.h.kPa)</w:t>
            </w:r>
          </w:p>
        </w:tc>
        <w:tc>
          <w:tcPr>
            <w:vMerge w:val="continue"/>
            <w:shd w:val="clear" w:color="auto" w:fill="E6E6E6"/>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水泥砂浆</w:t>
            </w:r>
          </w:p>
        </w:tc>
        <w:tc>
          <w:tcPr>
            <w:vAlign w:val="center"/>
          </w:tcPr>
          <w:p>
            <w:pPr>
              <w:jc w:val="right"/>
            </w:pPr>
            <w:r>
              <w:t>0.930</w:t>
            </w:r>
          </w:p>
        </w:tc>
        <w:tc>
          <w:tcPr>
            <w:vAlign w:val="center"/>
          </w:tcPr>
          <w:p>
            <w:pPr>
              <w:jc w:val="right"/>
            </w:pPr>
            <w:r>
              <w:t>11.370</w:t>
            </w:r>
          </w:p>
        </w:tc>
        <w:tc>
          <w:tcPr>
            <w:vAlign w:val="center"/>
          </w:tcPr>
          <w:p>
            <w:pPr>
              <w:jc w:val="right"/>
            </w:pPr>
            <w:r>
              <w:t>1800.0</w:t>
            </w:r>
          </w:p>
        </w:tc>
        <w:tc>
          <w:tcPr>
            <w:vAlign w:val="center"/>
          </w:tcPr>
          <w:p>
            <w:pPr>
              <w:jc w:val="right"/>
            </w:pPr>
            <w:r>
              <w:t>1050.0</w:t>
            </w:r>
          </w:p>
        </w:tc>
        <w:tc>
          <w:tcPr>
            <w:vAlign w:val="center"/>
          </w:tcPr>
          <w:p>
            <w:pPr>
              <w:jc w:val="right"/>
            </w:pPr>
            <w:r>
              <w:t>0.0210</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石灰砂浆</w:t>
            </w:r>
          </w:p>
        </w:tc>
        <w:tc>
          <w:tcPr>
            <w:vAlign w:val="center"/>
          </w:tcPr>
          <w:p>
            <w:pPr>
              <w:jc w:val="right"/>
            </w:pPr>
            <w:r>
              <w:t>0.810</w:t>
            </w:r>
          </w:p>
        </w:tc>
        <w:tc>
          <w:tcPr>
            <w:vAlign w:val="center"/>
          </w:tcPr>
          <w:p>
            <w:pPr>
              <w:jc w:val="right"/>
            </w:pPr>
            <w:r>
              <w:t>10.070</w:t>
            </w:r>
          </w:p>
        </w:tc>
        <w:tc>
          <w:tcPr>
            <w:vAlign w:val="center"/>
          </w:tcPr>
          <w:p>
            <w:pPr>
              <w:jc w:val="right"/>
            </w:pPr>
            <w:r>
              <w:t>1600.0</w:t>
            </w:r>
          </w:p>
        </w:tc>
        <w:tc>
          <w:tcPr>
            <w:vAlign w:val="center"/>
          </w:tcPr>
          <w:p>
            <w:pPr>
              <w:jc w:val="right"/>
            </w:pPr>
            <w:r>
              <w:t>1050.0</w:t>
            </w:r>
          </w:p>
        </w:tc>
        <w:tc>
          <w:tcPr>
            <w:vAlign w:val="center"/>
          </w:tcPr>
          <w:p>
            <w:pPr>
              <w:jc w:val="right"/>
            </w:pPr>
            <w:r>
              <w:t>0.0443</w:t>
            </w:r>
          </w:p>
        </w:tc>
        <w:tc>
          <w:tcPr>
            <w:vAlign w:val="center"/>
          </w:tcPr>
          <w:p>
            <w:pPr>
              <w:rPr>
                <w:sz w:val="18"/>
                <w:szCs w:val="18"/>
              </w:rPr>
            </w:pPr>
          </w:p>
        </w:tc>
      </w:tr>
      <w:tr>
        <w:tblPrEx>
          <w:tblCellMar>
            <w:top w:w="0" w:type="dxa"/>
            <w:left w:w="108" w:type="dxa"/>
            <w:bottom w:w="0" w:type="dxa"/>
            <w:right w:w="108" w:type="dxa"/>
          </w:tblCellMar>
        </w:tblPrEx>
        <w:trPr>
          <w:jc w:val="center"/>
        </w:trPr>
        <w:tc>
          <w:tcPr>
            <w:vAlign w:val="center"/>
          </w:tcPr>
          <w:p>
            <w:r>
              <w:t>钢筋混凝土</w:t>
            </w:r>
          </w:p>
        </w:tc>
        <w:tc>
          <w:tcPr>
            <w:vAlign w:val="center"/>
          </w:tcPr>
          <w:p>
            <w:pPr>
              <w:jc w:val="right"/>
            </w:pPr>
            <w:r>
              <w:t>1.740</w:t>
            </w:r>
          </w:p>
        </w:tc>
        <w:tc>
          <w:tcPr>
            <w:vAlign w:val="center"/>
          </w:tcPr>
          <w:p>
            <w:pPr>
              <w:jc w:val="right"/>
            </w:pPr>
            <w:r>
              <w:t>17.200</w:t>
            </w:r>
          </w:p>
        </w:tc>
        <w:tc>
          <w:tcPr>
            <w:vAlign w:val="center"/>
          </w:tcPr>
          <w:p>
            <w:pPr>
              <w:jc w:val="right"/>
            </w:pPr>
            <w:r>
              <w:t>2500.0</w:t>
            </w:r>
          </w:p>
        </w:tc>
        <w:tc>
          <w:tcPr>
            <w:vAlign w:val="center"/>
          </w:tcPr>
          <w:p>
            <w:pPr>
              <w:jc w:val="right"/>
            </w:pPr>
            <w:r>
              <w:t>920.0</w:t>
            </w:r>
          </w:p>
        </w:tc>
        <w:tc>
          <w:tcPr>
            <w:vAlign w:val="center"/>
          </w:tcPr>
          <w:p>
            <w:pPr>
              <w:jc w:val="right"/>
            </w:pPr>
            <w:r>
              <w:t>0.0158</w:t>
            </w:r>
          </w:p>
        </w:tc>
        <w:tc>
          <w:tcPr>
            <w:vAlign w:val="center"/>
          </w:tcPr>
          <w:p>
            <w:pPr>
              <w:rPr>
                <w:sz w:val="18"/>
                <w:szCs w:val="18"/>
              </w:rPr>
            </w:pPr>
          </w:p>
        </w:tc>
      </w:tr>
      <w:tr>
        <w:tblPrEx>
          <w:tblCellMar>
            <w:top w:w="0" w:type="dxa"/>
            <w:left w:w="108" w:type="dxa"/>
            <w:bottom w:w="0" w:type="dxa"/>
            <w:right w:w="108" w:type="dxa"/>
          </w:tblCellMar>
        </w:tblPrEx>
        <w:trPr>
          <w:jc w:val="center"/>
        </w:trPr>
        <w:tc>
          <w:tcPr>
            <w:vAlign w:val="center"/>
          </w:tcPr>
          <w:p>
            <w:r>
              <w:t>碎石、卵石混凝土(ρ=2300)</w:t>
            </w:r>
          </w:p>
        </w:tc>
        <w:tc>
          <w:tcPr>
            <w:vAlign w:val="center"/>
          </w:tcPr>
          <w:p>
            <w:pPr>
              <w:jc w:val="right"/>
            </w:pPr>
            <w:r>
              <w:t>1.510</w:t>
            </w:r>
          </w:p>
        </w:tc>
        <w:tc>
          <w:tcPr>
            <w:vAlign w:val="center"/>
          </w:tcPr>
          <w:p>
            <w:pPr>
              <w:jc w:val="right"/>
            </w:pPr>
            <w:r>
              <w:t>15.360</w:t>
            </w:r>
          </w:p>
        </w:tc>
        <w:tc>
          <w:tcPr>
            <w:vAlign w:val="center"/>
          </w:tcPr>
          <w:p>
            <w:pPr>
              <w:jc w:val="right"/>
            </w:pPr>
            <w:r>
              <w:t>2300.0</w:t>
            </w:r>
          </w:p>
        </w:tc>
        <w:tc>
          <w:tcPr>
            <w:vAlign w:val="center"/>
          </w:tcPr>
          <w:p>
            <w:pPr>
              <w:jc w:val="right"/>
            </w:pPr>
            <w:r>
              <w:t>920.0</w:t>
            </w:r>
          </w:p>
        </w:tc>
        <w:tc>
          <w:tcPr>
            <w:vAlign w:val="center"/>
          </w:tcPr>
          <w:p>
            <w:pPr>
              <w:jc w:val="right"/>
            </w:pPr>
            <w:r>
              <w:t>0.0173</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挤塑聚苯板(ρ=25-32)</w:t>
            </w:r>
          </w:p>
        </w:tc>
        <w:tc>
          <w:tcPr>
            <w:vAlign w:val="center"/>
          </w:tcPr>
          <w:p>
            <w:pPr>
              <w:jc w:val="right"/>
            </w:pPr>
            <w:r>
              <w:t>0.030</w:t>
            </w:r>
          </w:p>
        </w:tc>
        <w:tc>
          <w:tcPr>
            <w:vAlign w:val="center"/>
          </w:tcPr>
          <w:p>
            <w:pPr>
              <w:jc w:val="right"/>
            </w:pPr>
            <w:r>
              <w:t>0.320</w:t>
            </w:r>
          </w:p>
        </w:tc>
        <w:tc>
          <w:tcPr>
            <w:vAlign w:val="center"/>
          </w:tcPr>
          <w:p>
            <w:pPr>
              <w:jc w:val="right"/>
            </w:pPr>
            <w:r>
              <w:t>28.5</w:t>
            </w:r>
          </w:p>
        </w:tc>
        <w:tc>
          <w:tcPr>
            <w:vAlign w:val="center"/>
          </w:tcPr>
          <w:p>
            <w:pPr>
              <w:jc w:val="right"/>
            </w:pPr>
            <w:r>
              <w:t>1647.0</w:t>
            </w:r>
          </w:p>
        </w:tc>
        <w:tc>
          <w:tcPr>
            <w:vAlign w:val="center"/>
          </w:tcPr>
          <w:p>
            <w:pPr>
              <w:jc w:val="right"/>
            </w:pPr>
            <w:r>
              <w:t>0.0162</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加气混凝土、泡沫混凝土(ρ=700)</w:t>
            </w:r>
          </w:p>
        </w:tc>
        <w:tc>
          <w:tcPr>
            <w:vAlign w:val="center"/>
          </w:tcPr>
          <w:p>
            <w:pPr>
              <w:jc w:val="right"/>
            </w:pPr>
            <w:r>
              <w:t>0.220</w:t>
            </w:r>
          </w:p>
        </w:tc>
        <w:tc>
          <w:tcPr>
            <w:vAlign w:val="center"/>
          </w:tcPr>
          <w:p>
            <w:pPr>
              <w:jc w:val="right"/>
            </w:pPr>
            <w:r>
              <w:t>3.590</w:t>
            </w:r>
          </w:p>
        </w:tc>
        <w:tc>
          <w:tcPr>
            <w:vAlign w:val="center"/>
          </w:tcPr>
          <w:p>
            <w:pPr>
              <w:jc w:val="right"/>
            </w:pPr>
            <w:r>
              <w:t>700.0</w:t>
            </w:r>
          </w:p>
        </w:tc>
        <w:tc>
          <w:tcPr>
            <w:vAlign w:val="center"/>
          </w:tcPr>
          <w:p>
            <w:pPr>
              <w:jc w:val="right"/>
            </w:pPr>
            <w:r>
              <w:t>1050.0</w:t>
            </w:r>
          </w:p>
        </w:tc>
        <w:tc>
          <w:tcPr>
            <w:vAlign w:val="center"/>
          </w:tcPr>
          <w:p>
            <w:pPr>
              <w:jc w:val="right"/>
            </w:pPr>
            <w:r>
              <w:t>0.0998</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混凝土多孔砖(190六孔砖）</w:t>
            </w:r>
          </w:p>
        </w:tc>
        <w:tc>
          <w:tcPr>
            <w:vAlign w:val="center"/>
          </w:tcPr>
          <w:p>
            <w:pPr>
              <w:jc w:val="right"/>
            </w:pPr>
            <w:r>
              <w:t>0.750</w:t>
            </w:r>
          </w:p>
        </w:tc>
        <w:tc>
          <w:tcPr>
            <w:vAlign w:val="center"/>
          </w:tcPr>
          <w:p>
            <w:pPr>
              <w:jc w:val="right"/>
            </w:pPr>
            <w:r>
              <w:t>7.490</w:t>
            </w:r>
          </w:p>
        </w:tc>
        <w:tc>
          <w:tcPr>
            <w:vAlign w:val="center"/>
          </w:tcPr>
          <w:p>
            <w:pPr>
              <w:jc w:val="right"/>
            </w:pPr>
            <w:r>
              <w:t>1450.0</w:t>
            </w:r>
          </w:p>
        </w:tc>
        <w:tc>
          <w:tcPr>
            <w:vAlign w:val="center"/>
          </w:tcPr>
          <w:p>
            <w:pPr>
              <w:jc w:val="right"/>
            </w:pPr>
            <w:r>
              <w:t>709.4</w:t>
            </w:r>
          </w:p>
        </w:tc>
        <w:tc>
          <w:tcPr>
            <w:vAlign w:val="center"/>
          </w:tcPr>
          <w:p>
            <w:pPr>
              <w:jc w:val="right"/>
            </w:pPr>
            <w:r>
              <w:t>0.0000</w:t>
            </w:r>
          </w:p>
        </w:tc>
        <w:tc>
          <w:tcPr>
            <w:vAlign w:val="center"/>
          </w:tcPr>
          <w:p>
            <w:pPr>
              <w:rPr>
                <w:sz w:val="18"/>
                <w:szCs w:val="18"/>
              </w:rPr>
            </w:pPr>
          </w:p>
        </w:tc>
      </w:tr>
    </w:tbl>
    <w:p>
      <w:pPr>
        <w:pStyle w:val="4"/>
        <w:widowControl w:val="0"/>
        <w:jc w:val="both"/>
      </w:pPr>
      <w:bookmarkStart w:id="48" w:name="_Toc15689"/>
      <w:r>
        <w:t>围护结构作法简要说明</w:t>
      </w:r>
      <w:bookmarkEnd w:id="48"/>
    </w:p>
    <w:p>
      <w:pPr>
        <w:widowControl w:val="0"/>
        <w:jc w:val="both"/>
      </w:pPr>
      <w:r>
        <w:rPr>
          <w:b/>
          <w:color w:val="000000"/>
          <w:sz w:val="24"/>
          <w:szCs w:val="24"/>
        </w:rPr>
        <w:t>1. 屋顶：</w:t>
      </w:r>
      <w:r>
        <w:rPr>
          <w:color w:val="0000FF"/>
        </w:rPr>
        <w:t>屋顶构造一 (K=0.566,D=3.818)：</w:t>
      </w:r>
      <w:r>
        <w:rPr>
          <w:color w:val="000000"/>
        </w:rPr>
        <w:t>（由上到下）</w:t>
      </w:r>
    </w:p>
    <w:p>
      <w:pPr>
        <w:widowControl w:val="0"/>
        <w:jc w:val="both"/>
      </w:pPr>
      <w:r>
        <w:t xml:space="preserve">    </w:t>
      </w:r>
      <w:r>
        <w:rPr>
          <w:color w:val="000000"/>
        </w:rPr>
        <w:t>碎石、卵石混凝土(ρ=2300) 40mm＋</w:t>
      </w:r>
      <w:r>
        <w:rPr>
          <w:color w:val="800000"/>
        </w:rPr>
        <w:t>挤塑聚苯板(ρ=25-32) 40mm</w:t>
      </w:r>
      <w:r>
        <w:rPr>
          <w:color w:val="000000"/>
        </w:rPr>
        <w:t>＋水泥砂浆 20mm＋加气混凝土、泡沫混凝土(ρ=700) 80mm＋</w:t>
      </w:r>
      <w:r>
        <w:rPr>
          <w:color w:val="800080"/>
        </w:rPr>
        <w:t>钢筋混凝土 120mm</w:t>
      </w:r>
      <w:r>
        <w:rPr>
          <w:color w:val="000000"/>
        </w:rPr>
        <w:t>＋石灰砂浆 20mm</w:t>
      </w:r>
    </w:p>
    <w:p>
      <w:pPr>
        <w:widowControl w:val="0"/>
        <w:jc w:val="both"/>
        <w:rPr>
          <w:color w:val="000000"/>
        </w:rPr>
      </w:pPr>
      <w:r>
        <w:rPr>
          <w:b/>
          <w:color w:val="000000"/>
          <w:sz w:val="24"/>
          <w:szCs w:val="24"/>
        </w:rPr>
        <w:t>2. 外墙（填充墙）：</w:t>
      </w:r>
      <w:r>
        <w:rPr>
          <w:color w:val="0000FF"/>
        </w:rPr>
        <w:t>外墙构造一 (K=1.126,D=2.928)：</w:t>
      </w:r>
      <w:r>
        <w:rPr>
          <w:color w:val="000000"/>
        </w:rPr>
        <w:t>（由外到内）</w:t>
      </w:r>
    </w:p>
    <w:p>
      <w:pPr>
        <w:widowControl w:val="0"/>
        <w:jc w:val="both"/>
        <w:rPr>
          <w:color w:val="000000"/>
        </w:rPr>
      </w:pPr>
      <w:r>
        <w:rPr>
          <w:color w:val="000000"/>
        </w:rPr>
        <w:t xml:space="preserve">    水泥砂浆 20mm＋</w:t>
      </w:r>
      <w:r>
        <w:rPr>
          <w:color w:val="800000"/>
        </w:rPr>
        <w:t>挤塑聚苯板(ρ=25-32) 20mm</w:t>
      </w:r>
      <w:r>
        <w:rPr>
          <w:color w:val="000000"/>
        </w:rPr>
        <w:t>＋水泥砂浆 20mm＋</w:t>
      </w:r>
      <w:r>
        <w:rPr>
          <w:color w:val="800080"/>
        </w:rPr>
        <w:t>钢筋混凝土 200mm</w:t>
      </w:r>
      <w:r>
        <w:rPr>
          <w:color w:val="000000"/>
        </w:rPr>
        <w:t>＋石灰砂浆 20mm</w:t>
      </w:r>
    </w:p>
    <w:p>
      <w:pPr>
        <w:widowControl w:val="0"/>
        <w:jc w:val="both"/>
        <w:rPr>
          <w:color w:val="000000"/>
        </w:rPr>
      </w:pPr>
      <w:r>
        <w:rPr>
          <w:b/>
          <w:color w:val="000000"/>
          <w:sz w:val="24"/>
          <w:szCs w:val="24"/>
        </w:rPr>
        <w:t>3. 热桥柱：</w:t>
      </w:r>
      <w:r>
        <w:rPr>
          <w:color w:val="0000FF"/>
        </w:rPr>
        <w:t>梁柱构造一 (K=1.126,D=2.928)：</w:t>
      </w:r>
      <w:r>
        <w:rPr>
          <w:color w:val="000000"/>
        </w:rPr>
        <w:t>（由外到内）</w:t>
      </w:r>
    </w:p>
    <w:p>
      <w:pPr>
        <w:widowControl w:val="0"/>
        <w:jc w:val="both"/>
        <w:rPr>
          <w:color w:val="000000"/>
        </w:rPr>
      </w:pPr>
      <w:r>
        <w:rPr>
          <w:color w:val="000000"/>
        </w:rPr>
        <w:t xml:space="preserve">    水泥砂浆 20mm＋</w:t>
      </w:r>
      <w:r>
        <w:rPr>
          <w:color w:val="800000"/>
        </w:rPr>
        <w:t>挤塑聚苯板(ρ=25-32) 20mm</w:t>
      </w:r>
      <w:r>
        <w:rPr>
          <w:color w:val="000000"/>
        </w:rPr>
        <w:t>＋水泥砂浆 20mm＋</w:t>
      </w:r>
      <w:r>
        <w:rPr>
          <w:color w:val="800080"/>
        </w:rPr>
        <w:t>钢筋混凝土 200mm</w:t>
      </w:r>
      <w:r>
        <w:rPr>
          <w:color w:val="000000"/>
        </w:rPr>
        <w:t>＋石灰砂浆 20mm</w:t>
      </w:r>
    </w:p>
    <w:p>
      <w:pPr>
        <w:widowControl w:val="0"/>
        <w:jc w:val="both"/>
        <w:rPr>
          <w:color w:val="000000"/>
        </w:rPr>
      </w:pPr>
      <w:r>
        <w:rPr>
          <w:b/>
          <w:color w:val="000000"/>
          <w:sz w:val="24"/>
          <w:szCs w:val="24"/>
        </w:rPr>
        <w:t>4. 外窗构造：</w:t>
      </w:r>
      <w:r>
        <w:rPr>
          <w:color w:val="0000FF"/>
        </w:rPr>
        <w:t>12A钢铝单框双玻窗（平均） (K=3.900)：</w:t>
      </w:r>
    </w:p>
    <w:p>
      <w:pPr>
        <w:widowControl w:val="0"/>
        <w:jc w:val="both"/>
        <w:rPr>
          <w:color w:val="000000"/>
        </w:rPr>
      </w:pPr>
      <w:r>
        <w:rPr>
          <w:color w:val="000000"/>
        </w:rPr>
        <w:t xml:space="preserve">    传热系数3.900W/㎡.K，窗太阳得热系数0.653</w:t>
      </w:r>
    </w:p>
    <w:p>
      <w:pPr>
        <w:pStyle w:val="2"/>
        <w:widowControl w:val="0"/>
        <w:jc w:val="both"/>
        <w:rPr>
          <w:color w:val="000000"/>
        </w:rPr>
      </w:pPr>
      <w:bookmarkStart w:id="49" w:name="_Toc17105"/>
      <w:r>
        <w:rPr>
          <w:color w:val="000000"/>
        </w:rPr>
        <w:t>房间类型</w:t>
      </w:r>
      <w:bookmarkEnd w:id="49"/>
    </w:p>
    <w:p>
      <w:pPr>
        <w:pStyle w:val="4"/>
        <w:widowControl w:val="0"/>
        <w:jc w:val="both"/>
        <w:rPr>
          <w:color w:val="000000"/>
        </w:rPr>
      </w:pPr>
      <w:bookmarkStart w:id="50" w:name="_Toc22401"/>
      <w:r>
        <w:rPr>
          <w:color w:val="000000"/>
        </w:rPr>
        <w:t>房间参数表</w:t>
      </w:r>
      <w:bookmarkEnd w:id="50"/>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房间类型</w:t>
            </w:r>
          </w:p>
        </w:tc>
        <w:tc>
          <w:tcPr>
            <w:shd w:val="clear" w:color="auto" w:fill="E6E6E6"/>
            <w:vAlign w:val="center"/>
          </w:tcPr>
          <w:p>
            <w:pPr>
              <w:jc w:val="center"/>
            </w:pPr>
            <w:r>
              <w:t>空调</w:t>
            </w:r>
            <w:r>
              <w:br w:type="textWrapping"/>
            </w:r>
            <w:r>
              <w:t>温度℃</w:t>
            </w:r>
          </w:p>
        </w:tc>
        <w:tc>
          <w:tcPr>
            <w:shd w:val="clear" w:color="auto" w:fill="E6E6E6"/>
            <w:vAlign w:val="center"/>
          </w:tcPr>
          <w:p>
            <w:pPr>
              <w:jc w:val="center"/>
            </w:pPr>
            <w:r>
              <w:t>供暖</w:t>
            </w:r>
            <w:r>
              <w:br w:type="textWrapping"/>
            </w:r>
            <w:r>
              <w:t>温度℃</w:t>
            </w:r>
          </w:p>
        </w:tc>
        <w:tc>
          <w:tcPr>
            <w:shd w:val="clear" w:color="auto" w:fill="E6E6E6"/>
            <w:vAlign w:val="center"/>
          </w:tcPr>
          <w:p>
            <w:pPr>
              <w:jc w:val="center"/>
            </w:pPr>
            <w:r>
              <w:t>新风量</w:t>
            </w:r>
          </w:p>
        </w:tc>
        <w:tc>
          <w:tcPr>
            <w:shd w:val="clear" w:color="auto" w:fill="E6E6E6"/>
            <w:vAlign w:val="center"/>
          </w:tcPr>
          <w:p>
            <w:pPr>
              <w:jc w:val="center"/>
            </w:pPr>
            <w:r>
              <w:t>渗透风</w:t>
            </w:r>
            <w:r>
              <w:br w:type="textWrapping"/>
            </w:r>
            <w:r>
              <w:t>换气次数</w:t>
            </w:r>
          </w:p>
        </w:tc>
        <w:tc>
          <w:tcPr>
            <w:shd w:val="clear" w:color="auto" w:fill="E6E6E6"/>
            <w:vAlign w:val="center"/>
          </w:tcPr>
          <w:p>
            <w:pPr>
              <w:jc w:val="center"/>
            </w:pPr>
            <w:r>
              <w:t>人员密度</w:t>
            </w:r>
          </w:p>
        </w:tc>
        <w:tc>
          <w:tcPr>
            <w:shd w:val="clear" w:color="auto" w:fill="E6E6E6"/>
            <w:vAlign w:val="center"/>
          </w:tcPr>
          <w:p>
            <w:pPr>
              <w:jc w:val="center"/>
            </w:pPr>
            <w:r>
              <w:t>照明功率</w:t>
            </w:r>
          </w:p>
        </w:tc>
        <w:tc>
          <w:tcPr>
            <w:shd w:val="clear" w:color="auto" w:fill="E6E6E6"/>
            <w:vAlign w:val="center"/>
          </w:tcPr>
          <w:p>
            <w:pPr>
              <w:jc w:val="center"/>
            </w:pPr>
            <w:r>
              <w:t>插座设备</w:t>
            </w:r>
            <w:r>
              <w:br w:type="textWrapping"/>
            </w:r>
            <w:r>
              <w:t>功率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楼梯间</w:t>
            </w:r>
          </w:p>
        </w:tc>
        <w:tc>
          <w:tcPr>
            <w:vAlign w:val="center"/>
          </w:tcPr>
          <w:p>
            <w:pPr>
              <w:jc w:val="center"/>
            </w:pPr>
            <w:r>
              <w:t>－</w:t>
            </w:r>
          </w:p>
        </w:tc>
        <w:tc>
          <w:tcPr>
            <w:vAlign w:val="center"/>
          </w:tcPr>
          <w:p>
            <w:pPr>
              <w:jc w:val="center"/>
            </w:pPr>
            <w:r>
              <w:t>－</w:t>
            </w:r>
          </w:p>
        </w:tc>
        <w:tc>
          <w:tcPr>
            <w:vAlign w:val="center"/>
          </w:tcPr>
          <w:p>
            <w:pPr>
              <w:jc w:val="center"/>
            </w:pPr>
            <w:r>
              <w:t>0.5(次/h)</w:t>
            </w:r>
          </w:p>
        </w:tc>
        <w:tc>
          <w:tcPr>
            <w:vAlign w:val="center"/>
          </w:tcPr>
          <w:p>
            <w:pPr>
              <w:jc w:val="center"/>
            </w:pPr>
            <w:r>
              <w:t>0(次/h)</w:t>
            </w:r>
          </w:p>
        </w:tc>
        <w:tc>
          <w:tcPr>
            <w:vAlign w:val="center"/>
          </w:tcPr>
          <w:p>
            <w:pPr>
              <w:jc w:val="center"/>
            </w:pPr>
            <w:r>
              <w:t>0(人)</w:t>
            </w:r>
          </w:p>
        </w:tc>
        <w:tc>
          <w:tcPr>
            <w:vAlign w:val="center"/>
          </w:tcPr>
          <w:p>
            <w:pPr>
              <w:jc w:val="center"/>
            </w:pPr>
            <w:r>
              <w:t>2(W/㎡)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tc>
        <w:tc>
          <w:tcPr>
            <w:vAlign w:val="center"/>
          </w:tcPr>
          <w:p>
            <w:pPr>
              <w:jc w:val="center"/>
            </w:pPr>
          </w:p>
        </w:tc>
        <w:tc>
          <w:tcPr>
            <w:vAlign w:val="center"/>
          </w:tcPr>
          <w:p>
            <w:pPr>
              <w:jc w:val="center"/>
            </w:pPr>
          </w:p>
        </w:tc>
        <w:tc>
          <w:tcPr>
            <w:vAlign w:val="center"/>
          </w:tcPr>
          <w:p>
            <w:pPr>
              <w:jc w:val="center"/>
            </w:pPr>
          </w:p>
        </w:tc>
        <w:tc>
          <w:tcPr>
            <w:vAlign w:val="center"/>
          </w:tcPr>
          <w:p>
            <w:pPr>
              <w:jc w:val="center"/>
            </w:pPr>
          </w:p>
        </w:tc>
        <w:tc>
          <w:tcPr>
            <w:vAlign w:val="center"/>
          </w:tcPr>
          <w:p>
            <w:pPr>
              <w:jc w:val="center"/>
            </w:pPr>
          </w:p>
        </w:tc>
        <w:tc>
          <w:tcPr>
            <w:vAlign w:val="center"/>
          </w:tcPr>
          <w:p>
            <w:pPr>
              <w:jc w:val="center"/>
            </w:pPr>
          </w:p>
        </w:tc>
        <w:tc>
          <w:tcPr>
            <w:vAlign w:val="center"/>
          </w:tcPr>
          <w:p>
            <w:pPr>
              <w:jc w:val="center"/>
            </w:pPr>
          </w:p>
        </w:tc>
      </w:tr>
    </w:tbl>
    <w:p>
      <w:pPr>
        <w:pStyle w:val="4"/>
        <w:widowControl w:val="0"/>
        <w:jc w:val="both"/>
        <w:rPr>
          <w:color w:val="000000"/>
        </w:rPr>
      </w:pPr>
      <w:bookmarkStart w:id="51" w:name="_Toc4108"/>
      <w:r>
        <w:rPr>
          <w:color w:val="000000"/>
        </w:rPr>
        <w:t>作息时间表</w:t>
      </w:r>
      <w:bookmarkEnd w:id="51"/>
    </w:p>
    <w:p>
      <w:pPr>
        <w:widowControl w:val="0"/>
        <w:jc w:val="both"/>
        <w:rPr>
          <w:color w:val="000000"/>
        </w:rPr>
      </w:pPr>
      <w:r>
        <w:rPr>
          <w:color w:val="000000"/>
        </w:rPr>
        <w:t>详见附录</w:t>
      </w:r>
    </w:p>
    <w:p>
      <w:pPr>
        <w:pStyle w:val="2"/>
        <w:widowControl w:val="0"/>
        <w:jc w:val="both"/>
        <w:rPr>
          <w:color w:val="000000"/>
        </w:rPr>
      </w:pPr>
      <w:bookmarkStart w:id="52" w:name="_Toc3913"/>
      <w:r>
        <w:rPr>
          <w:color w:val="000000"/>
        </w:rPr>
        <w:t>系统类型</w:t>
      </w:r>
      <w:bookmarkEnd w:id="52"/>
    </w:p>
    <w:p>
      <w:pPr>
        <w:pStyle w:val="4"/>
        <w:widowControl w:val="0"/>
        <w:jc w:val="both"/>
        <w:rPr>
          <w:color w:val="000000"/>
        </w:rPr>
      </w:pPr>
      <w:bookmarkStart w:id="53" w:name="_Toc12520"/>
      <w:r>
        <w:rPr>
          <w:color w:val="000000"/>
        </w:rPr>
        <w:t>系统分区</w:t>
      </w:r>
      <w:bookmarkEnd w:id="53"/>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系统编号</w:t>
            </w:r>
          </w:p>
        </w:tc>
        <w:tc>
          <w:tcPr>
            <w:shd w:val="clear" w:color="auto" w:fill="E6E6E6"/>
            <w:vAlign w:val="center"/>
          </w:tcPr>
          <w:p>
            <w:pPr>
              <w:jc w:val="center"/>
            </w:pPr>
            <w:r>
              <w:t>系统类型</w:t>
            </w:r>
          </w:p>
        </w:tc>
        <w:tc>
          <w:tcPr>
            <w:shd w:val="clear" w:color="auto" w:fill="E6E6E6"/>
            <w:vAlign w:val="center"/>
          </w:tcPr>
          <w:p>
            <w:pPr>
              <w:jc w:val="center"/>
            </w:pPr>
            <w:r>
              <w:t>面积(㎡)</w:t>
            </w:r>
          </w:p>
        </w:tc>
        <w:tc>
          <w:tcPr>
            <w:shd w:val="clear" w:color="auto" w:fill="E6E6E6"/>
            <w:vAlign w:val="center"/>
          </w:tcPr>
          <w:p>
            <w:pPr>
              <w:jc w:val="center"/>
            </w:pPr>
            <w:r>
              <w:t>包含的房间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自动</w:t>
            </w:r>
          </w:p>
        </w:tc>
        <w:tc>
          <w:tcPr>
            <w:vAlign w:val="center"/>
          </w:tcPr>
          <w:p>
            <w:r>
              <w:t>多联机空调(热泵)</w:t>
            </w:r>
          </w:p>
        </w:tc>
        <w:tc>
          <w:tcPr>
            <w:vAlign w:val="center"/>
          </w:tcPr>
          <w:p>
            <w:r>
              <w:t>1346.31</w:t>
            </w:r>
          </w:p>
        </w:tc>
        <w:tc>
          <w:tcPr>
            <w:vAlign w:val="center"/>
          </w:tcPr>
          <w:p>
            <w:r>
              <w:t>所有房间</w:t>
            </w:r>
          </w:p>
        </w:tc>
      </w:tr>
    </w:tbl>
    <w:p>
      <w:pPr>
        <w:pStyle w:val="4"/>
        <w:widowControl w:val="0"/>
        <w:jc w:val="both"/>
        <w:rPr>
          <w:color w:val="000000"/>
        </w:rPr>
      </w:pPr>
      <w:bookmarkStart w:id="54" w:name="_Toc24632"/>
      <w:r>
        <w:rPr>
          <w:color w:val="000000"/>
        </w:rPr>
        <w:t>热回收参数</w:t>
      </w:r>
      <w:bookmarkEnd w:id="54"/>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系统编号</w:t>
            </w:r>
          </w:p>
        </w:tc>
        <w:tc>
          <w:tcPr>
            <w:vMerge w:val="restart"/>
            <w:shd w:val="clear" w:color="auto" w:fill="E6E6E6"/>
            <w:vAlign w:val="center"/>
          </w:tcPr>
          <w:p>
            <w:pPr>
              <w:jc w:val="center"/>
            </w:pPr>
            <w:r>
              <w:t>热回收</w:t>
            </w:r>
          </w:p>
        </w:tc>
        <w:tc>
          <w:tcPr>
            <w:gridSpan w:val="2"/>
            <w:shd w:val="clear" w:color="auto" w:fill="E6E6E6"/>
            <w:vAlign w:val="center"/>
          </w:tcPr>
          <w:p>
            <w:pPr>
              <w:jc w:val="center"/>
            </w:pPr>
            <w:r>
              <w:t>供冷</w:t>
            </w:r>
          </w:p>
        </w:tc>
        <w:tc>
          <w:tcPr>
            <w:gridSpan w:val="2"/>
            <w:shd w:val="clear" w:color="auto" w:fill="E6E6E6"/>
            <w:vAlign w:val="center"/>
          </w:tcPr>
          <w:p>
            <w:pPr>
              <w:jc w:val="center"/>
            </w:pPr>
            <w:r>
              <w:t>供暖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回收效率(%)</w:t>
            </w:r>
          </w:p>
        </w:tc>
        <w:tc>
          <w:tcPr>
            <w:vAlign w:val="center"/>
          </w:tcPr>
          <w:p>
            <w:r>
              <w:t>启动温(焓)差</w:t>
            </w:r>
          </w:p>
        </w:tc>
        <w:tc>
          <w:tcPr>
            <w:vAlign w:val="center"/>
          </w:tcPr>
          <w:p>
            <w:r>
              <w:t>回收效率(%)</w:t>
            </w:r>
          </w:p>
        </w:tc>
        <w:tc>
          <w:tcPr>
            <w:vAlign w:val="center"/>
          </w:tcPr>
          <w:p>
            <w:r>
              <w:t>启动温(焓)差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自动</w:t>
            </w:r>
          </w:p>
        </w:tc>
        <w:tc>
          <w:tcPr>
            <w:vAlign w:val="center"/>
          </w:tcPr>
          <w:p>
            <w:r>
              <w:t>无</w:t>
            </w:r>
          </w:p>
        </w:tc>
        <w:tc>
          <w:tcPr>
            <w:vAlign w:val="center"/>
          </w:tcPr>
          <w:p>
            <w:r>
              <w:t>－</w:t>
            </w:r>
          </w:p>
        </w:tc>
        <w:tc>
          <w:tcPr>
            <w:vAlign w:val="center"/>
          </w:tcPr>
          <w:p>
            <w:r>
              <w:t>－</w:t>
            </w:r>
          </w:p>
        </w:tc>
        <w:tc>
          <w:tcPr>
            <w:vAlign w:val="center"/>
          </w:tcPr>
          <w:p>
            <w:r>
              <w:t>－</w:t>
            </w:r>
          </w:p>
        </w:tc>
        <w:tc>
          <w:tcPr>
            <w:vAlign w:val="center"/>
          </w:tcPr>
          <w:p>
            <w:r>
              <w:t>－</w:t>
            </w:r>
          </w:p>
        </w:tc>
      </w:tr>
    </w:tbl>
    <w:p>
      <w:pPr>
        <w:pStyle w:val="2"/>
        <w:widowControl w:val="0"/>
        <w:jc w:val="both"/>
        <w:rPr>
          <w:color w:val="000000"/>
        </w:rPr>
      </w:pPr>
      <w:bookmarkStart w:id="55" w:name="_Toc32565"/>
      <w:r>
        <w:rPr>
          <w:color w:val="000000"/>
        </w:rPr>
        <w:t>制冷系统</w:t>
      </w:r>
      <w:bookmarkEnd w:id="55"/>
    </w:p>
    <w:p>
      <w:pPr>
        <w:pStyle w:val="2"/>
        <w:widowControl w:val="0"/>
        <w:jc w:val="both"/>
        <w:rPr>
          <w:color w:val="000000"/>
        </w:rPr>
      </w:pPr>
      <w:bookmarkStart w:id="56" w:name="_Toc7975"/>
      <w:r>
        <w:rPr>
          <w:color w:val="000000"/>
        </w:rPr>
        <w:t>空调风机</w:t>
      </w:r>
      <w:bookmarkEnd w:id="56"/>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类别</w:t>
            </w:r>
          </w:p>
        </w:tc>
        <w:tc>
          <w:tcPr>
            <w:shd w:val="clear" w:color="auto" w:fill="E6E6E6"/>
            <w:vAlign w:val="center"/>
          </w:tcPr>
          <w:p>
            <w:pPr>
              <w:jc w:val="center"/>
            </w:pPr>
            <w:r>
              <w:t>电耗(kWh/a)</w:t>
            </w:r>
          </w:p>
        </w:tc>
        <w:tc>
          <w:tcPr>
            <w:shd w:val="clear" w:color="auto" w:fill="E6E6E6"/>
            <w:vAlign w:val="center"/>
          </w:tcPr>
          <w:p>
            <w:pPr>
              <w:jc w:val="center"/>
            </w:pPr>
            <w:r>
              <w:t>碳排放因子(kgCO2/kWh)</w:t>
            </w:r>
          </w:p>
        </w:tc>
        <w:tc>
          <w:tcPr>
            <w:shd w:val="clear" w:color="auto" w:fill="E6E6E6"/>
            <w:vAlign w:val="center"/>
          </w:tcPr>
          <w:p>
            <w:pPr>
              <w:jc w:val="center"/>
            </w:pPr>
            <w:r>
              <w:t>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独立新排风</w:t>
            </w:r>
          </w:p>
        </w:tc>
        <w:tc>
          <w:tcPr>
            <w:vAlign w:val="center"/>
          </w:tcPr>
          <w:p>
            <w:r>
              <w:t>0</w:t>
            </w:r>
          </w:p>
        </w:tc>
        <w:tc>
          <w:tcPr>
            <w:vMerge w:val="restart"/>
            <w:vAlign w:val="center"/>
          </w:tcPr>
          <w:p>
            <w:r>
              <w:t>0.5703</w:t>
            </w:r>
          </w:p>
        </w:tc>
        <w:tc>
          <w:tcPr>
            <w:vAlign w:val="center"/>
          </w:tcPr>
          <w:p>
            <w: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风机盘管</w:t>
            </w:r>
          </w:p>
        </w:tc>
        <w:tc>
          <w:tcPr>
            <w:vAlign w:val="center"/>
          </w:tcPr>
          <w:p>
            <w:r>
              <w:t>0</w:t>
            </w:r>
          </w:p>
        </w:tc>
        <w:tc>
          <w:tcPr>
            <w:vMerge w:val="continue"/>
            <w:vAlign w:val="center"/>
          </w:tcPr>
          <w:p/>
        </w:tc>
        <w:tc>
          <w:tcPr>
            <w:vAlign w:val="center"/>
          </w:tcPr>
          <w:p>
            <w: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全空气机组</w:t>
            </w:r>
          </w:p>
        </w:tc>
        <w:tc>
          <w:tcPr>
            <w:vAlign w:val="center"/>
          </w:tcPr>
          <w:p>
            <w:r>
              <w:t>0</w:t>
            </w:r>
          </w:p>
        </w:tc>
        <w:tc>
          <w:tcPr>
            <w:vMerge w:val="continue"/>
            <w:vAlign w:val="center"/>
          </w:tcPr>
          <w:p/>
        </w:tc>
        <w:tc>
          <w:tcPr>
            <w:vAlign w:val="center"/>
          </w:tcPr>
          <w:p>
            <w:r>
              <w:t>0.0000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r>
              <w:t>合计</w:t>
            </w:r>
          </w:p>
        </w:tc>
        <w:tc>
          <w:tcPr>
            <w:vAlign w:val="center"/>
          </w:tcPr>
          <w:p>
            <w:r>
              <w:t>0.000</w:t>
            </w:r>
          </w:p>
        </w:tc>
      </w:tr>
    </w:tbl>
    <w:p>
      <w:pPr>
        <w:pStyle w:val="2"/>
        <w:widowControl w:val="0"/>
        <w:jc w:val="both"/>
        <w:rPr>
          <w:color w:val="000000"/>
        </w:rPr>
      </w:pPr>
      <w:bookmarkStart w:id="57" w:name="_Toc32135"/>
      <w:r>
        <w:rPr>
          <w:color w:val="000000"/>
        </w:rPr>
        <w:t>照明</w:t>
      </w:r>
      <w:bookmarkEnd w:id="57"/>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房间类型</w:t>
            </w:r>
          </w:p>
        </w:tc>
        <w:tc>
          <w:tcPr>
            <w:shd w:val="clear" w:color="auto" w:fill="E6E6E6"/>
            <w:vAlign w:val="center"/>
          </w:tcPr>
          <w:p>
            <w:pPr>
              <w:jc w:val="center"/>
            </w:pPr>
            <w:r>
              <w:t>单位面积电耗</w:t>
            </w:r>
            <w:r>
              <w:br w:type="textWrapping"/>
            </w:r>
            <w:r>
              <w:t>(kWh/㎡.a)</w:t>
            </w:r>
          </w:p>
        </w:tc>
        <w:tc>
          <w:tcPr>
            <w:shd w:val="clear" w:color="auto" w:fill="E6E6E6"/>
            <w:vAlign w:val="center"/>
          </w:tcPr>
          <w:p>
            <w:pPr>
              <w:jc w:val="center"/>
            </w:pPr>
            <w:r>
              <w:t>房间</w:t>
            </w:r>
            <w:r>
              <w:br w:type="textWrapping"/>
            </w:r>
            <w:r>
              <w:t>数量</w:t>
            </w:r>
          </w:p>
        </w:tc>
        <w:tc>
          <w:tcPr>
            <w:shd w:val="clear" w:color="auto" w:fill="E6E6E6"/>
            <w:vAlign w:val="center"/>
          </w:tcPr>
          <w:p>
            <w:pPr>
              <w:jc w:val="center"/>
            </w:pPr>
            <w:r>
              <w:t>房间合计面积(㎡)</w:t>
            </w:r>
          </w:p>
        </w:tc>
        <w:tc>
          <w:tcPr>
            <w:shd w:val="clear" w:color="auto" w:fill="E6E6E6"/>
            <w:vAlign w:val="center"/>
          </w:tcPr>
          <w:p>
            <w:pPr>
              <w:jc w:val="center"/>
            </w:pPr>
            <w:r>
              <w:t>合计电耗</w:t>
            </w:r>
            <w:r>
              <w:br w:type="textWrapping"/>
            </w:r>
            <w:r>
              <w:t>(kWh/a)</w:t>
            </w:r>
          </w:p>
        </w:tc>
        <w:tc>
          <w:tcPr>
            <w:shd w:val="clear" w:color="auto" w:fill="E6E6E6"/>
            <w:vAlign w:val="center"/>
          </w:tcPr>
          <w:p>
            <w:pPr>
              <w:jc w:val="center"/>
            </w:pPr>
            <w:r>
              <w:t>碳排放因子(kgCO2/kWh)</w:t>
            </w:r>
          </w:p>
        </w:tc>
        <w:tc>
          <w:tcPr>
            <w:shd w:val="clear" w:color="auto" w:fill="E6E6E6"/>
            <w:vAlign w:val="center"/>
          </w:tcPr>
          <w:p>
            <w:pPr>
              <w:jc w:val="center"/>
            </w:pPr>
            <w:r>
              <w:t>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r>
              <w:t>总计</w:t>
            </w:r>
          </w:p>
        </w:tc>
        <w:tc>
          <w:tcPr>
            <w:vAlign w:val="center"/>
          </w:tcPr>
          <w:p>
            <w:r>
              <w:t>0.000</w:t>
            </w:r>
          </w:p>
        </w:tc>
      </w:tr>
    </w:tbl>
    <w:p>
      <w:pPr>
        <w:pStyle w:val="2"/>
        <w:widowControl w:val="0"/>
        <w:jc w:val="both"/>
        <w:rPr>
          <w:color w:val="000000"/>
        </w:rPr>
      </w:pPr>
      <w:bookmarkStart w:id="58" w:name="_Toc18675"/>
      <w:r>
        <w:rPr>
          <w:color w:val="000000"/>
        </w:rPr>
        <w:t>插座设备</w:t>
      </w:r>
      <w:bookmarkEnd w:id="58"/>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房间类型</w:t>
            </w:r>
          </w:p>
        </w:tc>
        <w:tc>
          <w:tcPr>
            <w:shd w:val="clear" w:color="auto" w:fill="E6E6E6"/>
            <w:vAlign w:val="center"/>
          </w:tcPr>
          <w:p>
            <w:pPr>
              <w:jc w:val="center"/>
            </w:pPr>
            <w:r>
              <w:t>单位面积电耗</w:t>
            </w:r>
            <w:r>
              <w:br w:type="textWrapping"/>
            </w:r>
            <w:r>
              <w:t>(kWh/㎡.a)</w:t>
            </w:r>
          </w:p>
        </w:tc>
        <w:tc>
          <w:tcPr>
            <w:shd w:val="clear" w:color="auto" w:fill="E6E6E6"/>
            <w:vAlign w:val="center"/>
          </w:tcPr>
          <w:p>
            <w:pPr>
              <w:jc w:val="center"/>
            </w:pPr>
            <w:r>
              <w:t>房间</w:t>
            </w:r>
            <w:r>
              <w:br w:type="textWrapping"/>
            </w:r>
            <w:r>
              <w:t>数量</w:t>
            </w:r>
          </w:p>
        </w:tc>
        <w:tc>
          <w:tcPr>
            <w:shd w:val="clear" w:color="auto" w:fill="E6E6E6"/>
            <w:vAlign w:val="center"/>
          </w:tcPr>
          <w:p>
            <w:pPr>
              <w:jc w:val="center"/>
            </w:pPr>
            <w:r>
              <w:t>房间合计面积(㎡)</w:t>
            </w:r>
          </w:p>
        </w:tc>
        <w:tc>
          <w:tcPr>
            <w:shd w:val="clear" w:color="auto" w:fill="E6E6E6"/>
            <w:vAlign w:val="center"/>
          </w:tcPr>
          <w:p>
            <w:pPr>
              <w:jc w:val="center"/>
            </w:pPr>
            <w:r>
              <w:t>合计电耗</w:t>
            </w:r>
            <w:r>
              <w:br w:type="textWrapping"/>
            </w:r>
            <w:r>
              <w:t>(kWh/a)</w:t>
            </w:r>
          </w:p>
        </w:tc>
        <w:tc>
          <w:tcPr>
            <w:shd w:val="clear" w:color="auto" w:fill="E6E6E6"/>
            <w:vAlign w:val="center"/>
          </w:tcPr>
          <w:p>
            <w:pPr>
              <w:jc w:val="center"/>
            </w:pPr>
            <w:r>
              <w:t>碳排放因子(kgCO2/kWh)</w:t>
            </w:r>
          </w:p>
        </w:tc>
        <w:tc>
          <w:tcPr>
            <w:shd w:val="clear" w:color="auto" w:fill="E6E6E6"/>
            <w:vAlign w:val="center"/>
          </w:tcPr>
          <w:p>
            <w:pPr>
              <w:jc w:val="center"/>
            </w:pPr>
            <w:r>
              <w:t>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r>
              <w:t>总计</w:t>
            </w:r>
          </w:p>
        </w:tc>
        <w:tc>
          <w:tcPr>
            <w:vAlign w:val="center"/>
          </w:tcPr>
          <w:p>
            <w:r>
              <w:t>0.000</w:t>
            </w:r>
          </w:p>
        </w:tc>
      </w:tr>
    </w:tbl>
    <w:p>
      <w:pPr>
        <w:pStyle w:val="2"/>
        <w:widowControl w:val="0"/>
        <w:jc w:val="both"/>
        <w:rPr>
          <w:color w:val="000000"/>
        </w:rPr>
      </w:pPr>
      <w:bookmarkStart w:id="59" w:name="_Toc3962"/>
      <w:r>
        <w:rPr>
          <w:color w:val="000000"/>
        </w:rPr>
        <w:t>生活热水</w:t>
      </w:r>
      <w:bookmarkEnd w:id="59"/>
    </w:p>
    <w:p>
      <w:pPr>
        <w:pStyle w:val="4"/>
        <w:widowControl w:val="0"/>
        <w:jc w:val="both"/>
        <w:rPr>
          <w:color w:val="000000"/>
        </w:rPr>
      </w:pPr>
      <w:bookmarkStart w:id="60" w:name="_Toc27700"/>
      <w:r>
        <w:rPr>
          <w:color w:val="000000"/>
        </w:rPr>
        <w:t>热水需求</w:t>
      </w:r>
      <w:bookmarkEnd w:id="60"/>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分区</w:t>
            </w:r>
          </w:p>
        </w:tc>
        <w:tc>
          <w:tcPr>
            <w:shd w:val="clear" w:color="auto" w:fill="E6E6E6"/>
            <w:vAlign w:val="center"/>
          </w:tcPr>
          <w:p>
            <w:pPr>
              <w:jc w:val="center"/>
            </w:pPr>
            <w:r>
              <w:t>用水定额</w:t>
            </w:r>
            <w:r>
              <w:br w:type="textWrapping"/>
            </w:r>
            <w:r>
              <w:t>(L/人·d)</w:t>
            </w:r>
          </w:p>
        </w:tc>
        <w:tc>
          <w:tcPr>
            <w:shd w:val="clear" w:color="auto" w:fill="E6E6E6"/>
            <w:vAlign w:val="center"/>
          </w:tcPr>
          <w:p>
            <w:pPr>
              <w:jc w:val="center"/>
            </w:pPr>
            <w:r>
              <w:t>热水温差(℃)</w:t>
            </w:r>
          </w:p>
        </w:tc>
        <w:tc>
          <w:tcPr>
            <w:shd w:val="clear" w:color="auto" w:fill="E6E6E6"/>
            <w:vAlign w:val="center"/>
          </w:tcPr>
          <w:p>
            <w:pPr>
              <w:jc w:val="center"/>
            </w:pPr>
            <w:r>
              <w:t>用水人数</w:t>
            </w:r>
          </w:p>
        </w:tc>
        <w:tc>
          <w:tcPr>
            <w:shd w:val="clear" w:color="auto" w:fill="E6E6E6"/>
            <w:vAlign w:val="center"/>
          </w:tcPr>
          <w:p>
            <w:pPr>
              <w:jc w:val="center"/>
            </w:pPr>
            <w:r>
              <w:t>年使用天数</w:t>
            </w:r>
          </w:p>
        </w:tc>
        <w:tc>
          <w:tcPr>
            <w:shd w:val="clear" w:color="auto" w:fill="E6E6E6"/>
            <w:vAlign w:val="center"/>
          </w:tcPr>
          <w:p>
            <w:pPr>
              <w:jc w:val="center"/>
            </w:pPr>
            <w:r>
              <w:t>所需热量</w:t>
            </w:r>
            <w:r>
              <w:br w:type="textWrapping"/>
            </w:r>
            <w:r>
              <w:t>(kWh/a)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住宅</w:t>
            </w:r>
          </w:p>
        </w:tc>
        <w:tc>
          <w:tcPr>
            <w:vAlign w:val="center"/>
          </w:tcPr>
          <w:p>
            <w:r>
              <w:t>10</w:t>
            </w:r>
          </w:p>
        </w:tc>
        <w:tc>
          <w:tcPr>
            <w:vAlign w:val="center"/>
          </w:tcPr>
          <w:p>
            <w:r>
              <w:t>45</w:t>
            </w:r>
          </w:p>
        </w:tc>
        <w:tc>
          <w:tcPr>
            <w:vAlign w:val="center"/>
          </w:tcPr>
          <w:p>
            <w:r>
              <w:t>10</w:t>
            </w:r>
          </w:p>
        </w:tc>
        <w:tc>
          <w:tcPr>
            <w:vAlign w:val="center"/>
          </w:tcPr>
          <w:p>
            <w:r>
              <w:t>365</w:t>
            </w:r>
          </w:p>
        </w:tc>
        <w:tc>
          <w:tcPr>
            <w:vAlign w:val="center"/>
          </w:tcPr>
          <w:p>
            <w:r>
              <w:t>1878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r>
              <w:t>总计</w:t>
            </w:r>
          </w:p>
        </w:tc>
        <w:tc>
          <w:tcPr>
            <w:vAlign w:val="center"/>
          </w:tcPr>
          <w:p>
            <w:r>
              <w:t>1878</w:t>
            </w:r>
          </w:p>
        </w:tc>
      </w:tr>
    </w:tbl>
    <w:p>
      <w:pPr>
        <w:pStyle w:val="4"/>
        <w:widowControl w:val="0"/>
        <w:jc w:val="both"/>
        <w:rPr>
          <w:color w:val="000000"/>
        </w:rPr>
      </w:pPr>
      <w:bookmarkStart w:id="61" w:name="_Toc1287"/>
      <w:r>
        <w:rPr>
          <w:color w:val="000000"/>
        </w:rPr>
        <w:t>太阳能集热</w:t>
      </w:r>
      <w:bookmarkEnd w:id="61"/>
    </w:p>
    <w:tbl>
      <w:tblPr>
        <w:tblStyle w:val="18"/>
        <w:tblW w:w="94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697"/>
        <w:gridCol w:w="1273"/>
        <w:gridCol w:w="1024"/>
        <w:gridCol w:w="1301"/>
        <w:gridCol w:w="1352"/>
        <w:gridCol w:w="169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太阳能板</w:t>
            </w:r>
            <w:r>
              <w:br w:type="textWrapping"/>
            </w:r>
            <w:r>
              <w:t>分组名称</w:t>
            </w:r>
          </w:p>
        </w:tc>
        <w:tc>
          <w:tcPr>
            <w:shd w:val="clear" w:color="auto" w:fill="E6E6E6"/>
            <w:vAlign w:val="center"/>
          </w:tcPr>
          <w:p>
            <w:pPr>
              <w:jc w:val="center"/>
            </w:pPr>
            <w:r>
              <w:t>集热器面积(㎡)</w:t>
            </w:r>
          </w:p>
        </w:tc>
        <w:tc>
          <w:tcPr>
            <w:shd w:val="clear" w:color="auto" w:fill="E6E6E6"/>
            <w:vAlign w:val="center"/>
          </w:tcPr>
          <w:p>
            <w:pPr>
              <w:jc w:val="center"/>
            </w:pPr>
            <w:r>
              <w:t>日均辐照量(kj/(㎡·d)</w:t>
            </w:r>
          </w:p>
        </w:tc>
        <w:tc>
          <w:tcPr>
            <w:shd w:val="clear" w:color="auto" w:fill="E6E6E6"/>
            <w:vAlign w:val="center"/>
          </w:tcPr>
          <w:p>
            <w:pPr>
              <w:jc w:val="center"/>
            </w:pPr>
            <w:r>
              <w:t>年利用</w:t>
            </w:r>
            <w:r>
              <w:br w:type="textWrapping"/>
            </w:r>
            <w:r>
              <w:t>天数</w:t>
            </w:r>
          </w:p>
        </w:tc>
        <w:tc>
          <w:tcPr>
            <w:shd w:val="clear" w:color="auto" w:fill="E6E6E6"/>
            <w:vAlign w:val="center"/>
          </w:tcPr>
          <w:p>
            <w:pPr>
              <w:jc w:val="center"/>
            </w:pPr>
            <w:r>
              <w:t>年均集</w:t>
            </w:r>
            <w:r>
              <w:br w:type="textWrapping"/>
            </w:r>
            <w:r>
              <w:t>热效率(%)</w:t>
            </w:r>
          </w:p>
        </w:tc>
        <w:tc>
          <w:tcPr>
            <w:shd w:val="clear" w:color="auto" w:fill="E6E6E6"/>
            <w:vAlign w:val="center"/>
          </w:tcPr>
          <w:p>
            <w:pPr>
              <w:jc w:val="center"/>
            </w:pPr>
            <w:r>
              <w:t>热量</w:t>
            </w:r>
            <w:r>
              <w:br w:type="textWrapping"/>
            </w:r>
            <w:r>
              <w:t>损失率(%)</w:t>
            </w:r>
          </w:p>
        </w:tc>
        <w:tc>
          <w:tcPr>
            <w:shd w:val="clear" w:color="auto" w:fill="E6E6E6"/>
            <w:vAlign w:val="center"/>
          </w:tcPr>
          <w:p>
            <w:pPr>
              <w:jc w:val="center"/>
            </w:pPr>
            <w:r>
              <w:t>太阳能供热(kWh/a)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1</w:t>
            </w:r>
          </w:p>
        </w:tc>
        <w:tc>
          <w:tcPr>
            <w:vAlign w:val="center"/>
          </w:tcPr>
          <w:p>
            <w:r>
              <w:t>0</w:t>
            </w:r>
          </w:p>
        </w:tc>
        <w:tc>
          <w:tcPr>
            <w:vAlign w:val="center"/>
          </w:tcPr>
          <w:p>
            <w:r>
              <w:t>15333</w:t>
            </w:r>
          </w:p>
        </w:tc>
        <w:tc>
          <w:tcPr>
            <w:vAlign w:val="center"/>
          </w:tcPr>
          <w:p>
            <w:r>
              <w:t>365</w:t>
            </w:r>
          </w:p>
        </w:tc>
        <w:tc>
          <w:tcPr>
            <w:vAlign w:val="center"/>
          </w:tcPr>
          <w:p>
            <w:r>
              <w:t>42</w:t>
            </w:r>
          </w:p>
        </w:tc>
        <w:tc>
          <w:tcPr>
            <w:vAlign w:val="center"/>
          </w:tcPr>
          <w:p>
            <w:r>
              <w:t>25</w:t>
            </w:r>
          </w:p>
        </w:tc>
        <w:tc>
          <w:tcPr>
            <w:vAlign w:val="center"/>
          </w:tcPr>
          <w:p>
            <w: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r>
              <w:t>总计</w:t>
            </w:r>
          </w:p>
        </w:tc>
        <w:tc>
          <w:tcPr>
            <w:vAlign w:val="center"/>
          </w:tcPr>
          <w:p>
            <w:r>
              <w:t>0</w:t>
            </w:r>
          </w:p>
        </w:tc>
      </w:tr>
    </w:tbl>
    <w:p>
      <w:pPr>
        <w:pStyle w:val="4"/>
        <w:widowControl w:val="0"/>
        <w:jc w:val="both"/>
        <w:rPr>
          <w:color w:val="000000"/>
        </w:rPr>
      </w:pPr>
      <w:bookmarkStart w:id="62" w:name="_Toc11703"/>
      <w:r>
        <w:rPr>
          <w:color w:val="000000"/>
        </w:rPr>
        <w:t>热水设备</w:t>
      </w:r>
      <w:bookmarkEnd w:id="62"/>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热水设备</w:t>
            </w:r>
          </w:p>
        </w:tc>
        <w:tc>
          <w:tcPr>
            <w:shd w:val="clear" w:color="auto" w:fill="E6E6E6"/>
            <w:vAlign w:val="center"/>
          </w:tcPr>
          <w:p>
            <w:pPr>
              <w:jc w:val="center"/>
            </w:pPr>
            <w:r>
              <w:t>供热比例</w:t>
            </w:r>
          </w:p>
        </w:tc>
        <w:tc>
          <w:tcPr>
            <w:shd w:val="clear" w:color="auto" w:fill="E6E6E6"/>
            <w:vAlign w:val="center"/>
          </w:tcPr>
          <w:p>
            <w:pPr>
              <w:jc w:val="center"/>
            </w:pPr>
            <w:r>
              <w:t>供热量(kWh/a)</w:t>
            </w:r>
          </w:p>
        </w:tc>
        <w:tc>
          <w:tcPr>
            <w:shd w:val="clear" w:color="auto" w:fill="E6E6E6"/>
            <w:vAlign w:val="center"/>
          </w:tcPr>
          <w:p>
            <w:pPr>
              <w:jc w:val="center"/>
            </w:pPr>
            <w:r>
              <w:t>能源</w:t>
            </w:r>
          </w:p>
        </w:tc>
        <w:tc>
          <w:tcPr>
            <w:shd w:val="clear" w:color="auto" w:fill="E6E6E6"/>
            <w:vAlign w:val="center"/>
          </w:tcPr>
          <w:p>
            <w:pPr>
              <w:jc w:val="center"/>
            </w:pPr>
            <w:r>
              <w:t>效率(%)</w:t>
            </w:r>
          </w:p>
        </w:tc>
        <w:tc>
          <w:tcPr>
            <w:shd w:val="clear" w:color="auto" w:fill="E6E6E6"/>
            <w:vAlign w:val="center"/>
          </w:tcPr>
          <w:p>
            <w:pPr>
              <w:jc w:val="center"/>
            </w:pPr>
            <w:r>
              <w:t>耗电量(kWh/a)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电加热</w:t>
            </w:r>
          </w:p>
        </w:tc>
        <w:tc>
          <w:tcPr>
            <w:vAlign w:val="center"/>
          </w:tcPr>
          <w:p>
            <w:r>
              <w:t>1</w:t>
            </w:r>
          </w:p>
        </w:tc>
        <w:tc>
          <w:tcPr>
            <w:vAlign w:val="center"/>
          </w:tcPr>
          <w:p>
            <w:r>
              <w:t>1878</w:t>
            </w:r>
          </w:p>
        </w:tc>
        <w:tc>
          <w:tcPr>
            <w:vAlign w:val="center"/>
          </w:tcPr>
          <w:p>
            <w:r>
              <w:t>电</w:t>
            </w:r>
          </w:p>
        </w:tc>
        <w:tc>
          <w:tcPr>
            <w:vAlign w:val="center"/>
          </w:tcPr>
          <w:p>
            <w:r>
              <w:t>90</w:t>
            </w:r>
          </w:p>
        </w:tc>
        <w:tc>
          <w:tcPr>
            <w:vAlign w:val="center"/>
          </w:tcPr>
          <w:p>
            <w:r>
              <w:t>2086.49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备注</w:t>
            </w:r>
          </w:p>
        </w:tc>
        <w:tc>
          <w:tcPr>
            <w:gridSpan w:val="5"/>
            <w:vAlign w:val="center"/>
          </w:tcPr>
          <w:p>
            <w:r>
              <w:t>热水设备承担的供热量=(总需求热量－太阳能供热量)×设备供热比例。</w:t>
            </w:r>
            <w:r>
              <w:br w:type="textWrapping"/>
            </w:r>
            <w:r>
              <w:t>耗电量=供热量÷效率。</w:t>
            </w:r>
          </w:p>
        </w:tc>
      </w:tr>
    </w:tbl>
    <w:p>
      <w:pPr>
        <w:widowControl w:val="0"/>
        <w:jc w:val="both"/>
        <w:rPr>
          <w:color w:val="000000"/>
        </w:rPr>
      </w:pPr>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01"/>
        <w:gridCol w:w="3101"/>
        <w:gridCol w:w="31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生活热水电耗合计(kWh/a)</w:t>
            </w:r>
          </w:p>
        </w:tc>
        <w:tc>
          <w:tcPr>
            <w:shd w:val="clear" w:color="auto" w:fill="E6E6E6"/>
            <w:vAlign w:val="center"/>
          </w:tcPr>
          <w:p>
            <w:pPr>
              <w:jc w:val="center"/>
            </w:pPr>
            <w:r>
              <w:t>碳排放因子(kgCO2/kWh)</w:t>
            </w:r>
          </w:p>
        </w:tc>
        <w:tc>
          <w:tcPr>
            <w:shd w:val="clear" w:color="auto" w:fill="E6E6E6"/>
            <w:vAlign w:val="center"/>
          </w:tcPr>
          <w:p>
            <w:pPr>
              <w:jc w:val="center"/>
            </w:pPr>
            <w:r>
              <w:t>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2086</w:t>
            </w:r>
          </w:p>
        </w:tc>
        <w:tc>
          <w:tcPr>
            <w:vAlign w:val="center"/>
          </w:tcPr>
          <w:p>
            <w:r>
              <w:t>0.5703</w:t>
            </w:r>
          </w:p>
        </w:tc>
        <w:tc>
          <w:tcPr>
            <w:vAlign w:val="center"/>
          </w:tcPr>
          <w:p>
            <w:r>
              <w:t>1.190</w:t>
            </w:r>
          </w:p>
        </w:tc>
      </w:tr>
    </w:tbl>
    <w:p>
      <w:pPr>
        <w:pStyle w:val="2"/>
        <w:widowControl w:val="0"/>
        <w:jc w:val="both"/>
        <w:rPr>
          <w:color w:val="000000"/>
        </w:rPr>
      </w:pPr>
      <w:bookmarkStart w:id="63" w:name="_Toc6556"/>
      <w:r>
        <w:rPr>
          <w:color w:val="000000"/>
        </w:rPr>
        <w:t>光伏发电</w:t>
      </w:r>
      <w:bookmarkEnd w:id="63"/>
    </w:p>
    <w:p>
      <w:pPr>
        <w:widowControl w:val="0"/>
        <w:jc w:val="both"/>
        <w:rPr>
          <w:color w:val="000000"/>
        </w:rPr>
      </w:pPr>
      <w:r>
        <w:rPr>
          <w:color w:val="000000"/>
        </w:rPr>
        <w:t>日照辐照量(kJ/㎡.天)：15333，年运行天数：365</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131"/>
        <w:gridCol w:w="1131"/>
        <w:gridCol w:w="1697"/>
        <w:gridCol w:w="1131"/>
        <w:gridCol w:w="1431"/>
        <w:gridCol w:w="13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pPr>
              <w:jc w:val="center"/>
            </w:pPr>
            <w:r>
              <w:t>光伏板面积(㎡)</w:t>
            </w:r>
          </w:p>
        </w:tc>
        <w:tc>
          <w:tcPr>
            <w:shd w:val="clear" w:color="auto" w:fill="E6E6E6"/>
            <w:vAlign w:val="center"/>
          </w:tcPr>
          <w:p>
            <w:pPr>
              <w:jc w:val="center"/>
            </w:pPr>
            <w:r>
              <w:t>光电转换</w:t>
            </w:r>
            <w:r>
              <w:br w:type="textWrapping"/>
            </w:r>
            <w:r>
              <w:t>效率(%)</w:t>
            </w:r>
          </w:p>
        </w:tc>
        <w:tc>
          <w:tcPr>
            <w:shd w:val="clear" w:color="auto" w:fill="E6E6E6"/>
            <w:vAlign w:val="center"/>
          </w:tcPr>
          <w:p>
            <w:pPr>
              <w:jc w:val="center"/>
            </w:pPr>
            <w:r>
              <w:t>光伏系统</w:t>
            </w:r>
            <w:r>
              <w:br w:type="textWrapping"/>
            </w:r>
            <w:r>
              <w:t>效率(%)</w:t>
            </w:r>
          </w:p>
        </w:tc>
        <w:tc>
          <w:tcPr>
            <w:shd w:val="clear" w:color="auto" w:fill="E6E6E6"/>
            <w:vAlign w:val="center"/>
          </w:tcPr>
          <w:p>
            <w:pPr>
              <w:jc w:val="center"/>
            </w:pPr>
            <w:r>
              <w:t>光伏电池性能</w:t>
            </w:r>
            <w:r>
              <w:br w:type="textWrapping"/>
            </w:r>
            <w:r>
              <w:t>衰减修正系数</w:t>
            </w:r>
          </w:p>
        </w:tc>
        <w:tc>
          <w:tcPr>
            <w:shd w:val="clear" w:color="auto" w:fill="E6E6E6"/>
            <w:vAlign w:val="center"/>
          </w:tcPr>
          <w:p>
            <w:pPr>
              <w:jc w:val="center"/>
            </w:pPr>
            <w:r>
              <w:t>全年供电</w:t>
            </w:r>
            <w:r>
              <w:br w:type="textWrapping"/>
            </w:r>
            <w:r>
              <w:t>(kWh/a)</w:t>
            </w:r>
          </w:p>
        </w:tc>
        <w:tc>
          <w:tcPr>
            <w:shd w:val="clear" w:color="auto" w:fill="E6E6E6"/>
            <w:vAlign w:val="center"/>
          </w:tcPr>
          <w:p>
            <w:pPr>
              <w:jc w:val="center"/>
            </w:pPr>
            <w:r>
              <w:t>碳排放因子(kgCO2/kWh)</w:t>
            </w:r>
          </w:p>
        </w:tc>
        <w:tc>
          <w:tcPr>
            <w:shd w:val="clear" w:color="auto" w:fill="E6E6E6"/>
            <w:vAlign w:val="center"/>
          </w:tcPr>
          <w:p>
            <w:pPr>
              <w:jc w:val="center"/>
            </w:pPr>
            <w:r>
              <w:t>可减少碳排放量(tCO2/a)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70</w:t>
            </w:r>
          </w:p>
        </w:tc>
        <w:tc>
          <w:tcPr>
            <w:vAlign w:val="center"/>
          </w:tcPr>
          <w:p>
            <w:r>
              <w:t>20</w:t>
            </w:r>
          </w:p>
        </w:tc>
        <w:tc>
          <w:tcPr>
            <w:vAlign w:val="center"/>
          </w:tcPr>
          <w:p>
            <w:r>
              <w:t>75</w:t>
            </w:r>
          </w:p>
        </w:tc>
        <w:tc>
          <w:tcPr>
            <w:vAlign w:val="center"/>
          </w:tcPr>
          <w:p>
            <w:r>
              <w:t>0.85</w:t>
            </w:r>
          </w:p>
        </w:tc>
        <w:tc>
          <w:tcPr>
            <w:vAlign w:val="center"/>
          </w:tcPr>
          <w:p>
            <w:r>
              <w:t>13875</w:t>
            </w:r>
          </w:p>
        </w:tc>
        <w:tc>
          <w:tcPr>
            <w:vAlign w:val="center"/>
          </w:tcPr>
          <w:p>
            <w:r>
              <w:t>0.5703</w:t>
            </w:r>
          </w:p>
        </w:tc>
        <w:tc>
          <w:tcPr>
            <w:vAlign w:val="center"/>
          </w:tcPr>
          <w:p>
            <w:r>
              <w:t>7.913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r>
              <w:t>总计</w:t>
            </w:r>
          </w:p>
        </w:tc>
        <w:tc>
          <w:tcPr>
            <w:vAlign w:val="center"/>
          </w:tcPr>
          <w:p>
            <w:r>
              <w:t>7.913</w:t>
            </w:r>
          </w:p>
        </w:tc>
      </w:tr>
    </w:tbl>
    <w:p>
      <w:pPr>
        <w:pStyle w:val="2"/>
        <w:widowControl w:val="0"/>
        <w:jc w:val="both"/>
        <w:rPr>
          <w:color w:val="000000"/>
        </w:rPr>
      </w:pPr>
      <w:bookmarkStart w:id="64" w:name="_Toc9662"/>
      <w:r>
        <w:rPr>
          <w:color w:val="000000"/>
        </w:rPr>
        <w:t>计算结果</w:t>
      </w:r>
      <w:bookmarkEnd w:id="64"/>
    </w:p>
    <w:p>
      <w:pPr>
        <w:pStyle w:val="4"/>
        <w:widowControl w:val="0"/>
        <w:jc w:val="both"/>
        <w:rPr>
          <w:color w:val="000000"/>
        </w:rPr>
      </w:pPr>
      <w:bookmarkStart w:id="65" w:name="_Toc19667"/>
      <w:r>
        <w:rPr>
          <w:color w:val="000000"/>
        </w:rPr>
        <w:t>建材生产运输碳排放</w:t>
      </w:r>
      <w:bookmarkEnd w:id="65"/>
    </w:p>
    <w:p>
      <w:pPr>
        <w:pStyle w:val="5"/>
        <w:widowControl w:val="0"/>
        <w:jc w:val="both"/>
        <w:rPr>
          <w:color w:val="000000"/>
        </w:rPr>
      </w:pPr>
      <w:bookmarkStart w:id="66" w:name="_Toc1110"/>
      <w:r>
        <w:rPr>
          <w:color w:val="000000"/>
        </w:rPr>
        <w:t>建材生产阶段</w:t>
      </w:r>
      <w:bookmarkEnd w:id="66"/>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材料</w:t>
            </w:r>
          </w:p>
        </w:tc>
        <w:tc>
          <w:tcPr>
            <w:shd w:val="clear" w:color="auto" w:fill="E6E6E6"/>
            <w:vAlign w:val="center"/>
          </w:tcPr>
          <w:p>
            <w:pPr>
              <w:jc w:val="center"/>
            </w:pPr>
            <w:r>
              <w:t>单位</w:t>
            </w:r>
          </w:p>
        </w:tc>
        <w:tc>
          <w:tcPr>
            <w:shd w:val="clear" w:color="auto" w:fill="E6E6E6"/>
            <w:vAlign w:val="center"/>
          </w:tcPr>
          <w:p>
            <w:pPr>
              <w:jc w:val="center"/>
            </w:pPr>
            <w:r>
              <w:t>用量</w:t>
            </w:r>
          </w:p>
        </w:tc>
        <w:tc>
          <w:tcPr>
            <w:shd w:val="clear" w:color="auto" w:fill="E6E6E6"/>
            <w:vAlign w:val="center"/>
          </w:tcPr>
          <w:p>
            <w:pPr>
              <w:jc w:val="center"/>
            </w:pPr>
            <w:r>
              <w:t>拆除后回收比例</w:t>
            </w:r>
          </w:p>
        </w:tc>
        <w:tc>
          <w:tcPr>
            <w:shd w:val="clear" w:color="auto" w:fill="E6E6E6"/>
            <w:vAlign w:val="center"/>
          </w:tcPr>
          <w:p>
            <w:pPr>
              <w:jc w:val="center"/>
            </w:pPr>
            <w:r>
              <w:t>寿命(年)</w:t>
            </w:r>
          </w:p>
        </w:tc>
        <w:tc>
          <w:tcPr>
            <w:shd w:val="clear" w:color="auto" w:fill="E6E6E6"/>
            <w:vAlign w:val="center"/>
          </w:tcPr>
          <w:p>
            <w:pPr>
              <w:jc w:val="center"/>
            </w:pPr>
            <w:r>
              <w:t>碳排放因子</w:t>
            </w:r>
            <w:r>
              <w:br w:type="textWrapping"/>
            </w:r>
            <w:r>
              <w:t>(kgCO2e/单位)</w:t>
            </w:r>
          </w:p>
        </w:tc>
        <w:tc>
          <w:tcPr>
            <w:shd w:val="clear" w:color="auto" w:fill="E6E6E6"/>
            <w:vAlign w:val="center"/>
          </w:tcPr>
          <w:p>
            <w:pPr>
              <w:jc w:val="center"/>
            </w:pPr>
            <w:r>
              <w:t>碳排放量</w:t>
            </w:r>
            <w:r>
              <w:br w:type="textWrapping"/>
            </w:r>
            <w:r>
              <w:t>(tCO2e)</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混凝土</w:t>
            </w:r>
          </w:p>
        </w:tc>
        <w:tc>
          <w:tcPr>
            <w:vAlign w:val="center"/>
          </w:tcPr>
          <w:p>
            <w:r>
              <w:t>m3</w:t>
            </w:r>
          </w:p>
        </w:tc>
        <w:tc>
          <w:tcPr>
            <w:vAlign w:val="center"/>
          </w:tcPr>
          <w:p>
            <w:pPr>
              <w:jc w:val="right"/>
            </w:pPr>
            <w:r>
              <w:t>785.41</w:t>
            </w:r>
          </w:p>
        </w:tc>
        <w:tc>
          <w:tcPr>
            <w:vAlign w:val="center"/>
          </w:tcPr>
          <w:p>
            <w:pPr>
              <w:jc w:val="right"/>
            </w:pPr>
            <w:r>
              <w:t>0</w:t>
            </w:r>
          </w:p>
        </w:tc>
        <w:tc>
          <w:tcPr>
            <w:vAlign w:val="center"/>
          </w:tcPr>
          <w:p>
            <w:pPr>
              <w:jc w:val="right"/>
            </w:pPr>
            <w:r>
              <w:t>全生命周期</w:t>
            </w:r>
          </w:p>
        </w:tc>
        <w:tc>
          <w:tcPr>
            <w:vAlign w:val="center"/>
          </w:tcPr>
          <w:p>
            <w:pPr>
              <w:jc w:val="right"/>
            </w:pPr>
            <w:r>
              <w:t>340</w:t>
            </w:r>
          </w:p>
        </w:tc>
        <w:tc>
          <w:tcPr>
            <w:vAlign w:val="center"/>
          </w:tcPr>
          <w:p>
            <w:pPr>
              <w:jc w:val="right"/>
            </w:pPr>
            <w:r>
              <w:t>267.039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钢筋</w:t>
            </w:r>
          </w:p>
        </w:tc>
        <w:tc>
          <w:tcPr>
            <w:vAlign w:val="center"/>
          </w:tcPr>
          <w:p>
            <w:r>
              <w:t>t</w:t>
            </w:r>
          </w:p>
        </w:tc>
        <w:tc>
          <w:tcPr>
            <w:vAlign w:val="center"/>
          </w:tcPr>
          <w:p>
            <w:pPr>
              <w:jc w:val="right"/>
            </w:pPr>
            <w:r>
              <w:t>98.39</w:t>
            </w:r>
          </w:p>
        </w:tc>
        <w:tc>
          <w:tcPr>
            <w:vAlign w:val="center"/>
          </w:tcPr>
          <w:p>
            <w:pPr>
              <w:jc w:val="right"/>
            </w:pPr>
            <w:r>
              <w:t>0</w:t>
            </w:r>
          </w:p>
        </w:tc>
        <w:tc>
          <w:tcPr>
            <w:vAlign w:val="center"/>
          </w:tcPr>
          <w:p>
            <w:pPr>
              <w:jc w:val="right"/>
            </w:pPr>
            <w:r>
              <w:t>全生命周期</w:t>
            </w:r>
          </w:p>
        </w:tc>
        <w:tc>
          <w:tcPr>
            <w:vAlign w:val="center"/>
          </w:tcPr>
          <w:p>
            <w:pPr>
              <w:jc w:val="right"/>
            </w:pPr>
            <w:r>
              <w:t>2340</w:t>
            </w:r>
          </w:p>
        </w:tc>
        <w:tc>
          <w:tcPr>
            <w:vAlign w:val="center"/>
          </w:tcPr>
          <w:p>
            <w:pPr>
              <w:jc w:val="right"/>
            </w:pPr>
            <w:r>
              <w:t>230.233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型钢</w:t>
            </w:r>
          </w:p>
        </w:tc>
        <w:tc>
          <w:tcPr>
            <w:vAlign w:val="center"/>
          </w:tcPr>
          <w:p>
            <w:r>
              <w:t>t</w:t>
            </w:r>
          </w:p>
        </w:tc>
        <w:tc>
          <w:tcPr>
            <w:vAlign w:val="center"/>
          </w:tcPr>
          <w:p>
            <w:pPr>
              <w:jc w:val="right"/>
            </w:pPr>
            <w:r>
              <w:t>27.62</w:t>
            </w:r>
          </w:p>
        </w:tc>
        <w:tc>
          <w:tcPr>
            <w:vAlign w:val="center"/>
          </w:tcPr>
          <w:p>
            <w:pPr>
              <w:jc w:val="right"/>
            </w:pPr>
            <w:r>
              <w:t>0</w:t>
            </w:r>
          </w:p>
        </w:tc>
        <w:tc>
          <w:tcPr>
            <w:vAlign w:val="center"/>
          </w:tcPr>
          <w:p>
            <w:pPr>
              <w:jc w:val="right"/>
            </w:pPr>
            <w:r>
              <w:t>全生命周期</w:t>
            </w:r>
          </w:p>
        </w:tc>
        <w:tc>
          <w:tcPr>
            <w:vAlign w:val="center"/>
          </w:tcPr>
          <w:p>
            <w:pPr>
              <w:jc w:val="right"/>
            </w:pPr>
            <w:r>
              <w:t>2365</w:t>
            </w:r>
          </w:p>
        </w:tc>
        <w:tc>
          <w:tcPr>
            <w:vAlign w:val="center"/>
          </w:tcPr>
          <w:p>
            <w:pPr>
              <w:jc w:val="right"/>
            </w:pPr>
            <w:r>
              <w:t>65.321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水泥</w:t>
            </w:r>
          </w:p>
        </w:tc>
        <w:tc>
          <w:tcPr>
            <w:vAlign w:val="center"/>
          </w:tcPr>
          <w:p>
            <w:r>
              <w:t>t</w:t>
            </w:r>
          </w:p>
        </w:tc>
        <w:tc>
          <w:tcPr>
            <w:vAlign w:val="center"/>
          </w:tcPr>
          <w:p>
            <w:pPr>
              <w:jc w:val="right"/>
            </w:pPr>
            <w:r>
              <w:t>98.39</w:t>
            </w:r>
          </w:p>
        </w:tc>
        <w:tc>
          <w:tcPr>
            <w:vAlign w:val="center"/>
          </w:tcPr>
          <w:p>
            <w:pPr>
              <w:jc w:val="right"/>
            </w:pPr>
            <w:r>
              <w:t>0</w:t>
            </w:r>
          </w:p>
        </w:tc>
        <w:tc>
          <w:tcPr>
            <w:vAlign w:val="center"/>
          </w:tcPr>
          <w:p>
            <w:pPr>
              <w:jc w:val="right"/>
            </w:pPr>
            <w:r>
              <w:t>全生命周期</w:t>
            </w:r>
          </w:p>
        </w:tc>
        <w:tc>
          <w:tcPr>
            <w:vAlign w:val="center"/>
          </w:tcPr>
          <w:p>
            <w:pPr>
              <w:jc w:val="right"/>
            </w:pPr>
            <w:r>
              <w:t>735</w:t>
            </w:r>
          </w:p>
        </w:tc>
        <w:tc>
          <w:tcPr>
            <w:vAlign w:val="center"/>
          </w:tcPr>
          <w:p>
            <w:pPr>
              <w:jc w:val="right"/>
            </w:pPr>
            <w:r>
              <w:t>72.317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预拌砂浆</w:t>
            </w:r>
          </w:p>
        </w:tc>
        <w:tc>
          <w:tcPr>
            <w:vAlign w:val="center"/>
          </w:tcPr>
          <w:p>
            <w:r>
              <w:t>t</w:t>
            </w:r>
          </w:p>
        </w:tc>
        <w:tc>
          <w:tcPr>
            <w:vAlign w:val="center"/>
          </w:tcPr>
          <w:p>
            <w:pPr>
              <w:jc w:val="right"/>
            </w:pPr>
            <w:r>
              <w:t>526.48</w:t>
            </w:r>
          </w:p>
        </w:tc>
        <w:tc>
          <w:tcPr>
            <w:vAlign w:val="center"/>
          </w:tcPr>
          <w:p>
            <w:pPr>
              <w:jc w:val="right"/>
            </w:pPr>
            <w:r>
              <w:t>0</w:t>
            </w:r>
          </w:p>
        </w:tc>
        <w:tc>
          <w:tcPr>
            <w:vAlign w:val="center"/>
          </w:tcPr>
          <w:p>
            <w:pPr>
              <w:jc w:val="right"/>
            </w:pPr>
            <w:r>
              <w:t>全生命周期</w:t>
            </w:r>
          </w:p>
        </w:tc>
        <w:tc>
          <w:tcPr>
            <w:vAlign w:val="center"/>
          </w:tcPr>
          <w:p>
            <w:pPr>
              <w:jc w:val="right"/>
            </w:pPr>
            <w:r>
              <w:t>370</w:t>
            </w:r>
          </w:p>
        </w:tc>
        <w:tc>
          <w:tcPr>
            <w:vAlign w:val="center"/>
          </w:tcPr>
          <w:p>
            <w:pPr>
              <w:jc w:val="right"/>
            </w:pPr>
            <w:r>
              <w:t>194.798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砂</w:t>
            </w:r>
          </w:p>
        </w:tc>
        <w:tc>
          <w:tcPr>
            <w:vAlign w:val="center"/>
          </w:tcPr>
          <w:p>
            <w:r>
              <w:t>m3</w:t>
            </w:r>
          </w:p>
        </w:tc>
        <w:tc>
          <w:tcPr>
            <w:vAlign w:val="center"/>
          </w:tcPr>
          <w:p>
            <w:pPr>
              <w:jc w:val="right"/>
            </w:pPr>
            <w:r>
              <w:t>153.63</w:t>
            </w:r>
          </w:p>
        </w:tc>
        <w:tc>
          <w:tcPr>
            <w:vAlign w:val="center"/>
          </w:tcPr>
          <w:p>
            <w:pPr>
              <w:jc w:val="right"/>
            </w:pPr>
            <w:r>
              <w:t>0</w:t>
            </w:r>
          </w:p>
        </w:tc>
        <w:tc>
          <w:tcPr>
            <w:vAlign w:val="center"/>
          </w:tcPr>
          <w:p>
            <w:pPr>
              <w:jc w:val="right"/>
            </w:pPr>
            <w:r>
              <w:t>全生命周期</w:t>
            </w:r>
          </w:p>
        </w:tc>
        <w:tc>
          <w:tcPr>
            <w:vAlign w:val="center"/>
          </w:tcPr>
          <w:p>
            <w:pPr>
              <w:jc w:val="right"/>
            </w:pPr>
            <w:r>
              <w:t>3</w:t>
            </w:r>
          </w:p>
        </w:tc>
        <w:tc>
          <w:tcPr>
            <w:vAlign w:val="center"/>
          </w:tcPr>
          <w:p>
            <w:pPr>
              <w:jc w:val="right"/>
            </w:pPr>
            <w:r>
              <w:t>0.461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挤塑聚苯板(ρ=25-32)</w:t>
            </w:r>
          </w:p>
        </w:tc>
        <w:tc>
          <w:tcPr>
            <w:vAlign w:val="center"/>
          </w:tcPr>
          <w:p>
            <w:r>
              <w:t>m3</w:t>
            </w:r>
          </w:p>
        </w:tc>
        <w:tc>
          <w:tcPr>
            <w:vAlign w:val="center"/>
          </w:tcPr>
          <w:p>
            <w:pPr>
              <w:jc w:val="right"/>
            </w:pPr>
            <w:r>
              <w:t>41.65</w:t>
            </w:r>
          </w:p>
        </w:tc>
        <w:tc>
          <w:tcPr>
            <w:vAlign w:val="center"/>
          </w:tcPr>
          <w:p>
            <w:pPr>
              <w:jc w:val="right"/>
            </w:pPr>
            <w:r>
              <w:t>0</w:t>
            </w:r>
          </w:p>
        </w:tc>
        <w:tc>
          <w:tcPr>
            <w:vAlign w:val="center"/>
          </w:tcPr>
          <w:p>
            <w:pPr>
              <w:jc w:val="right"/>
            </w:pPr>
            <w:r>
              <w:t>全生命周期</w:t>
            </w:r>
          </w:p>
        </w:tc>
        <w:tc>
          <w:tcPr>
            <w:vAlign w:val="center"/>
          </w:tcPr>
          <w:p>
            <w:pPr>
              <w:jc w:val="right"/>
            </w:pPr>
            <w:r>
              <w:t>669</w:t>
            </w:r>
          </w:p>
        </w:tc>
        <w:tc>
          <w:tcPr>
            <w:vAlign w:val="center"/>
          </w:tcPr>
          <w:p>
            <w:pPr>
              <w:jc w:val="right"/>
            </w:pPr>
            <w:r>
              <w:t>27.864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加气混凝土、泡沫混凝土(ρ=700)</w:t>
            </w:r>
          </w:p>
        </w:tc>
        <w:tc>
          <w:tcPr>
            <w:vAlign w:val="center"/>
          </w:tcPr>
          <w:p>
            <w:r>
              <w:t>m3</w:t>
            </w:r>
          </w:p>
        </w:tc>
        <w:tc>
          <w:tcPr>
            <w:vAlign w:val="center"/>
          </w:tcPr>
          <w:p>
            <w:pPr>
              <w:jc w:val="right"/>
            </w:pPr>
            <w:r>
              <w:t>37.35</w:t>
            </w:r>
          </w:p>
        </w:tc>
        <w:tc>
          <w:tcPr>
            <w:vAlign w:val="center"/>
          </w:tcPr>
          <w:p>
            <w:pPr>
              <w:jc w:val="right"/>
            </w:pPr>
            <w:r>
              <w:t>0</w:t>
            </w:r>
          </w:p>
        </w:tc>
        <w:tc>
          <w:tcPr>
            <w:vAlign w:val="center"/>
          </w:tcPr>
          <w:p>
            <w:pPr>
              <w:jc w:val="right"/>
            </w:pPr>
            <w:r>
              <w:t>全生命周期</w:t>
            </w:r>
          </w:p>
        </w:tc>
        <w:tc>
          <w:tcPr>
            <w:vAlign w:val="center"/>
          </w:tcPr>
          <w:p>
            <w:pPr>
              <w:jc w:val="right"/>
            </w:pPr>
            <w:r>
              <w:t>327</w:t>
            </w:r>
          </w:p>
        </w:tc>
        <w:tc>
          <w:tcPr>
            <w:vAlign w:val="center"/>
          </w:tcPr>
          <w:p>
            <w:pPr>
              <w:jc w:val="right"/>
            </w:pPr>
            <w:r>
              <w:t>12.213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混凝土多孔砖(190六孔砖）</w:t>
            </w:r>
          </w:p>
        </w:tc>
        <w:tc>
          <w:tcPr>
            <w:vAlign w:val="center"/>
          </w:tcPr>
          <w:p>
            <w:r>
              <w:t>m3</w:t>
            </w:r>
          </w:p>
        </w:tc>
        <w:tc>
          <w:tcPr>
            <w:vAlign w:val="center"/>
          </w:tcPr>
          <w:p>
            <w:pPr>
              <w:jc w:val="right"/>
            </w:pPr>
            <w:r>
              <w:t>178.87</w:t>
            </w:r>
          </w:p>
        </w:tc>
        <w:tc>
          <w:tcPr>
            <w:vAlign w:val="center"/>
          </w:tcPr>
          <w:p>
            <w:pPr>
              <w:jc w:val="right"/>
            </w:pPr>
            <w:r>
              <w:t>0</w:t>
            </w:r>
          </w:p>
        </w:tc>
        <w:tc>
          <w:tcPr>
            <w:vAlign w:val="center"/>
          </w:tcPr>
          <w:p>
            <w:pPr>
              <w:jc w:val="right"/>
            </w:pPr>
            <w:r>
              <w:t>全生命周期</w:t>
            </w:r>
          </w:p>
        </w:tc>
        <w:tc>
          <w:tcPr>
            <w:vAlign w:val="center"/>
          </w:tcPr>
          <w:p>
            <w:pPr>
              <w:jc w:val="right"/>
            </w:pPr>
            <w:r>
              <w:t>295</w:t>
            </w:r>
          </w:p>
        </w:tc>
        <w:tc>
          <w:tcPr>
            <w:vAlign w:val="center"/>
          </w:tcPr>
          <w:p>
            <w:pPr>
              <w:jc w:val="right"/>
            </w:pPr>
            <w:r>
              <w:t>52.767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12A钢铝单框双玻窗（平均）</w:t>
            </w:r>
          </w:p>
        </w:tc>
        <w:tc>
          <w:tcPr>
            <w:vAlign w:val="center"/>
          </w:tcPr>
          <w:p>
            <w:r>
              <w:t>m2</w:t>
            </w:r>
          </w:p>
        </w:tc>
        <w:tc>
          <w:tcPr>
            <w:vAlign w:val="center"/>
          </w:tcPr>
          <w:p>
            <w:pPr>
              <w:jc w:val="right"/>
            </w:pPr>
            <w:r>
              <w:t>121.20</w:t>
            </w:r>
          </w:p>
        </w:tc>
        <w:tc>
          <w:tcPr>
            <w:vAlign w:val="center"/>
          </w:tcPr>
          <w:p>
            <w:pPr>
              <w:jc w:val="right"/>
            </w:pPr>
            <w:r>
              <w:t>0</w:t>
            </w:r>
          </w:p>
        </w:tc>
        <w:tc>
          <w:tcPr>
            <w:vAlign w:val="center"/>
          </w:tcPr>
          <w:p>
            <w:pPr>
              <w:jc w:val="right"/>
            </w:pPr>
            <w:r>
              <w:t>全生命周期</w:t>
            </w:r>
          </w:p>
        </w:tc>
        <w:tc>
          <w:tcPr>
            <w:vAlign w:val="center"/>
          </w:tcPr>
          <w:p>
            <w:pPr>
              <w:jc w:val="right"/>
            </w:pPr>
            <w:r>
              <w:t>129.5</w:t>
            </w:r>
          </w:p>
        </w:tc>
        <w:tc>
          <w:tcPr>
            <w:vAlign w:val="center"/>
          </w:tcPr>
          <w:p>
            <w:pPr>
              <w:jc w:val="right"/>
            </w:pPr>
            <w:r>
              <w:t>15.695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保温门（多功能门）</w:t>
            </w:r>
          </w:p>
        </w:tc>
        <w:tc>
          <w:tcPr>
            <w:vAlign w:val="center"/>
          </w:tcPr>
          <w:p>
            <w:r>
              <w:t>m2</w:t>
            </w:r>
          </w:p>
        </w:tc>
        <w:tc>
          <w:tcPr>
            <w:vAlign w:val="center"/>
          </w:tcPr>
          <w:p>
            <w:pPr>
              <w:jc w:val="right"/>
            </w:pPr>
            <w:r>
              <w:t>44.79</w:t>
            </w:r>
          </w:p>
        </w:tc>
        <w:tc>
          <w:tcPr>
            <w:vAlign w:val="center"/>
          </w:tcPr>
          <w:p>
            <w:pPr>
              <w:jc w:val="right"/>
            </w:pPr>
            <w:r>
              <w:t>0</w:t>
            </w:r>
          </w:p>
        </w:tc>
        <w:tc>
          <w:tcPr>
            <w:vAlign w:val="center"/>
          </w:tcPr>
          <w:p>
            <w:pPr>
              <w:jc w:val="right"/>
            </w:pPr>
            <w:r>
              <w:t>全生命周期</w:t>
            </w:r>
          </w:p>
        </w:tc>
        <w:tc>
          <w:tcPr>
            <w:vAlign w:val="center"/>
          </w:tcPr>
          <w:p>
            <w:pPr>
              <w:jc w:val="right"/>
            </w:pPr>
            <w:r>
              <w:t>48.3</w:t>
            </w:r>
          </w:p>
        </w:tc>
        <w:tc>
          <w:tcPr>
            <w:vAlign w:val="center"/>
          </w:tcPr>
          <w:p>
            <w:pPr>
              <w:jc w:val="right"/>
            </w:pPr>
            <w:r>
              <w:t>2.163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陶瓷</w:t>
            </w:r>
          </w:p>
        </w:tc>
        <w:tc>
          <w:tcPr>
            <w:vAlign w:val="center"/>
          </w:tcPr>
          <w:p>
            <w:r>
              <w:t>m2</w:t>
            </w:r>
          </w:p>
        </w:tc>
        <w:tc>
          <w:tcPr>
            <w:vAlign w:val="center"/>
          </w:tcPr>
          <w:p>
            <w:pPr>
              <w:jc w:val="right"/>
            </w:pPr>
            <w:r>
              <w:t>2263.01</w:t>
            </w:r>
          </w:p>
        </w:tc>
        <w:tc>
          <w:tcPr>
            <w:vAlign w:val="center"/>
          </w:tcPr>
          <w:p>
            <w:pPr>
              <w:jc w:val="right"/>
            </w:pPr>
            <w:r>
              <w:t>0</w:t>
            </w:r>
          </w:p>
        </w:tc>
        <w:tc>
          <w:tcPr>
            <w:vAlign w:val="center"/>
          </w:tcPr>
          <w:p>
            <w:pPr>
              <w:jc w:val="right"/>
            </w:pPr>
            <w:r>
              <w:t>全生命周期</w:t>
            </w:r>
          </w:p>
        </w:tc>
        <w:tc>
          <w:tcPr>
            <w:vAlign w:val="center"/>
          </w:tcPr>
          <w:p>
            <w:pPr>
              <w:jc w:val="right"/>
            </w:pPr>
            <w:r>
              <w:t>19.5</w:t>
            </w:r>
          </w:p>
        </w:tc>
        <w:tc>
          <w:tcPr>
            <w:vAlign w:val="center"/>
          </w:tcPr>
          <w:p>
            <w:pPr>
              <w:jc w:val="right"/>
            </w:pPr>
            <w:r>
              <w:t>44.129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r>
              <w:t>涂料</w:t>
            </w:r>
          </w:p>
        </w:tc>
        <w:tc>
          <w:tcPr>
            <w:vAlign w:val="center"/>
          </w:tcPr>
          <w:p>
            <w:r>
              <w:t>t</w:t>
            </w:r>
          </w:p>
        </w:tc>
        <w:tc>
          <w:tcPr>
            <w:vAlign w:val="center"/>
          </w:tcPr>
          <w:p>
            <w:pPr>
              <w:jc w:val="right"/>
            </w:pPr>
            <w:r>
              <w:t>6.90</w:t>
            </w:r>
          </w:p>
        </w:tc>
        <w:tc>
          <w:tcPr>
            <w:vAlign w:val="center"/>
          </w:tcPr>
          <w:p>
            <w:pPr>
              <w:jc w:val="right"/>
            </w:pPr>
            <w:r>
              <w:t>0</w:t>
            </w:r>
          </w:p>
        </w:tc>
        <w:tc>
          <w:tcPr>
            <w:vAlign w:val="center"/>
          </w:tcPr>
          <w:p>
            <w:pPr>
              <w:jc w:val="right"/>
            </w:pPr>
            <w:r>
              <w:t>全生命周期</w:t>
            </w:r>
          </w:p>
        </w:tc>
        <w:tc>
          <w:tcPr>
            <w:vAlign w:val="center"/>
          </w:tcPr>
          <w:p>
            <w:pPr>
              <w:jc w:val="right"/>
            </w:pPr>
            <w:r>
              <w:t>6550</w:t>
            </w:r>
          </w:p>
        </w:tc>
        <w:tc>
          <w:tcPr>
            <w:vAlign w:val="center"/>
          </w:tcPr>
          <w:p>
            <w:pPr>
              <w:jc w:val="right"/>
            </w:pPr>
            <w:r>
              <w:t>45.195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电缆</w:t>
            </w:r>
          </w:p>
        </w:tc>
        <w:tc>
          <w:tcPr>
            <w:vAlign w:val="center"/>
          </w:tcPr>
          <w:p>
            <w:r>
              <w:t>kg</w:t>
            </w:r>
          </w:p>
        </w:tc>
        <w:tc>
          <w:tcPr>
            <w:vAlign w:val="center"/>
          </w:tcPr>
          <w:p>
            <w:pPr>
              <w:jc w:val="right"/>
            </w:pPr>
            <w:r>
              <w:t>86.31</w:t>
            </w:r>
          </w:p>
        </w:tc>
        <w:tc>
          <w:tcPr>
            <w:vAlign w:val="center"/>
          </w:tcPr>
          <w:p>
            <w:pPr>
              <w:jc w:val="right"/>
            </w:pPr>
            <w:r>
              <w:t>0</w:t>
            </w:r>
          </w:p>
        </w:tc>
        <w:tc>
          <w:tcPr>
            <w:vAlign w:val="center"/>
          </w:tcPr>
          <w:p>
            <w:pPr>
              <w:jc w:val="right"/>
            </w:pPr>
            <w:r>
              <w:t>全生命周期</w:t>
            </w:r>
          </w:p>
        </w:tc>
        <w:tc>
          <w:tcPr>
            <w:vAlign w:val="center"/>
          </w:tcPr>
          <w:p>
            <w:pPr>
              <w:jc w:val="right"/>
            </w:pPr>
            <w:r>
              <w:t>94.1</w:t>
            </w:r>
          </w:p>
        </w:tc>
        <w:tc>
          <w:tcPr>
            <w:vAlign w:val="center"/>
          </w:tcPr>
          <w:p>
            <w:pPr>
              <w:jc w:val="right"/>
            </w:pPr>
            <w:r>
              <w:t>8.122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管材</w:t>
            </w:r>
          </w:p>
        </w:tc>
        <w:tc>
          <w:tcPr>
            <w:vAlign w:val="center"/>
          </w:tcPr>
          <w:p>
            <w:r>
              <w:t>kg</w:t>
            </w:r>
          </w:p>
        </w:tc>
        <w:tc>
          <w:tcPr>
            <w:vAlign w:val="center"/>
          </w:tcPr>
          <w:p>
            <w:pPr>
              <w:jc w:val="right"/>
            </w:pPr>
            <w:r>
              <w:t>2589.26</w:t>
            </w:r>
          </w:p>
        </w:tc>
        <w:tc>
          <w:tcPr>
            <w:vAlign w:val="center"/>
          </w:tcPr>
          <w:p>
            <w:pPr>
              <w:jc w:val="right"/>
            </w:pPr>
            <w:r>
              <w:t>0</w:t>
            </w:r>
          </w:p>
        </w:tc>
        <w:tc>
          <w:tcPr>
            <w:vAlign w:val="center"/>
          </w:tcPr>
          <w:p>
            <w:pPr>
              <w:jc w:val="right"/>
            </w:pPr>
            <w:r>
              <w:t>全生命周期</w:t>
            </w:r>
          </w:p>
        </w:tc>
        <w:tc>
          <w:tcPr>
            <w:vAlign w:val="center"/>
          </w:tcPr>
          <w:p>
            <w:pPr>
              <w:jc w:val="right"/>
            </w:pPr>
            <w:r>
              <w:t>3.6</w:t>
            </w:r>
          </w:p>
        </w:tc>
        <w:tc>
          <w:tcPr>
            <w:vAlign w:val="center"/>
          </w:tcPr>
          <w:p>
            <w:pPr>
              <w:jc w:val="right"/>
            </w:pPr>
            <w:r>
              <w:t>9.321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r>
              <w:t>合计</w:t>
            </w:r>
          </w:p>
        </w:tc>
        <w:tc>
          <w:tcPr>
            <w:vAlign w:val="center"/>
          </w:tcPr>
          <w:p>
            <w:pPr>
              <w:jc w:val="right"/>
            </w:pPr>
            <w:r>
              <w:t>1047.638</w:t>
            </w:r>
          </w:p>
        </w:tc>
      </w:tr>
    </w:tbl>
    <w:p>
      <w:pPr>
        <w:pStyle w:val="5"/>
        <w:widowControl w:val="0"/>
        <w:jc w:val="both"/>
        <w:rPr>
          <w:color w:val="000000"/>
        </w:rPr>
      </w:pPr>
      <w:bookmarkStart w:id="67" w:name="_Toc27129"/>
      <w:r>
        <w:rPr>
          <w:color w:val="000000"/>
        </w:rPr>
        <w:t>建材运输阶段</w:t>
      </w:r>
      <w:bookmarkEnd w:id="67"/>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材料</w:t>
            </w:r>
          </w:p>
        </w:tc>
        <w:tc>
          <w:tcPr>
            <w:shd w:val="clear" w:color="auto" w:fill="E6E6E6"/>
            <w:vAlign w:val="center"/>
          </w:tcPr>
          <w:p>
            <w:pPr>
              <w:jc w:val="center"/>
            </w:pPr>
            <w:r>
              <w:t>重量(t)</w:t>
            </w:r>
          </w:p>
        </w:tc>
        <w:tc>
          <w:tcPr>
            <w:shd w:val="clear" w:color="auto" w:fill="E6E6E6"/>
            <w:vAlign w:val="center"/>
          </w:tcPr>
          <w:p>
            <w:pPr>
              <w:jc w:val="center"/>
            </w:pPr>
            <w:r>
              <w:t>运输距离</w:t>
            </w:r>
            <w:r>
              <w:br w:type="textWrapping"/>
            </w:r>
            <w:r>
              <w:t>(km)</w:t>
            </w:r>
          </w:p>
        </w:tc>
        <w:tc>
          <w:tcPr>
            <w:shd w:val="clear" w:color="auto" w:fill="E6E6E6"/>
            <w:vAlign w:val="center"/>
          </w:tcPr>
          <w:p>
            <w:pPr>
              <w:jc w:val="center"/>
            </w:pPr>
            <w:r>
              <w:t>寿命(年)</w:t>
            </w:r>
          </w:p>
        </w:tc>
        <w:tc>
          <w:tcPr>
            <w:shd w:val="clear" w:color="auto" w:fill="E6E6E6"/>
            <w:vAlign w:val="center"/>
          </w:tcPr>
          <w:p>
            <w:pPr>
              <w:jc w:val="center"/>
            </w:pPr>
            <w:r>
              <w:t>碳排放因子</w:t>
            </w:r>
            <w:r>
              <w:br w:type="textWrapping"/>
            </w:r>
            <w:r>
              <w:t>(kgCO2e/t·km)</w:t>
            </w:r>
          </w:p>
        </w:tc>
        <w:tc>
          <w:tcPr>
            <w:shd w:val="clear" w:color="auto" w:fill="E6E6E6"/>
            <w:vAlign w:val="center"/>
          </w:tcPr>
          <w:p>
            <w:pPr>
              <w:jc w:val="center"/>
            </w:pPr>
            <w:r>
              <w:t>碳排放量</w:t>
            </w:r>
            <w:r>
              <w:br w:type="textWrapping"/>
            </w:r>
            <w:r>
              <w:t>(tCO2e)</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混凝土</w:t>
            </w:r>
          </w:p>
        </w:tc>
        <w:tc>
          <w:tcPr>
            <w:vAlign w:val="center"/>
          </w:tcPr>
          <w:p>
            <w:pPr>
              <w:jc w:val="right"/>
            </w:pPr>
            <w:r>
              <w:t>1853.56</w:t>
            </w:r>
          </w:p>
        </w:tc>
        <w:tc>
          <w:tcPr>
            <w:vAlign w:val="center"/>
          </w:tcPr>
          <w:p>
            <w:pPr>
              <w:jc w:val="right"/>
            </w:pPr>
            <w:r>
              <w:t>40</w:t>
            </w:r>
          </w:p>
        </w:tc>
        <w:tc>
          <w:tcPr>
            <w:vAlign w:val="center"/>
          </w:tcPr>
          <w:p>
            <w:pPr>
              <w:jc w:val="right"/>
            </w:pPr>
            <w:r>
              <w:t>全生命周期</w:t>
            </w:r>
          </w:p>
        </w:tc>
        <w:tc>
          <w:tcPr>
            <w:vAlign w:val="center"/>
          </w:tcPr>
          <w:p>
            <w:pPr>
              <w:jc w:val="right"/>
            </w:pPr>
            <w:r>
              <w:t>0.115</w:t>
            </w:r>
          </w:p>
        </w:tc>
        <w:tc>
          <w:tcPr>
            <w:vAlign w:val="center"/>
          </w:tcPr>
          <w:p>
            <w:pPr>
              <w:jc w:val="right"/>
            </w:pPr>
            <w:r>
              <w:t>8.526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钢筋</w:t>
            </w:r>
          </w:p>
        </w:tc>
        <w:tc>
          <w:tcPr>
            <w:vAlign w:val="center"/>
          </w:tcPr>
          <w:p>
            <w:pPr>
              <w:jc w:val="right"/>
            </w:pPr>
            <w:r>
              <w:t>98.39</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5.657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型钢</w:t>
            </w:r>
          </w:p>
        </w:tc>
        <w:tc>
          <w:tcPr>
            <w:vAlign w:val="center"/>
          </w:tcPr>
          <w:p>
            <w:pPr>
              <w:jc w:val="right"/>
            </w:pPr>
            <w:r>
              <w:t>27.62</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1.588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水泥</w:t>
            </w:r>
          </w:p>
        </w:tc>
        <w:tc>
          <w:tcPr>
            <w:vAlign w:val="center"/>
          </w:tcPr>
          <w:p>
            <w:pPr>
              <w:jc w:val="right"/>
            </w:pPr>
            <w:r>
              <w:t>98.39</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5.657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预拌砂浆</w:t>
            </w:r>
          </w:p>
        </w:tc>
        <w:tc>
          <w:tcPr>
            <w:vAlign w:val="center"/>
          </w:tcPr>
          <w:p>
            <w:pPr>
              <w:jc w:val="right"/>
            </w:pPr>
            <w:r>
              <w:t>526.48</w:t>
            </w:r>
          </w:p>
        </w:tc>
        <w:tc>
          <w:tcPr>
            <w:vAlign w:val="center"/>
          </w:tcPr>
          <w:p>
            <w:pPr>
              <w:jc w:val="right"/>
            </w:pPr>
            <w:r>
              <w:t>40</w:t>
            </w:r>
          </w:p>
        </w:tc>
        <w:tc>
          <w:tcPr>
            <w:vAlign w:val="center"/>
          </w:tcPr>
          <w:p>
            <w:pPr>
              <w:jc w:val="right"/>
            </w:pPr>
            <w:r>
              <w:t>全生命周期</w:t>
            </w:r>
          </w:p>
        </w:tc>
        <w:tc>
          <w:tcPr>
            <w:vAlign w:val="center"/>
          </w:tcPr>
          <w:p>
            <w:pPr>
              <w:jc w:val="right"/>
            </w:pPr>
            <w:r>
              <w:t>0.115</w:t>
            </w:r>
          </w:p>
        </w:tc>
        <w:tc>
          <w:tcPr>
            <w:vAlign w:val="center"/>
          </w:tcPr>
          <w:p>
            <w:pPr>
              <w:jc w:val="right"/>
            </w:pPr>
            <w:r>
              <w:t>2.422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砂</w:t>
            </w:r>
          </w:p>
        </w:tc>
        <w:tc>
          <w:tcPr>
            <w:vAlign w:val="center"/>
          </w:tcPr>
          <w:p>
            <w:pPr>
              <w:jc w:val="right"/>
            </w:pPr>
            <w:r>
              <w:t>245.81</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14.134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挤塑聚苯板(ρ=25-32)</w:t>
            </w:r>
          </w:p>
        </w:tc>
        <w:tc>
          <w:tcPr>
            <w:vAlign w:val="center"/>
          </w:tcPr>
          <w:p>
            <w:pPr>
              <w:jc w:val="right"/>
            </w:pPr>
            <w:r>
              <w:t>1.19</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0.068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加气混凝土、泡沫混凝土(ρ=700)</w:t>
            </w:r>
          </w:p>
        </w:tc>
        <w:tc>
          <w:tcPr>
            <w:vAlign w:val="center"/>
          </w:tcPr>
          <w:p>
            <w:pPr>
              <w:jc w:val="right"/>
            </w:pPr>
            <w:r>
              <w:t>26.14</w:t>
            </w:r>
          </w:p>
        </w:tc>
        <w:tc>
          <w:tcPr>
            <w:vAlign w:val="center"/>
          </w:tcPr>
          <w:p>
            <w:pPr>
              <w:jc w:val="right"/>
            </w:pPr>
            <w:r>
              <w:t>40</w:t>
            </w:r>
          </w:p>
        </w:tc>
        <w:tc>
          <w:tcPr>
            <w:vAlign w:val="center"/>
          </w:tcPr>
          <w:p>
            <w:pPr>
              <w:jc w:val="right"/>
            </w:pPr>
            <w:r>
              <w:t>全生命周期</w:t>
            </w:r>
          </w:p>
        </w:tc>
        <w:tc>
          <w:tcPr>
            <w:vAlign w:val="center"/>
          </w:tcPr>
          <w:p>
            <w:pPr>
              <w:jc w:val="right"/>
            </w:pPr>
            <w:r>
              <w:t>0.115</w:t>
            </w:r>
          </w:p>
        </w:tc>
        <w:tc>
          <w:tcPr>
            <w:vAlign w:val="center"/>
          </w:tcPr>
          <w:p>
            <w:pPr>
              <w:jc w:val="right"/>
            </w:pPr>
            <w:r>
              <w:t>0.120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混凝土多孔砖(190六孔砖）</w:t>
            </w:r>
          </w:p>
        </w:tc>
        <w:tc>
          <w:tcPr>
            <w:vAlign w:val="center"/>
          </w:tcPr>
          <w:p>
            <w:pPr>
              <w:jc w:val="right"/>
            </w:pPr>
            <w:r>
              <w:t>259.36</w:t>
            </w:r>
          </w:p>
        </w:tc>
        <w:tc>
          <w:tcPr>
            <w:vAlign w:val="center"/>
          </w:tcPr>
          <w:p>
            <w:pPr>
              <w:jc w:val="right"/>
            </w:pPr>
            <w:r>
              <w:t>40</w:t>
            </w:r>
          </w:p>
        </w:tc>
        <w:tc>
          <w:tcPr>
            <w:vAlign w:val="center"/>
          </w:tcPr>
          <w:p>
            <w:pPr>
              <w:jc w:val="right"/>
            </w:pPr>
            <w:r>
              <w:t>全生命周期</w:t>
            </w:r>
          </w:p>
        </w:tc>
        <w:tc>
          <w:tcPr>
            <w:vAlign w:val="center"/>
          </w:tcPr>
          <w:p>
            <w:pPr>
              <w:jc w:val="right"/>
            </w:pPr>
            <w:r>
              <w:t>0.115</w:t>
            </w:r>
          </w:p>
        </w:tc>
        <w:tc>
          <w:tcPr>
            <w:vAlign w:val="center"/>
          </w:tcPr>
          <w:p>
            <w:pPr>
              <w:jc w:val="right"/>
            </w:pPr>
            <w:r>
              <w:t>1.193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12A钢铝单框双玻窗（平均）</w:t>
            </w:r>
          </w:p>
        </w:tc>
        <w:tc>
          <w:tcPr>
            <w:vAlign w:val="center"/>
          </w:tcPr>
          <w:p>
            <w:pPr>
              <w:jc w:val="right"/>
            </w:pPr>
            <w:r>
              <w:t>2.42</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0.139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保温门（多功能门）</w:t>
            </w:r>
          </w:p>
        </w:tc>
        <w:tc>
          <w:tcPr>
            <w:vAlign w:val="center"/>
          </w:tcPr>
          <w:p>
            <w:pPr>
              <w:jc w:val="right"/>
            </w:pPr>
            <w:r>
              <w:t>1.34</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0.077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陶瓷</w:t>
            </w:r>
          </w:p>
        </w:tc>
        <w:tc>
          <w:tcPr>
            <w:vAlign w:val="center"/>
          </w:tcPr>
          <w:p>
            <w:pPr>
              <w:jc w:val="right"/>
            </w:pPr>
            <w:r>
              <w:t>67.89</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3.904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涂料</w:t>
            </w:r>
          </w:p>
        </w:tc>
        <w:tc>
          <w:tcPr>
            <w:vAlign w:val="center"/>
          </w:tcPr>
          <w:p>
            <w:pPr>
              <w:jc w:val="right"/>
            </w:pPr>
            <w:r>
              <w:t>6.90</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0.397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电缆</w:t>
            </w:r>
          </w:p>
        </w:tc>
        <w:tc>
          <w:tcPr>
            <w:vAlign w:val="center"/>
          </w:tcPr>
          <w:p>
            <w:pPr>
              <w:jc w:val="right"/>
            </w:pPr>
            <w:r>
              <w:t>0.09</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管材</w:t>
            </w:r>
          </w:p>
        </w:tc>
        <w:tc>
          <w:tcPr>
            <w:vAlign w:val="center"/>
          </w:tcPr>
          <w:p>
            <w:pPr>
              <w:jc w:val="right"/>
            </w:pPr>
            <w:r>
              <w:t>2.59</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0.149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r>
              <w:t>总计</w:t>
            </w:r>
          </w:p>
        </w:tc>
        <w:tc>
          <w:tcPr>
            <w:vAlign w:val="center"/>
          </w:tcPr>
          <w:p>
            <w:pPr>
              <w:jc w:val="right"/>
            </w:pPr>
            <w:r>
              <w:t>44.036</w:t>
            </w:r>
          </w:p>
        </w:tc>
      </w:tr>
    </w:tbl>
    <w:p>
      <w:pPr>
        <w:pStyle w:val="4"/>
        <w:widowControl w:val="0"/>
        <w:jc w:val="both"/>
        <w:rPr>
          <w:color w:val="000000"/>
        </w:rPr>
      </w:pPr>
      <w:bookmarkStart w:id="68" w:name="_Toc7487"/>
      <w:r>
        <w:rPr>
          <w:color w:val="000000"/>
        </w:rPr>
        <w:t>建筑建造拆除碳排放</w:t>
      </w:r>
      <w:bookmarkEnd w:id="68"/>
    </w:p>
    <w:p>
      <w:pPr>
        <w:pStyle w:val="5"/>
        <w:widowControl w:val="0"/>
        <w:jc w:val="both"/>
        <w:rPr>
          <w:color w:val="000000"/>
        </w:rPr>
      </w:pPr>
      <w:bookmarkStart w:id="69" w:name="_Toc31946"/>
      <w:r>
        <w:rPr>
          <w:color w:val="000000"/>
        </w:rPr>
        <w:t>建筑建造</w:t>
      </w:r>
      <w:bookmarkEnd w:id="69"/>
    </w:p>
    <w:p>
      <w:pPr>
        <w:widowControl w:val="0"/>
        <w:jc w:val="both"/>
        <w:rPr>
          <w:color w:val="000000"/>
        </w:rPr>
      </w:pPr>
      <w:r>
        <w:rPr>
          <w:color w:val="000000"/>
        </w:rPr>
        <w:t>根据广东省《建筑碳排放计算导则（试行）》，采用经验公式法进行估算，公式如下：</w:t>
      </w:r>
    </w:p>
    <w:p>
      <w:pPr>
        <w:widowControl w:val="0"/>
        <w:jc w:val="both"/>
        <w:rPr>
          <w:color w:val="000000"/>
        </w:rPr>
      </w:pPr>
      <w:r>
        <w:rPr>
          <w:color w:val="000000"/>
        </w:rPr>
        <w:t xml:space="preserve">Y = X + 1.99 </w:t>
      </w:r>
    </w:p>
    <w:p>
      <w:pPr>
        <w:widowControl w:val="0"/>
        <w:jc w:val="both"/>
        <w:rPr>
          <w:color w:val="000000"/>
        </w:rPr>
      </w:pPr>
      <w:r>
        <w:rPr>
          <w:color w:val="000000"/>
        </w:rPr>
        <w:t>其中X 为地上层数，Y 为单位面积的碳排放量，单位为：kgCO2/㎡,</w:t>
      </w:r>
    </w:p>
    <w:p>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建筑面积(㎡)</w:t>
            </w:r>
          </w:p>
        </w:tc>
        <w:tc>
          <w:tcPr>
            <w:shd w:val="clear" w:color="auto" w:fill="E6E6E6"/>
            <w:vAlign w:val="center"/>
          </w:tcPr>
          <w:p>
            <w:pPr>
              <w:jc w:val="center"/>
            </w:pPr>
            <w:r>
              <w:t>地上层数</w:t>
            </w:r>
          </w:p>
        </w:tc>
        <w:tc>
          <w:tcPr>
            <w:shd w:val="clear" w:color="auto" w:fill="E6E6E6"/>
            <w:vAlign w:val="center"/>
          </w:tcPr>
          <w:p>
            <w:pPr>
              <w:jc w:val="center"/>
            </w:pPr>
            <w:r>
              <w:t>单位面积碳排放量(kgCO2/㎡)</w:t>
            </w:r>
          </w:p>
        </w:tc>
        <w:tc>
          <w:tcPr>
            <w:shd w:val="clear" w:color="auto" w:fill="E6E6E6"/>
            <w:vAlign w:val="center"/>
          </w:tcPr>
          <w:p>
            <w:pPr>
              <w:jc w:val="center"/>
            </w:pPr>
            <w:r>
              <w:t>建造碳排放量(tCO2)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1726.17</w:t>
            </w:r>
          </w:p>
        </w:tc>
        <w:tc>
          <w:tcPr>
            <w:vAlign w:val="center"/>
          </w:tcPr>
          <w:p>
            <w:r>
              <w:t>4</w:t>
            </w:r>
          </w:p>
        </w:tc>
        <w:tc>
          <w:tcPr>
            <w:vAlign w:val="center"/>
          </w:tcPr>
          <w:p>
            <w:r>
              <w:t>5.99</w:t>
            </w:r>
          </w:p>
        </w:tc>
        <w:tc>
          <w:tcPr>
            <w:vAlign w:val="center"/>
          </w:tcPr>
          <w:p>
            <w:r>
              <w:t>10.340</w:t>
            </w:r>
          </w:p>
        </w:tc>
      </w:tr>
    </w:tbl>
    <w:p>
      <w:pPr>
        <w:pStyle w:val="5"/>
        <w:widowControl w:val="0"/>
        <w:jc w:val="both"/>
        <w:rPr>
          <w:color w:val="000000"/>
        </w:rPr>
      </w:pPr>
      <w:bookmarkStart w:id="70" w:name="_Toc16448"/>
      <w:r>
        <w:rPr>
          <w:color w:val="000000"/>
        </w:rPr>
        <w:t>建筑拆除</w:t>
      </w:r>
      <w:bookmarkEnd w:id="70"/>
    </w:p>
    <w:p>
      <w:pPr>
        <w:widowControl w:val="0"/>
        <w:jc w:val="both"/>
        <w:rPr>
          <w:color w:val="000000"/>
        </w:rPr>
      </w:pPr>
      <w:r>
        <w:rPr>
          <w:color w:val="000000"/>
        </w:rPr>
        <w:t>根据广东省《建筑碳排放计算导则（试行）》，建议粗略估算拆除阶段的碳排放，计算方法与建造阶段公式一致即可，公式如下：</w:t>
      </w:r>
    </w:p>
    <w:p>
      <w:pPr>
        <w:widowControl w:val="0"/>
        <w:jc w:val="both"/>
        <w:rPr>
          <w:color w:val="000000"/>
        </w:rPr>
      </w:pPr>
      <w:r>
        <w:rPr>
          <w:color w:val="000000"/>
        </w:rPr>
        <w:t xml:space="preserve">Y = X + 1.99 </w:t>
      </w:r>
    </w:p>
    <w:p>
      <w:pPr>
        <w:widowControl w:val="0"/>
        <w:jc w:val="both"/>
        <w:rPr>
          <w:color w:val="000000"/>
        </w:rPr>
      </w:pPr>
      <w:r>
        <w:rPr>
          <w:color w:val="000000"/>
        </w:rPr>
        <w:t>其中X 为地上层数，Y 为单位面积的碳排放量，单位为：kgCO2/㎡,</w:t>
      </w:r>
    </w:p>
    <w:p>
      <w:pPr>
        <w:widowControl w:val="0"/>
        <w:jc w:val="both"/>
        <w:rPr>
          <w:color w:val="000000"/>
        </w:rPr>
      </w:pPr>
      <w:r>
        <w:rPr>
          <w:color w:val="000000"/>
        </w:rPr>
        <w:t>则拆除阶段碳排放估算值 Ccc=Y×A,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建筑面积(㎡)</w:t>
            </w:r>
          </w:p>
        </w:tc>
        <w:tc>
          <w:tcPr>
            <w:shd w:val="clear" w:color="auto" w:fill="E6E6E6"/>
            <w:vAlign w:val="center"/>
          </w:tcPr>
          <w:p>
            <w:pPr>
              <w:jc w:val="center"/>
            </w:pPr>
            <w:r>
              <w:t>地上层数</w:t>
            </w:r>
          </w:p>
        </w:tc>
        <w:tc>
          <w:tcPr>
            <w:shd w:val="clear" w:color="auto" w:fill="E6E6E6"/>
            <w:vAlign w:val="center"/>
          </w:tcPr>
          <w:p>
            <w:pPr>
              <w:jc w:val="center"/>
            </w:pPr>
            <w:r>
              <w:t>单位面积碳排放量(kgCO2/㎡)</w:t>
            </w:r>
          </w:p>
        </w:tc>
        <w:tc>
          <w:tcPr>
            <w:shd w:val="clear" w:color="auto" w:fill="E6E6E6"/>
            <w:vAlign w:val="center"/>
          </w:tcPr>
          <w:p>
            <w:pPr>
              <w:jc w:val="center"/>
            </w:pPr>
            <w:r>
              <w:t>拆除碳排放量(tCO2)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1726.17</w:t>
            </w:r>
          </w:p>
        </w:tc>
        <w:tc>
          <w:tcPr>
            <w:vAlign w:val="center"/>
          </w:tcPr>
          <w:p>
            <w:r>
              <w:t>4</w:t>
            </w:r>
          </w:p>
        </w:tc>
        <w:tc>
          <w:tcPr>
            <w:vAlign w:val="center"/>
          </w:tcPr>
          <w:p>
            <w:r>
              <w:t>5.99</w:t>
            </w:r>
          </w:p>
        </w:tc>
        <w:tc>
          <w:tcPr>
            <w:vAlign w:val="center"/>
          </w:tcPr>
          <w:p>
            <w:r>
              <w:t>10.340</w:t>
            </w:r>
          </w:p>
        </w:tc>
      </w:tr>
    </w:tbl>
    <w:p>
      <w:pPr>
        <w:pStyle w:val="4"/>
        <w:widowControl w:val="0"/>
        <w:jc w:val="both"/>
        <w:rPr>
          <w:color w:val="000000"/>
        </w:rPr>
      </w:pPr>
      <w:bookmarkStart w:id="71" w:name="_Toc9483"/>
      <w:r>
        <w:rPr>
          <w:color w:val="000000"/>
        </w:rPr>
        <w:t>碳汇</w:t>
      </w:r>
      <w:bookmarkEnd w:id="71"/>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绿植</w:t>
            </w:r>
          </w:p>
        </w:tc>
        <w:tc>
          <w:tcPr>
            <w:shd w:val="clear" w:color="auto" w:fill="E6E6E6"/>
            <w:vAlign w:val="center"/>
          </w:tcPr>
          <w:p>
            <w:pPr>
              <w:jc w:val="center"/>
            </w:pPr>
            <w:r>
              <w:t>CO2固定量kg/(㎡·a)</w:t>
            </w:r>
          </w:p>
        </w:tc>
        <w:tc>
          <w:tcPr>
            <w:shd w:val="clear" w:color="auto" w:fill="E6E6E6"/>
            <w:vAlign w:val="center"/>
          </w:tcPr>
          <w:p>
            <w:pPr>
              <w:jc w:val="center"/>
            </w:pPr>
            <w:r>
              <w:t>面积(㎡)</w:t>
            </w:r>
          </w:p>
        </w:tc>
        <w:tc>
          <w:tcPr>
            <w:shd w:val="clear" w:color="auto" w:fill="E6E6E6"/>
            <w:vAlign w:val="center"/>
          </w:tcPr>
          <w:p>
            <w:pPr>
              <w:jc w:val="center"/>
            </w:pPr>
            <w:r>
              <w:t>年数</w:t>
            </w:r>
          </w:p>
        </w:tc>
        <w:tc>
          <w:tcPr>
            <w:shd w:val="clear" w:color="auto" w:fill="E6E6E6"/>
            <w:vAlign w:val="center"/>
          </w:tcPr>
          <w:p>
            <w:pPr>
              <w:jc w:val="center"/>
            </w:pPr>
            <w:r>
              <w:t>减碳量(tCO2)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r>
              <w:t>合计</w:t>
            </w:r>
          </w:p>
        </w:tc>
        <w:tc>
          <w:tcPr>
            <w:vAlign w:val="center"/>
          </w:tcPr>
          <w:p>
            <w:r>
              <w:t>0.000</w:t>
            </w:r>
          </w:p>
        </w:tc>
      </w:tr>
    </w:tbl>
    <w:p>
      <w:pPr>
        <w:widowControl w:val="0"/>
        <w:jc w:val="both"/>
        <w:rPr>
          <w:color w:val="000000"/>
        </w:rPr>
      </w:pPr>
      <w:r>
        <w:rPr>
          <w:color w:val="000000"/>
        </w:rPr>
        <w:t>注：碳汇的计算考虑了植物生长期的影响。</w:t>
      </w:r>
    </w:p>
    <w:p>
      <w:pPr>
        <w:pStyle w:val="4"/>
        <w:widowControl w:val="0"/>
        <w:jc w:val="both"/>
        <w:rPr>
          <w:color w:val="000000"/>
        </w:rPr>
      </w:pPr>
      <w:bookmarkStart w:id="72" w:name="_Toc10453"/>
      <w:r>
        <w:rPr>
          <w:color w:val="000000"/>
        </w:rPr>
        <w:t>建筑运行碳排放</w:t>
      </w:r>
      <w:bookmarkEnd w:id="72"/>
    </w:p>
    <w:tbl>
      <w:tblPr>
        <w:tblStyle w:val="18"/>
        <w:tblW w:w="9322"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529"/>
        <w:gridCol w:w="3115"/>
        <w:gridCol w:w="2267"/>
        <w:gridCol w:w="241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shd w:val="clear" w:color="auto" w:fill="E0E0E0"/>
            <w:vAlign w:val="center"/>
          </w:tcPr>
          <w:p>
            <w:pPr>
              <w:ind w:firstLine="0" w:firstLineChars="0"/>
              <w:jc w:val="center"/>
              <w:rPr>
                <w:lang w:val="en-US"/>
              </w:rPr>
            </w:pPr>
            <w:r>
              <w:rPr>
                <w:rFonts w:hint="eastAsia"/>
                <w:lang w:val="en-US"/>
              </w:rPr>
              <w:t>能耗分类</w:t>
            </w:r>
          </w:p>
        </w:tc>
        <w:tc>
          <w:tcPr>
            <w:tcW w:w="1671" w:type="pct"/>
            <w:shd w:val="clear" w:color="auto" w:fill="E0E0E0"/>
            <w:vAlign w:val="center"/>
          </w:tcPr>
          <w:p>
            <w:pPr>
              <w:ind w:firstLine="0" w:firstLineChars="0"/>
              <w:jc w:val="center"/>
              <w:rPr>
                <w:lang w:val="en-US"/>
              </w:rPr>
            </w:pPr>
            <w:r>
              <w:rPr>
                <w:rFonts w:hint="eastAsia"/>
                <w:lang w:val="en-US"/>
              </w:rPr>
              <w:t>能耗子类</w:t>
            </w:r>
          </w:p>
        </w:tc>
        <w:tc>
          <w:tcPr>
            <w:tcW w:w="1216" w:type="pct"/>
            <w:shd w:val="clear" w:color="auto" w:fill="E0E0E0"/>
            <w:vAlign w:val="center"/>
          </w:tcPr>
          <w:p>
            <w:pPr>
              <w:ind w:firstLine="0" w:firstLineChars="0"/>
              <w:jc w:val="center"/>
              <w:rPr>
                <w:lang w:val="en-US"/>
              </w:rPr>
            </w:pPr>
            <w:bookmarkStart w:id="73" w:name="设计建筑别名"/>
            <w:r>
              <w:rPr>
                <w:rFonts w:hint="eastAsia"/>
                <w:lang w:val="en-US"/>
              </w:rPr>
              <w:t>设计建筑</w:t>
            </w:r>
            <w:bookmarkEnd w:id="73"/>
          </w:p>
          <w:p>
            <w:pPr>
              <w:ind w:firstLine="0" w:firstLineChars="0"/>
              <w:jc w:val="center"/>
              <w:rPr>
                <w:lang w:val="en-US"/>
              </w:rPr>
            </w:pPr>
            <w:r>
              <w:rPr>
                <w:lang w:val="en-US"/>
              </w:rPr>
              <w:t>(kWh/</w:t>
            </w:r>
            <w:r>
              <w:rPr>
                <w:rFonts w:hint="eastAsia"/>
                <w:lang w:val="en-US"/>
              </w:rPr>
              <w:t>㎡</w:t>
            </w:r>
            <w:r>
              <w:rPr>
                <w:lang w:val="en-US"/>
              </w:rPr>
              <w:t>)</w:t>
            </w:r>
          </w:p>
        </w:tc>
        <w:tc>
          <w:tcPr>
            <w:tcW w:w="1293" w:type="pct"/>
            <w:shd w:val="clear" w:color="auto" w:fill="E0E0E0"/>
            <w:vAlign w:val="center"/>
          </w:tcPr>
          <w:p>
            <w:pPr>
              <w:ind w:firstLine="0" w:firstLineChars="0"/>
              <w:jc w:val="center"/>
              <w:rPr>
                <w:lang w:val="en-US"/>
              </w:rPr>
            </w:pPr>
            <w:r>
              <w:rPr>
                <w:rFonts w:hint="eastAsia"/>
                <w:lang w:val="en-US"/>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vMerge w:val="restart"/>
            <w:shd w:val="clear" w:color="auto" w:fill="E0E0E0"/>
            <w:vAlign w:val="center"/>
          </w:tcPr>
          <w:p>
            <w:pPr>
              <w:ind w:firstLine="0" w:firstLineChars="0"/>
              <w:jc w:val="center"/>
              <w:rPr>
                <w:lang w:val="en-US"/>
              </w:rPr>
            </w:pPr>
            <w:r>
              <w:rPr>
                <w:rFonts w:hint="eastAsia"/>
                <w:lang w:val="en-US"/>
              </w:rPr>
              <w:t>建筑负荷</w:t>
            </w:r>
          </w:p>
        </w:tc>
        <w:tc>
          <w:tcPr>
            <w:tcW w:w="1671" w:type="pct"/>
            <w:shd w:val="clear" w:color="auto" w:fill="FFFFFF"/>
            <w:vAlign w:val="center"/>
          </w:tcPr>
          <w:p>
            <w:pPr>
              <w:ind w:firstLine="0" w:firstLineChars="0"/>
              <w:jc w:val="center"/>
              <w:rPr>
                <w:lang w:val="en-US"/>
              </w:rPr>
            </w:pPr>
            <w:r>
              <w:rPr>
                <w:rFonts w:hint="eastAsia"/>
                <w:lang w:val="en-US"/>
              </w:rPr>
              <w:t>耗冷量</w:t>
            </w:r>
          </w:p>
        </w:tc>
        <w:tc>
          <w:tcPr>
            <w:tcW w:w="1216" w:type="pct"/>
            <w:vAlign w:val="center"/>
          </w:tcPr>
          <w:p>
            <w:pPr>
              <w:ind w:firstLine="0" w:firstLineChars="0"/>
              <w:jc w:val="center"/>
              <w:rPr>
                <w:lang w:val="en-US"/>
              </w:rPr>
            </w:pPr>
            <w:bookmarkStart w:id="74" w:name="耗冷量2"/>
            <w:r>
              <w:rPr>
                <w:rFonts w:hint="eastAsia"/>
                <w:lang w:val="en-US"/>
              </w:rPr>
              <w:t>0.00</w:t>
            </w:r>
            <w:bookmarkEnd w:id="74"/>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vMerge w:val="continue"/>
            <w:shd w:val="clear" w:color="auto" w:fill="E0E0E0"/>
            <w:vAlign w:val="center"/>
          </w:tcPr>
          <w:p>
            <w:pPr>
              <w:ind w:firstLine="0" w:firstLineChars="0"/>
              <w:jc w:val="center"/>
              <w:rPr>
                <w:lang w:val="en-US"/>
              </w:rPr>
            </w:pPr>
          </w:p>
        </w:tc>
        <w:tc>
          <w:tcPr>
            <w:tcW w:w="1671" w:type="pct"/>
            <w:shd w:val="clear" w:color="auto" w:fill="FFFFFF"/>
            <w:vAlign w:val="center"/>
          </w:tcPr>
          <w:p>
            <w:pPr>
              <w:ind w:firstLine="0" w:firstLineChars="0"/>
              <w:jc w:val="center"/>
              <w:rPr>
                <w:lang w:val="en-US"/>
              </w:rPr>
            </w:pPr>
            <w:r>
              <w:rPr>
                <w:rFonts w:hint="eastAsia"/>
                <w:lang w:val="en-US"/>
              </w:rPr>
              <w:t>耗热量</w:t>
            </w:r>
          </w:p>
        </w:tc>
        <w:tc>
          <w:tcPr>
            <w:tcW w:w="1216" w:type="pct"/>
            <w:vAlign w:val="center"/>
          </w:tcPr>
          <w:p>
            <w:pPr>
              <w:ind w:firstLine="0" w:firstLineChars="0"/>
              <w:jc w:val="center"/>
              <w:rPr>
                <w:lang w:val="en-US"/>
              </w:rPr>
            </w:pPr>
            <w:bookmarkStart w:id="75" w:name="耗热量2"/>
            <w:r>
              <w:rPr>
                <w:rFonts w:hint="eastAsia"/>
                <w:lang w:val="en-US"/>
              </w:rPr>
              <w:t>0.00</w:t>
            </w:r>
            <w:bookmarkEnd w:id="75"/>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vMerge w:val="continue"/>
            <w:shd w:val="clear" w:color="auto" w:fill="E0E0E0"/>
            <w:vAlign w:val="center"/>
          </w:tcPr>
          <w:p>
            <w:pPr>
              <w:ind w:firstLine="0" w:firstLineChars="0"/>
              <w:jc w:val="center"/>
              <w:rPr>
                <w:lang w:val="en-US"/>
              </w:rPr>
            </w:pPr>
          </w:p>
        </w:tc>
        <w:tc>
          <w:tcPr>
            <w:tcW w:w="1671" w:type="pct"/>
            <w:shd w:val="clear" w:color="auto" w:fill="E0E0E0"/>
            <w:vAlign w:val="center"/>
          </w:tcPr>
          <w:p>
            <w:pPr>
              <w:ind w:firstLine="0" w:firstLineChars="0"/>
              <w:jc w:val="center"/>
              <w:rPr>
                <w:lang w:val="en-US"/>
              </w:rPr>
            </w:pPr>
            <w:r>
              <w:rPr>
                <w:rFonts w:hint="eastAsia"/>
                <w:lang w:val="en-US"/>
              </w:rPr>
              <w:t>冷热合计</w:t>
            </w:r>
          </w:p>
        </w:tc>
        <w:tc>
          <w:tcPr>
            <w:tcW w:w="1216" w:type="pct"/>
            <w:vAlign w:val="center"/>
          </w:tcPr>
          <w:p>
            <w:pPr>
              <w:ind w:firstLine="0" w:firstLineChars="0"/>
              <w:jc w:val="center"/>
              <w:rPr>
                <w:lang w:val="en-US"/>
              </w:rPr>
            </w:pPr>
            <w:bookmarkStart w:id="76" w:name="耗冷耗热量2"/>
            <w:r>
              <w:rPr>
                <w:rFonts w:hint="eastAsia"/>
                <w:lang w:val="en-US"/>
              </w:rPr>
              <w:t>0.00</w:t>
            </w:r>
            <w:bookmarkEnd w:id="76"/>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vMerge w:val="restart"/>
            <w:shd w:val="clear" w:color="auto" w:fill="E0E0E0"/>
            <w:vAlign w:val="center"/>
          </w:tcPr>
          <w:p>
            <w:pPr>
              <w:ind w:firstLine="0" w:firstLineChars="0"/>
              <w:jc w:val="center"/>
              <w:rPr>
                <w:lang w:val="en-US"/>
              </w:rPr>
            </w:pPr>
            <w:r>
              <w:rPr>
                <w:rFonts w:hint="eastAsia"/>
                <w:lang w:val="en-US"/>
              </w:rPr>
              <w:t>热回收</w:t>
            </w:r>
          </w:p>
        </w:tc>
        <w:tc>
          <w:tcPr>
            <w:tcW w:w="1671" w:type="pct"/>
            <w:shd w:val="clear" w:color="auto" w:fill="FFFFFF"/>
            <w:vAlign w:val="center"/>
          </w:tcPr>
          <w:p>
            <w:pPr>
              <w:ind w:firstLine="0" w:firstLineChars="0"/>
              <w:jc w:val="center"/>
              <w:rPr>
                <w:lang w:val="en-US"/>
              </w:rPr>
            </w:pPr>
            <w:r>
              <w:rPr>
                <w:rFonts w:hint="eastAsia"/>
                <w:lang w:val="en-US"/>
              </w:rPr>
              <w:t>供冷</w:t>
            </w:r>
          </w:p>
        </w:tc>
        <w:tc>
          <w:tcPr>
            <w:tcW w:w="1216" w:type="pct"/>
            <w:vAlign w:val="center"/>
          </w:tcPr>
          <w:p>
            <w:pPr>
              <w:ind w:firstLine="0" w:firstLineChars="0"/>
              <w:jc w:val="center"/>
              <w:rPr>
                <w:lang w:val="en-US"/>
              </w:rPr>
            </w:pPr>
            <w:bookmarkStart w:id="77" w:name="热回收供冷负荷"/>
            <w:r>
              <w:rPr>
                <w:rFonts w:hint="eastAsia"/>
                <w:lang w:val="en-US"/>
              </w:rPr>
              <w:t>0.00</w:t>
            </w:r>
            <w:bookmarkEnd w:id="77"/>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vMerge w:val="continue"/>
            <w:shd w:val="clear" w:color="auto" w:fill="E0E0E0"/>
            <w:vAlign w:val="center"/>
          </w:tcPr>
          <w:p>
            <w:pPr>
              <w:ind w:firstLine="0" w:firstLineChars="0"/>
              <w:jc w:val="center"/>
              <w:rPr>
                <w:lang w:val="en-US"/>
              </w:rPr>
            </w:pPr>
          </w:p>
        </w:tc>
        <w:tc>
          <w:tcPr>
            <w:tcW w:w="1671" w:type="pct"/>
            <w:shd w:val="clear" w:color="auto" w:fill="FFFFFF"/>
            <w:vAlign w:val="center"/>
          </w:tcPr>
          <w:p>
            <w:pPr>
              <w:ind w:firstLine="0" w:firstLineChars="0"/>
              <w:jc w:val="center"/>
              <w:rPr>
                <w:lang w:val="en-US"/>
              </w:rPr>
            </w:pPr>
            <w:r>
              <w:rPr>
                <w:rFonts w:hint="eastAsia"/>
                <w:lang w:val="en-US"/>
              </w:rPr>
              <w:t>供暖</w:t>
            </w:r>
          </w:p>
        </w:tc>
        <w:tc>
          <w:tcPr>
            <w:tcW w:w="1216" w:type="pct"/>
            <w:vAlign w:val="center"/>
          </w:tcPr>
          <w:p>
            <w:pPr>
              <w:ind w:firstLine="0" w:firstLineChars="0"/>
              <w:jc w:val="center"/>
              <w:rPr>
                <w:lang w:val="en-US"/>
              </w:rPr>
            </w:pPr>
            <w:bookmarkStart w:id="78" w:name="热回收供暖负荷"/>
            <w:r>
              <w:rPr>
                <w:rFonts w:hint="eastAsia"/>
                <w:lang w:val="en-US"/>
              </w:rPr>
              <w:t>0.00</w:t>
            </w:r>
            <w:bookmarkEnd w:id="78"/>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vMerge w:val="continue"/>
            <w:shd w:val="clear" w:color="auto" w:fill="E0E0E0"/>
            <w:vAlign w:val="center"/>
          </w:tcPr>
          <w:p>
            <w:pPr>
              <w:ind w:firstLine="0" w:firstLineChars="0"/>
              <w:jc w:val="center"/>
              <w:rPr>
                <w:lang w:val="en-US"/>
              </w:rPr>
            </w:pPr>
          </w:p>
        </w:tc>
        <w:tc>
          <w:tcPr>
            <w:tcW w:w="1671" w:type="pct"/>
            <w:shd w:val="clear" w:color="auto" w:fill="E0E0E0"/>
            <w:vAlign w:val="center"/>
          </w:tcPr>
          <w:p>
            <w:pPr>
              <w:ind w:firstLine="0" w:firstLineChars="0"/>
              <w:jc w:val="center"/>
              <w:rPr>
                <w:lang w:val="en-US"/>
              </w:rPr>
            </w:pPr>
            <w:r>
              <w:rPr>
                <w:rFonts w:hint="eastAsia"/>
                <w:lang w:val="en-US"/>
              </w:rPr>
              <w:t>冷热合计</w:t>
            </w:r>
          </w:p>
        </w:tc>
        <w:tc>
          <w:tcPr>
            <w:tcW w:w="1216" w:type="pct"/>
            <w:vAlign w:val="center"/>
          </w:tcPr>
          <w:p>
            <w:pPr>
              <w:ind w:firstLine="0" w:firstLineChars="0"/>
              <w:jc w:val="center"/>
              <w:rPr>
                <w:lang w:val="en-US"/>
              </w:rPr>
            </w:pPr>
            <w:bookmarkStart w:id="79" w:name="热回收负荷"/>
            <w:r>
              <w:rPr>
                <w:rFonts w:hint="eastAsia"/>
                <w:lang w:val="en-US"/>
              </w:rPr>
              <w:t>0.00</w:t>
            </w:r>
            <w:bookmarkEnd w:id="79"/>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vMerge w:val="restart"/>
            <w:shd w:val="clear" w:color="auto" w:fill="E0E0E0"/>
            <w:vAlign w:val="center"/>
          </w:tcPr>
          <w:p>
            <w:pPr>
              <w:ind w:firstLine="0" w:firstLineChars="0"/>
              <w:jc w:val="center"/>
              <w:rPr>
                <w:lang w:val="en-US"/>
              </w:rPr>
            </w:pPr>
            <w:r>
              <w:rPr>
                <w:rFonts w:hint="eastAsia"/>
                <w:lang w:val="en-US"/>
              </w:rPr>
              <w:t>供冷电耗</w:t>
            </w:r>
          </w:p>
          <w:p>
            <w:pPr>
              <w:ind w:firstLine="0" w:firstLineChars="0"/>
              <w:jc w:val="center"/>
              <w:rPr>
                <w:lang w:val="en-US"/>
              </w:rPr>
            </w:pPr>
            <w:r>
              <w:rPr>
                <w:rFonts w:hint="eastAsia"/>
                <w:lang w:val="en-US"/>
              </w:rPr>
              <w:t>(</w:t>
            </w:r>
            <w:r>
              <w:rPr>
                <w:lang w:val="en-US"/>
              </w:rPr>
              <w:t>Ec)</w:t>
            </w:r>
          </w:p>
        </w:tc>
        <w:tc>
          <w:tcPr>
            <w:tcW w:w="1671" w:type="pct"/>
            <w:vAlign w:val="center"/>
          </w:tcPr>
          <w:p>
            <w:pPr>
              <w:ind w:firstLine="0" w:firstLineChars="0"/>
              <w:jc w:val="center"/>
              <w:rPr>
                <w:lang w:val="en-US"/>
              </w:rPr>
            </w:pPr>
            <w:r>
              <w:rPr>
                <w:rFonts w:hint="eastAsia"/>
                <w:lang w:val="en-US"/>
              </w:rPr>
              <w:t>中央冷源</w:t>
            </w:r>
          </w:p>
        </w:tc>
        <w:tc>
          <w:tcPr>
            <w:tcW w:w="1216" w:type="pct"/>
            <w:vAlign w:val="center"/>
          </w:tcPr>
          <w:p>
            <w:pPr>
              <w:ind w:firstLine="0" w:firstLineChars="0"/>
              <w:jc w:val="center"/>
              <w:rPr>
                <w:lang w:val="en-US"/>
              </w:rPr>
            </w:pPr>
            <w:bookmarkStart w:id="80" w:name="冷源能耗"/>
            <w:r>
              <w:rPr>
                <w:lang w:val="en-US"/>
              </w:rPr>
              <w:t>0.00</w:t>
            </w:r>
            <w:bookmarkEnd w:id="80"/>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vMerge w:val="continue"/>
            <w:shd w:val="clear" w:color="auto" w:fill="E0E0E0"/>
            <w:vAlign w:val="center"/>
          </w:tcPr>
          <w:p>
            <w:pPr>
              <w:ind w:firstLine="0" w:firstLineChars="0"/>
              <w:jc w:val="center"/>
              <w:rPr>
                <w:lang w:val="en-US"/>
              </w:rPr>
            </w:pPr>
          </w:p>
        </w:tc>
        <w:tc>
          <w:tcPr>
            <w:tcW w:w="1671" w:type="pct"/>
            <w:vAlign w:val="center"/>
          </w:tcPr>
          <w:p>
            <w:pPr>
              <w:ind w:firstLine="0" w:firstLineChars="0"/>
              <w:jc w:val="center"/>
              <w:rPr>
                <w:lang w:val="en-US"/>
              </w:rPr>
            </w:pPr>
            <w:r>
              <w:rPr>
                <w:rFonts w:hint="eastAsia"/>
                <w:lang w:val="en-US"/>
              </w:rPr>
              <w:t>冷却水泵</w:t>
            </w:r>
          </w:p>
        </w:tc>
        <w:tc>
          <w:tcPr>
            <w:tcW w:w="1216" w:type="pct"/>
            <w:vAlign w:val="center"/>
          </w:tcPr>
          <w:p>
            <w:pPr>
              <w:ind w:firstLine="0" w:firstLineChars="0"/>
              <w:jc w:val="center"/>
              <w:rPr>
                <w:lang w:val="en-US"/>
              </w:rPr>
            </w:pPr>
            <w:bookmarkStart w:id="81" w:name="冷却水泵能耗"/>
            <w:r>
              <w:rPr>
                <w:lang w:val="en-US"/>
              </w:rPr>
              <w:t>0.00</w:t>
            </w:r>
            <w:bookmarkEnd w:id="81"/>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vMerge w:val="continue"/>
            <w:shd w:val="clear" w:color="auto" w:fill="E0E0E0"/>
            <w:vAlign w:val="center"/>
          </w:tcPr>
          <w:p>
            <w:pPr>
              <w:ind w:firstLine="0" w:firstLineChars="0"/>
              <w:jc w:val="center"/>
              <w:rPr>
                <w:lang w:val="en-US"/>
              </w:rPr>
            </w:pPr>
          </w:p>
        </w:tc>
        <w:tc>
          <w:tcPr>
            <w:tcW w:w="1671" w:type="pct"/>
            <w:vAlign w:val="center"/>
          </w:tcPr>
          <w:p>
            <w:pPr>
              <w:ind w:firstLine="0" w:firstLineChars="0"/>
              <w:jc w:val="center"/>
              <w:rPr>
                <w:lang w:val="en-US"/>
              </w:rPr>
            </w:pPr>
            <w:r>
              <w:rPr>
                <w:rFonts w:hint="eastAsia"/>
                <w:lang w:val="en-US"/>
              </w:rPr>
              <w:t>冷冻水泵</w:t>
            </w:r>
          </w:p>
        </w:tc>
        <w:tc>
          <w:tcPr>
            <w:tcW w:w="1216" w:type="pct"/>
            <w:vAlign w:val="center"/>
          </w:tcPr>
          <w:p>
            <w:pPr>
              <w:ind w:firstLine="0" w:firstLineChars="0"/>
              <w:jc w:val="center"/>
              <w:rPr>
                <w:lang w:val="en-US"/>
              </w:rPr>
            </w:pPr>
            <w:bookmarkStart w:id="82" w:name="冷冻水泵能耗"/>
            <w:r>
              <w:rPr>
                <w:lang w:val="en-US"/>
              </w:rPr>
              <w:t>0.00</w:t>
            </w:r>
            <w:bookmarkEnd w:id="82"/>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vMerge w:val="continue"/>
            <w:shd w:val="clear" w:color="auto" w:fill="E0E0E0"/>
            <w:vAlign w:val="center"/>
          </w:tcPr>
          <w:p>
            <w:pPr>
              <w:ind w:firstLine="0" w:firstLineChars="0"/>
              <w:jc w:val="center"/>
              <w:rPr>
                <w:lang w:val="en-US"/>
              </w:rPr>
            </w:pPr>
          </w:p>
        </w:tc>
        <w:tc>
          <w:tcPr>
            <w:tcW w:w="1671" w:type="pct"/>
            <w:vAlign w:val="center"/>
          </w:tcPr>
          <w:p>
            <w:pPr>
              <w:ind w:firstLine="0" w:firstLineChars="0"/>
              <w:jc w:val="center"/>
              <w:rPr>
                <w:lang w:val="en-US"/>
              </w:rPr>
            </w:pPr>
            <w:r>
              <w:rPr>
                <w:rFonts w:hint="eastAsia"/>
                <w:lang w:val="en-US"/>
              </w:rPr>
              <w:t>冷却</w:t>
            </w:r>
            <w:r>
              <w:rPr>
                <w:lang w:val="en-US"/>
              </w:rPr>
              <w:t>塔</w:t>
            </w:r>
          </w:p>
        </w:tc>
        <w:tc>
          <w:tcPr>
            <w:tcW w:w="1216" w:type="pct"/>
            <w:vAlign w:val="center"/>
          </w:tcPr>
          <w:p>
            <w:pPr>
              <w:ind w:firstLine="0" w:firstLineChars="0"/>
              <w:jc w:val="center"/>
              <w:rPr>
                <w:lang w:val="en-US"/>
              </w:rPr>
            </w:pPr>
            <w:bookmarkStart w:id="83" w:name="冷却塔能耗"/>
            <w:r>
              <w:rPr>
                <w:rFonts w:hint="eastAsia"/>
                <w:lang w:val="en-US"/>
              </w:rPr>
              <w:t>0.00</w:t>
            </w:r>
            <w:bookmarkEnd w:id="83"/>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vMerge w:val="continue"/>
            <w:shd w:val="clear" w:color="auto" w:fill="E0E0E0"/>
            <w:vAlign w:val="center"/>
          </w:tcPr>
          <w:p>
            <w:pPr>
              <w:ind w:firstLine="0" w:firstLineChars="0"/>
              <w:jc w:val="center"/>
              <w:rPr>
                <w:lang w:val="en-US"/>
              </w:rPr>
            </w:pPr>
          </w:p>
        </w:tc>
        <w:tc>
          <w:tcPr>
            <w:tcW w:w="1671" w:type="pct"/>
            <w:vAlign w:val="center"/>
          </w:tcPr>
          <w:p>
            <w:pPr>
              <w:ind w:firstLine="0" w:firstLineChars="0"/>
              <w:jc w:val="center"/>
              <w:rPr>
                <w:lang w:val="en-US"/>
              </w:rPr>
            </w:pPr>
            <w:r>
              <w:rPr>
                <w:rFonts w:hint="eastAsia"/>
                <w:lang w:val="en-US"/>
              </w:rPr>
              <w:t>多联机/单元式空调</w:t>
            </w:r>
          </w:p>
        </w:tc>
        <w:tc>
          <w:tcPr>
            <w:tcW w:w="1216" w:type="pct"/>
            <w:vAlign w:val="center"/>
          </w:tcPr>
          <w:p>
            <w:pPr>
              <w:ind w:firstLine="0" w:firstLineChars="0"/>
              <w:jc w:val="center"/>
              <w:rPr>
                <w:lang w:val="en-US"/>
              </w:rPr>
            </w:pPr>
            <w:bookmarkStart w:id="84" w:name="单元式空调能耗"/>
            <w:r>
              <w:rPr>
                <w:lang w:val="en-US"/>
              </w:rPr>
              <w:t>0.00</w:t>
            </w:r>
            <w:bookmarkEnd w:id="84"/>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vMerge w:val="continue"/>
            <w:shd w:val="clear" w:color="auto" w:fill="E0E0E0"/>
            <w:vAlign w:val="center"/>
          </w:tcPr>
          <w:p>
            <w:pPr>
              <w:ind w:firstLine="0" w:firstLineChars="0"/>
              <w:jc w:val="center"/>
              <w:rPr>
                <w:lang w:val="en-US"/>
              </w:rPr>
            </w:pPr>
          </w:p>
        </w:tc>
        <w:tc>
          <w:tcPr>
            <w:tcW w:w="1671" w:type="pct"/>
            <w:shd w:val="clear" w:color="auto" w:fill="E0E0E0"/>
            <w:vAlign w:val="center"/>
          </w:tcPr>
          <w:p>
            <w:pPr>
              <w:ind w:firstLine="0" w:firstLineChars="0"/>
              <w:jc w:val="center"/>
              <w:rPr>
                <w:lang w:val="en-US"/>
              </w:rPr>
            </w:pPr>
            <w:r>
              <w:rPr>
                <w:rFonts w:hint="eastAsia"/>
                <w:lang w:val="en-US"/>
              </w:rPr>
              <w:t>供冷合计</w:t>
            </w:r>
          </w:p>
        </w:tc>
        <w:tc>
          <w:tcPr>
            <w:tcW w:w="1216" w:type="pct"/>
            <w:vAlign w:val="center"/>
          </w:tcPr>
          <w:p>
            <w:pPr>
              <w:ind w:firstLine="0" w:firstLineChars="0"/>
              <w:jc w:val="center"/>
              <w:rPr>
                <w:lang w:val="en-US"/>
              </w:rPr>
            </w:pPr>
            <w:bookmarkStart w:id="85" w:name="空调能耗"/>
            <w:r>
              <w:rPr>
                <w:lang w:val="en-US"/>
              </w:rPr>
              <w:t>0.00</w:t>
            </w:r>
            <w:bookmarkEnd w:id="85"/>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vMerge w:val="restart"/>
            <w:shd w:val="clear" w:color="auto" w:fill="E0E0E0"/>
            <w:vAlign w:val="center"/>
          </w:tcPr>
          <w:p>
            <w:pPr>
              <w:ind w:firstLine="0" w:firstLineChars="0"/>
              <w:jc w:val="center"/>
              <w:rPr>
                <w:lang w:val="en-US"/>
              </w:rPr>
            </w:pPr>
            <w:r>
              <w:rPr>
                <w:rFonts w:hint="eastAsia"/>
                <w:lang w:val="en-US"/>
              </w:rPr>
              <w:t>供暖电耗</w:t>
            </w:r>
          </w:p>
          <w:p>
            <w:pPr>
              <w:ind w:firstLine="0" w:firstLineChars="0"/>
              <w:jc w:val="center"/>
              <w:rPr>
                <w:lang w:val="en-US"/>
              </w:rPr>
            </w:pPr>
            <w:r>
              <w:rPr>
                <w:rFonts w:hint="eastAsia"/>
                <w:lang w:val="en-US"/>
              </w:rPr>
              <w:t>(</w:t>
            </w:r>
            <w:r>
              <w:rPr>
                <w:lang w:val="en-US"/>
              </w:rPr>
              <w:t>Eh)</w:t>
            </w:r>
          </w:p>
        </w:tc>
        <w:tc>
          <w:tcPr>
            <w:tcW w:w="1671" w:type="pct"/>
            <w:shd w:val="clear" w:color="auto" w:fill="auto"/>
            <w:vAlign w:val="center"/>
          </w:tcPr>
          <w:p>
            <w:pPr>
              <w:ind w:firstLine="0" w:firstLineChars="0"/>
              <w:jc w:val="center"/>
              <w:rPr>
                <w:lang w:val="en-US"/>
              </w:rPr>
            </w:pPr>
            <w:r>
              <w:rPr>
                <w:rFonts w:hint="eastAsia"/>
                <w:lang w:val="en-US"/>
              </w:rPr>
              <w:t>中央热源</w:t>
            </w:r>
          </w:p>
        </w:tc>
        <w:tc>
          <w:tcPr>
            <w:tcW w:w="1216" w:type="pct"/>
            <w:vAlign w:val="center"/>
          </w:tcPr>
          <w:p>
            <w:pPr>
              <w:ind w:firstLine="0" w:firstLineChars="0"/>
              <w:jc w:val="center"/>
              <w:rPr>
                <w:lang w:val="en-US"/>
              </w:rPr>
            </w:pPr>
            <w:bookmarkStart w:id="86" w:name="热源能耗"/>
            <w:r>
              <w:rPr>
                <w:lang w:val="en-US"/>
              </w:rPr>
              <w:t>0.00</w:t>
            </w:r>
            <w:bookmarkEnd w:id="86"/>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vMerge w:val="continue"/>
            <w:shd w:val="clear" w:color="auto" w:fill="E0E0E0"/>
            <w:vAlign w:val="center"/>
          </w:tcPr>
          <w:p>
            <w:pPr>
              <w:ind w:firstLine="0" w:firstLineChars="0"/>
              <w:jc w:val="center"/>
              <w:rPr>
                <w:lang w:val="en-US"/>
              </w:rPr>
            </w:pPr>
          </w:p>
        </w:tc>
        <w:tc>
          <w:tcPr>
            <w:tcW w:w="1671" w:type="pct"/>
            <w:shd w:val="clear" w:color="auto" w:fill="auto"/>
            <w:vAlign w:val="center"/>
          </w:tcPr>
          <w:p>
            <w:pPr>
              <w:ind w:firstLine="0" w:firstLineChars="0"/>
              <w:jc w:val="center"/>
              <w:rPr>
                <w:lang w:val="en-US"/>
              </w:rPr>
            </w:pPr>
            <w:r>
              <w:rPr>
                <w:rFonts w:hint="eastAsia"/>
                <w:lang w:val="en-US"/>
              </w:rPr>
              <w:t>供暖水泵</w:t>
            </w:r>
          </w:p>
        </w:tc>
        <w:tc>
          <w:tcPr>
            <w:tcW w:w="1216" w:type="pct"/>
            <w:vAlign w:val="center"/>
          </w:tcPr>
          <w:p>
            <w:pPr>
              <w:ind w:firstLine="0" w:firstLineChars="0"/>
              <w:jc w:val="center"/>
              <w:rPr>
                <w:lang w:val="en-US"/>
              </w:rPr>
            </w:pPr>
            <w:bookmarkStart w:id="87" w:name="热水泵能耗"/>
            <w:r>
              <w:rPr>
                <w:lang w:val="en-US"/>
              </w:rPr>
              <w:t>0.00</w:t>
            </w:r>
            <w:bookmarkEnd w:id="87"/>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vMerge w:val="continue"/>
            <w:shd w:val="clear" w:color="auto" w:fill="E0E0E0"/>
            <w:vAlign w:val="center"/>
          </w:tcPr>
          <w:p>
            <w:pPr>
              <w:ind w:firstLine="0" w:firstLineChars="0"/>
              <w:jc w:val="center"/>
              <w:rPr>
                <w:lang w:val="en-US"/>
              </w:rPr>
            </w:pPr>
          </w:p>
        </w:tc>
        <w:tc>
          <w:tcPr>
            <w:tcW w:w="1671" w:type="pct"/>
            <w:shd w:val="clear" w:color="auto" w:fill="auto"/>
            <w:vAlign w:val="center"/>
          </w:tcPr>
          <w:p>
            <w:pPr>
              <w:ind w:firstLine="0" w:firstLineChars="0"/>
              <w:jc w:val="center"/>
              <w:rPr>
                <w:lang w:val="en-US"/>
              </w:rPr>
            </w:pPr>
            <w:r>
              <w:rPr>
                <w:rFonts w:hint="eastAsia"/>
                <w:lang w:val="en-US"/>
              </w:rPr>
              <w:t>热源侧</w:t>
            </w:r>
            <w:r>
              <w:rPr>
                <w:lang w:val="en-US"/>
              </w:rPr>
              <w:t>水泵</w:t>
            </w:r>
          </w:p>
        </w:tc>
        <w:tc>
          <w:tcPr>
            <w:tcW w:w="1216" w:type="pct"/>
            <w:vAlign w:val="center"/>
          </w:tcPr>
          <w:p>
            <w:pPr>
              <w:ind w:firstLine="0" w:firstLineChars="0"/>
              <w:jc w:val="center"/>
              <w:rPr>
                <w:lang w:val="en-US"/>
              </w:rPr>
            </w:pPr>
            <w:bookmarkStart w:id="88" w:name="供暖热源侧水泵能耗"/>
            <w:r>
              <w:rPr>
                <w:rFonts w:hint="eastAsia"/>
                <w:lang w:val="en-US"/>
              </w:rPr>
              <w:t>0.00</w:t>
            </w:r>
            <w:bookmarkEnd w:id="88"/>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vMerge w:val="continue"/>
            <w:shd w:val="clear" w:color="auto" w:fill="E0E0E0"/>
            <w:vAlign w:val="center"/>
          </w:tcPr>
          <w:p>
            <w:pPr>
              <w:ind w:firstLine="0" w:firstLineChars="0"/>
              <w:jc w:val="center"/>
              <w:rPr>
                <w:lang w:val="en-US"/>
              </w:rPr>
            </w:pPr>
          </w:p>
        </w:tc>
        <w:tc>
          <w:tcPr>
            <w:tcW w:w="1671" w:type="pct"/>
            <w:shd w:val="clear" w:color="auto" w:fill="auto"/>
            <w:vAlign w:val="center"/>
          </w:tcPr>
          <w:p>
            <w:pPr>
              <w:ind w:firstLine="0" w:firstLineChars="0"/>
              <w:jc w:val="center"/>
              <w:rPr>
                <w:lang w:val="en-US"/>
              </w:rPr>
            </w:pPr>
            <w:r>
              <w:rPr>
                <w:rFonts w:hint="eastAsia"/>
                <w:lang w:val="en-US"/>
              </w:rPr>
              <w:t>多联机/单元式热泵/壁挂炉</w:t>
            </w:r>
          </w:p>
        </w:tc>
        <w:tc>
          <w:tcPr>
            <w:tcW w:w="1216" w:type="pct"/>
            <w:vAlign w:val="center"/>
          </w:tcPr>
          <w:p>
            <w:pPr>
              <w:ind w:firstLine="0" w:firstLineChars="0"/>
              <w:jc w:val="center"/>
              <w:rPr>
                <w:lang w:val="en-US"/>
              </w:rPr>
            </w:pPr>
            <w:bookmarkStart w:id="89" w:name="单元式热泵能耗"/>
            <w:r>
              <w:rPr>
                <w:lang w:val="en-US"/>
              </w:rPr>
              <w:t>0.00</w:t>
            </w:r>
            <w:bookmarkEnd w:id="89"/>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vMerge w:val="continue"/>
            <w:shd w:val="clear" w:color="auto" w:fill="E0E0E0"/>
            <w:vAlign w:val="center"/>
          </w:tcPr>
          <w:p>
            <w:pPr>
              <w:ind w:firstLine="0" w:firstLineChars="0"/>
              <w:jc w:val="center"/>
              <w:rPr>
                <w:lang w:val="en-US"/>
              </w:rPr>
            </w:pPr>
          </w:p>
        </w:tc>
        <w:tc>
          <w:tcPr>
            <w:tcW w:w="1671" w:type="pct"/>
            <w:shd w:val="clear" w:color="auto" w:fill="E0E0E0"/>
            <w:vAlign w:val="center"/>
          </w:tcPr>
          <w:p>
            <w:pPr>
              <w:ind w:firstLine="0" w:firstLineChars="0"/>
              <w:jc w:val="center"/>
              <w:rPr>
                <w:lang w:val="en-US"/>
              </w:rPr>
            </w:pPr>
            <w:r>
              <w:rPr>
                <w:rFonts w:hint="eastAsia"/>
                <w:lang w:val="en-US"/>
              </w:rPr>
              <w:t>供暖合计</w:t>
            </w:r>
          </w:p>
        </w:tc>
        <w:tc>
          <w:tcPr>
            <w:tcW w:w="1216" w:type="pct"/>
            <w:vAlign w:val="center"/>
          </w:tcPr>
          <w:p>
            <w:pPr>
              <w:ind w:firstLine="0" w:firstLineChars="0"/>
              <w:jc w:val="center"/>
              <w:rPr>
                <w:lang w:val="en-US"/>
              </w:rPr>
            </w:pPr>
            <w:bookmarkStart w:id="90" w:name="供暖能耗"/>
            <w:r>
              <w:rPr>
                <w:lang w:val="en-US"/>
              </w:rPr>
              <w:t>0.00</w:t>
            </w:r>
            <w:bookmarkEnd w:id="90"/>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vMerge w:val="restart"/>
            <w:shd w:val="clear" w:color="auto" w:fill="E0E0E0"/>
            <w:vAlign w:val="center"/>
          </w:tcPr>
          <w:p>
            <w:pPr>
              <w:ind w:firstLine="0" w:firstLineChars="0"/>
              <w:jc w:val="center"/>
              <w:rPr>
                <w:lang w:val="en-US"/>
              </w:rPr>
            </w:pPr>
            <w:r>
              <w:rPr>
                <w:rFonts w:hint="eastAsia"/>
                <w:lang w:val="en-US"/>
              </w:rPr>
              <w:t>空调风机电耗</w:t>
            </w:r>
          </w:p>
          <w:p>
            <w:pPr>
              <w:ind w:firstLine="0" w:firstLineChars="0"/>
              <w:jc w:val="center"/>
              <w:rPr>
                <w:lang w:val="en-US"/>
              </w:rPr>
            </w:pPr>
            <w:r>
              <w:rPr>
                <w:rFonts w:hint="eastAsia"/>
                <w:lang w:val="en-US"/>
              </w:rPr>
              <w:t>(</w:t>
            </w:r>
            <w:r>
              <w:rPr>
                <w:lang w:val="en-US"/>
              </w:rPr>
              <w:t>Ef)</w:t>
            </w:r>
          </w:p>
        </w:tc>
        <w:tc>
          <w:tcPr>
            <w:tcW w:w="1671" w:type="pct"/>
            <w:shd w:val="clear" w:color="auto" w:fill="FFFFFF"/>
            <w:vAlign w:val="center"/>
          </w:tcPr>
          <w:p>
            <w:pPr>
              <w:ind w:firstLine="0" w:firstLineChars="0"/>
              <w:jc w:val="center"/>
              <w:rPr>
                <w:lang w:val="en-US"/>
              </w:rPr>
            </w:pPr>
            <w:r>
              <w:rPr>
                <w:rFonts w:hint="eastAsia"/>
                <w:lang w:val="en-US"/>
              </w:rPr>
              <w:t>新排风</w:t>
            </w:r>
          </w:p>
        </w:tc>
        <w:tc>
          <w:tcPr>
            <w:tcW w:w="1216" w:type="pct"/>
            <w:vAlign w:val="center"/>
          </w:tcPr>
          <w:p>
            <w:pPr>
              <w:ind w:firstLine="0" w:firstLineChars="0"/>
              <w:jc w:val="center"/>
              <w:rPr>
                <w:lang w:val="en-US"/>
              </w:rPr>
            </w:pPr>
            <w:bookmarkStart w:id="91" w:name="新排风系统能耗"/>
            <w:r>
              <w:rPr>
                <w:rFonts w:hint="eastAsia"/>
                <w:lang w:val="en-US"/>
              </w:rPr>
              <w:t>0.00</w:t>
            </w:r>
            <w:bookmarkEnd w:id="91"/>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vMerge w:val="continue"/>
            <w:shd w:val="clear" w:color="auto" w:fill="E0E0E0"/>
            <w:vAlign w:val="center"/>
          </w:tcPr>
          <w:p>
            <w:pPr>
              <w:ind w:firstLine="0" w:firstLineChars="0"/>
              <w:jc w:val="center"/>
              <w:rPr>
                <w:lang w:val="en-US"/>
              </w:rPr>
            </w:pPr>
          </w:p>
        </w:tc>
        <w:tc>
          <w:tcPr>
            <w:tcW w:w="1671" w:type="pct"/>
            <w:shd w:val="clear" w:color="auto" w:fill="FFFFFF"/>
            <w:vAlign w:val="center"/>
          </w:tcPr>
          <w:p>
            <w:pPr>
              <w:ind w:firstLine="0" w:firstLineChars="0"/>
              <w:jc w:val="center"/>
              <w:rPr>
                <w:lang w:val="en-US"/>
              </w:rPr>
            </w:pPr>
            <w:r>
              <w:rPr>
                <w:rFonts w:hint="eastAsia"/>
                <w:lang w:val="en-US"/>
              </w:rPr>
              <w:t>风机盘管</w:t>
            </w:r>
          </w:p>
        </w:tc>
        <w:tc>
          <w:tcPr>
            <w:tcW w:w="1216" w:type="pct"/>
            <w:vAlign w:val="center"/>
          </w:tcPr>
          <w:p>
            <w:pPr>
              <w:ind w:firstLine="0" w:firstLineChars="0"/>
              <w:jc w:val="center"/>
              <w:rPr>
                <w:lang w:val="en-US"/>
              </w:rPr>
            </w:pPr>
            <w:bookmarkStart w:id="92" w:name="风机盘管能耗"/>
            <w:r>
              <w:rPr>
                <w:rFonts w:hint="eastAsia"/>
                <w:lang w:val="en-US"/>
              </w:rPr>
              <w:t>0.00</w:t>
            </w:r>
            <w:bookmarkEnd w:id="92"/>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vMerge w:val="continue"/>
            <w:shd w:val="clear" w:color="auto" w:fill="E0E0E0"/>
            <w:vAlign w:val="center"/>
          </w:tcPr>
          <w:p>
            <w:pPr>
              <w:ind w:firstLine="0" w:firstLineChars="0"/>
              <w:jc w:val="center"/>
              <w:rPr>
                <w:lang w:val="en-US"/>
              </w:rPr>
            </w:pPr>
          </w:p>
        </w:tc>
        <w:tc>
          <w:tcPr>
            <w:tcW w:w="1671" w:type="pct"/>
            <w:shd w:val="clear" w:color="auto" w:fill="FFFFFF"/>
            <w:vAlign w:val="center"/>
          </w:tcPr>
          <w:p>
            <w:pPr>
              <w:ind w:firstLine="0" w:firstLineChars="0"/>
              <w:jc w:val="center"/>
              <w:rPr>
                <w:lang w:val="en-US"/>
              </w:rPr>
            </w:pPr>
            <w:r>
              <w:rPr>
                <w:rFonts w:hint="eastAsia"/>
                <w:lang w:val="en-US"/>
              </w:rPr>
              <w:t>全空气系统</w:t>
            </w:r>
          </w:p>
        </w:tc>
        <w:tc>
          <w:tcPr>
            <w:tcW w:w="1216" w:type="pct"/>
            <w:vAlign w:val="center"/>
          </w:tcPr>
          <w:p>
            <w:pPr>
              <w:ind w:firstLine="0" w:firstLineChars="0"/>
              <w:jc w:val="center"/>
              <w:rPr>
                <w:lang w:val="en-US"/>
              </w:rPr>
            </w:pPr>
            <w:bookmarkStart w:id="93" w:name="全空气系统能耗"/>
            <w:r>
              <w:rPr>
                <w:rFonts w:hint="eastAsia"/>
                <w:lang w:val="en-US"/>
              </w:rPr>
              <w:t>0.00</w:t>
            </w:r>
            <w:bookmarkEnd w:id="93"/>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vMerge w:val="continue"/>
            <w:shd w:val="clear" w:color="auto" w:fill="E0E0E0"/>
            <w:vAlign w:val="center"/>
          </w:tcPr>
          <w:p>
            <w:pPr>
              <w:ind w:firstLine="0" w:firstLineChars="0"/>
              <w:jc w:val="center"/>
              <w:rPr>
                <w:lang w:val="en-US"/>
              </w:rPr>
            </w:pPr>
          </w:p>
        </w:tc>
        <w:tc>
          <w:tcPr>
            <w:tcW w:w="1671" w:type="pct"/>
            <w:shd w:val="clear" w:color="auto" w:fill="E0E0E0"/>
            <w:vAlign w:val="center"/>
          </w:tcPr>
          <w:p>
            <w:pPr>
              <w:ind w:firstLine="0" w:firstLineChars="0"/>
              <w:jc w:val="center"/>
              <w:rPr>
                <w:lang w:val="en-US"/>
              </w:rPr>
            </w:pPr>
            <w:r>
              <w:rPr>
                <w:rFonts w:hint="eastAsia"/>
                <w:lang w:val="en-US"/>
              </w:rPr>
              <w:t>风机合计</w:t>
            </w:r>
          </w:p>
        </w:tc>
        <w:tc>
          <w:tcPr>
            <w:tcW w:w="1216" w:type="pct"/>
            <w:vAlign w:val="center"/>
          </w:tcPr>
          <w:p>
            <w:pPr>
              <w:ind w:firstLine="0" w:firstLineChars="0"/>
              <w:jc w:val="center"/>
              <w:rPr>
                <w:lang w:val="en-US"/>
              </w:rPr>
            </w:pPr>
            <w:bookmarkStart w:id="94" w:name="空调动力能耗"/>
            <w:r>
              <w:rPr>
                <w:rFonts w:hint="eastAsia"/>
                <w:lang w:val="en-US"/>
              </w:rPr>
              <w:t>0.00</w:t>
            </w:r>
            <w:bookmarkEnd w:id="94"/>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91" w:type="pct"/>
            <w:gridSpan w:val="2"/>
            <w:shd w:val="clear" w:color="auto" w:fill="E0E0E0"/>
            <w:vAlign w:val="center"/>
          </w:tcPr>
          <w:p>
            <w:pPr>
              <w:ind w:firstLine="0" w:firstLineChars="0"/>
              <w:jc w:val="center"/>
              <w:rPr>
                <w:lang w:val="en-US"/>
              </w:rPr>
            </w:pPr>
            <w:r>
              <w:rPr>
                <w:rFonts w:hint="eastAsia"/>
                <w:lang w:val="en-US"/>
              </w:rPr>
              <w:t>照明</w:t>
            </w:r>
            <w:r>
              <w:rPr>
                <w:lang w:val="en-US"/>
              </w:rPr>
              <w:t>电耗</w:t>
            </w:r>
          </w:p>
        </w:tc>
        <w:tc>
          <w:tcPr>
            <w:tcW w:w="1216" w:type="pct"/>
            <w:vAlign w:val="center"/>
          </w:tcPr>
          <w:p>
            <w:pPr>
              <w:ind w:firstLine="0" w:firstLineChars="0"/>
              <w:jc w:val="center"/>
              <w:rPr>
                <w:lang w:val="en-US"/>
              </w:rPr>
            </w:pPr>
            <w:bookmarkStart w:id="95" w:name="照明能耗"/>
            <w:r>
              <w:rPr>
                <w:rFonts w:hint="eastAsia"/>
                <w:lang w:val="en-US"/>
              </w:rPr>
              <w:t>0.00</w:t>
            </w:r>
            <w:bookmarkEnd w:id="95"/>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91" w:type="pct"/>
            <w:gridSpan w:val="2"/>
            <w:shd w:val="clear" w:color="auto" w:fill="E0E0E0"/>
            <w:vAlign w:val="center"/>
          </w:tcPr>
          <w:p>
            <w:pPr>
              <w:ind w:firstLine="0" w:firstLineChars="0"/>
              <w:jc w:val="center"/>
              <w:rPr>
                <w:lang w:val="en-US"/>
              </w:rPr>
            </w:pPr>
            <w:r>
              <w:rPr>
                <w:rFonts w:hint="eastAsia"/>
                <w:lang w:val="en-US"/>
              </w:rPr>
              <w:t>插座</w:t>
            </w:r>
            <w:r>
              <w:rPr>
                <w:lang w:val="en-US"/>
              </w:rPr>
              <w:t>设备电耗</w:t>
            </w:r>
          </w:p>
        </w:tc>
        <w:tc>
          <w:tcPr>
            <w:tcW w:w="1216" w:type="pct"/>
            <w:vAlign w:val="center"/>
          </w:tcPr>
          <w:p>
            <w:pPr>
              <w:ind w:firstLine="0" w:firstLineChars="0"/>
              <w:jc w:val="center"/>
              <w:rPr>
                <w:lang w:val="en-US"/>
              </w:rPr>
            </w:pPr>
            <w:bookmarkStart w:id="96" w:name="设备用电"/>
            <w:r>
              <w:rPr>
                <w:rFonts w:hint="eastAsia"/>
                <w:lang w:val="en-US"/>
              </w:rPr>
              <w:t>0.00</w:t>
            </w:r>
            <w:bookmarkEnd w:id="96"/>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vMerge w:val="restart"/>
            <w:shd w:val="clear" w:color="auto" w:fill="E0E0E0"/>
            <w:vAlign w:val="center"/>
          </w:tcPr>
          <w:p>
            <w:pPr>
              <w:ind w:firstLine="0" w:firstLineChars="0"/>
              <w:jc w:val="center"/>
              <w:rPr>
                <w:lang w:val="en-US"/>
              </w:rPr>
            </w:pPr>
            <w:r>
              <w:rPr>
                <w:rFonts w:hint="eastAsia"/>
                <w:lang w:val="en-US"/>
              </w:rPr>
              <w:t>其他电耗</w:t>
            </w:r>
            <w:r>
              <w:rPr>
                <w:lang w:val="en-US"/>
              </w:rPr>
              <w:t>(Eo)</w:t>
            </w:r>
          </w:p>
        </w:tc>
        <w:tc>
          <w:tcPr>
            <w:tcW w:w="1671" w:type="pct"/>
            <w:shd w:val="clear" w:color="auto" w:fill="FFFFFF"/>
            <w:vAlign w:val="center"/>
          </w:tcPr>
          <w:p>
            <w:pPr>
              <w:ind w:firstLine="0" w:firstLineChars="0"/>
              <w:jc w:val="center"/>
              <w:rPr>
                <w:lang w:val="en-US"/>
              </w:rPr>
            </w:pPr>
            <w:r>
              <w:rPr>
                <w:rFonts w:hint="eastAsia"/>
                <w:lang w:val="en-US"/>
              </w:rPr>
              <w:t>电梯</w:t>
            </w:r>
          </w:p>
        </w:tc>
        <w:tc>
          <w:tcPr>
            <w:tcW w:w="1216" w:type="pct"/>
            <w:vAlign w:val="center"/>
          </w:tcPr>
          <w:p>
            <w:pPr>
              <w:ind w:firstLine="0" w:firstLineChars="0"/>
              <w:jc w:val="center"/>
              <w:rPr>
                <w:lang w:val="en-US"/>
              </w:rPr>
            </w:pPr>
            <w:bookmarkStart w:id="97" w:name="动力系统能耗"/>
            <w:r>
              <w:rPr>
                <w:rFonts w:hint="eastAsia"/>
                <w:lang w:val="en-US"/>
              </w:rPr>
              <w:t>0.00</w:t>
            </w:r>
            <w:bookmarkEnd w:id="97"/>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vMerge w:val="continue"/>
            <w:shd w:val="clear" w:color="auto" w:fill="E0E0E0"/>
            <w:vAlign w:val="center"/>
          </w:tcPr>
          <w:p>
            <w:pPr>
              <w:ind w:firstLine="0" w:firstLineChars="0"/>
              <w:jc w:val="center"/>
              <w:rPr>
                <w:lang w:val="en-US"/>
              </w:rPr>
            </w:pPr>
          </w:p>
        </w:tc>
        <w:tc>
          <w:tcPr>
            <w:tcW w:w="1671" w:type="pct"/>
            <w:shd w:val="clear" w:color="auto" w:fill="FFFFFF"/>
            <w:vAlign w:val="center"/>
          </w:tcPr>
          <w:p>
            <w:pPr>
              <w:ind w:firstLine="0" w:firstLineChars="0"/>
              <w:jc w:val="center"/>
              <w:rPr>
                <w:lang w:val="en-US"/>
              </w:rPr>
            </w:pPr>
            <w:r>
              <w:rPr>
                <w:rFonts w:hint="eastAsia"/>
                <w:lang w:val="en-US"/>
              </w:rPr>
              <w:t>独立排风机</w:t>
            </w:r>
          </w:p>
        </w:tc>
        <w:tc>
          <w:tcPr>
            <w:tcW w:w="1216" w:type="pct"/>
            <w:vAlign w:val="center"/>
          </w:tcPr>
          <w:p>
            <w:pPr>
              <w:ind w:firstLine="0" w:firstLineChars="0"/>
              <w:jc w:val="center"/>
              <w:rPr>
                <w:lang w:val="en-US"/>
              </w:rPr>
            </w:pPr>
            <w:bookmarkStart w:id="98" w:name="排风机能耗"/>
            <w:r>
              <w:rPr>
                <w:rFonts w:hint="eastAsia"/>
                <w:lang w:val="en-US"/>
              </w:rPr>
              <w:t>0.00</w:t>
            </w:r>
            <w:bookmarkEnd w:id="98"/>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vMerge w:val="continue"/>
            <w:shd w:val="clear" w:color="auto" w:fill="E0E0E0"/>
            <w:vAlign w:val="center"/>
          </w:tcPr>
          <w:p>
            <w:pPr>
              <w:ind w:firstLine="0" w:firstLineChars="0"/>
              <w:jc w:val="center"/>
              <w:rPr>
                <w:lang w:val="en-US"/>
              </w:rPr>
            </w:pPr>
          </w:p>
        </w:tc>
        <w:tc>
          <w:tcPr>
            <w:tcW w:w="1671" w:type="pct"/>
            <w:shd w:val="clear" w:color="auto" w:fill="FFFFFF"/>
            <w:vAlign w:val="center"/>
          </w:tcPr>
          <w:p>
            <w:pPr>
              <w:ind w:firstLine="0" w:firstLineChars="0"/>
              <w:jc w:val="center"/>
              <w:rPr>
                <w:lang w:val="en-US"/>
              </w:rPr>
            </w:pPr>
            <w:r>
              <w:rPr>
                <w:rFonts w:hint="eastAsia"/>
                <w:lang w:val="en-US"/>
              </w:rPr>
              <w:t>生活热水</w:t>
            </w:r>
          </w:p>
        </w:tc>
        <w:tc>
          <w:tcPr>
            <w:tcW w:w="1216" w:type="pct"/>
            <w:vAlign w:val="center"/>
          </w:tcPr>
          <w:p>
            <w:pPr>
              <w:ind w:firstLine="0" w:firstLineChars="0"/>
              <w:jc w:val="center"/>
              <w:rPr>
                <w:lang w:val="en-US"/>
              </w:rPr>
            </w:pPr>
            <w:bookmarkStart w:id="99" w:name="热水系统能耗"/>
            <w:r>
              <w:rPr>
                <w:rFonts w:hint="eastAsia"/>
                <w:lang w:val="en-US"/>
              </w:rPr>
              <w:t>0.00</w:t>
            </w:r>
            <w:bookmarkEnd w:id="99"/>
            <w:r>
              <w:rPr>
                <w:lang w:val="en-US"/>
              </w:rPr>
              <w:t xml:space="preserve"> </w:t>
            </w:r>
            <w:bookmarkStart w:id="100" w:name="生活热水供需关系"/>
            <w:bookmarkEnd w:id="100"/>
          </w:p>
        </w:tc>
        <w:tc>
          <w:tcPr>
            <w:tcW w:w="1293" w:type="pct"/>
          </w:tcPr>
          <w:p>
            <w:pPr>
              <w:ind w:firstLine="0" w:firstLineChars="0"/>
              <w:jc w:val="center"/>
              <w:rPr>
                <w:lang w:val="en-US"/>
              </w:rPr>
            </w:pPr>
            <w:r>
              <w:rPr>
                <w:rFonts w:hint="eastAsia"/>
                <w:lang w:val="en-US"/>
              </w:rPr>
              <w:t>扣减了太阳能热水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vMerge w:val="continue"/>
            <w:shd w:val="clear" w:color="auto" w:fill="E0E0E0"/>
            <w:vAlign w:val="center"/>
          </w:tcPr>
          <w:p>
            <w:pPr>
              <w:ind w:firstLine="0" w:firstLineChars="0"/>
              <w:jc w:val="center"/>
              <w:rPr>
                <w:lang w:val="en-US"/>
              </w:rPr>
            </w:pPr>
          </w:p>
        </w:tc>
        <w:tc>
          <w:tcPr>
            <w:tcW w:w="1671" w:type="pct"/>
            <w:shd w:val="clear" w:color="auto" w:fill="FFFFFF"/>
            <w:vAlign w:val="center"/>
          </w:tcPr>
          <w:p>
            <w:pPr>
              <w:ind w:firstLine="0" w:firstLineChars="0"/>
              <w:jc w:val="center"/>
              <w:rPr>
                <w:lang w:val="en-US"/>
              </w:rPr>
            </w:pPr>
            <w:r>
              <w:rPr>
                <w:rFonts w:hint="eastAsia"/>
                <w:lang w:val="en-US"/>
              </w:rPr>
              <w:t>其他设备</w:t>
            </w:r>
          </w:p>
        </w:tc>
        <w:tc>
          <w:tcPr>
            <w:tcW w:w="1216" w:type="pct"/>
            <w:vAlign w:val="center"/>
          </w:tcPr>
          <w:p>
            <w:pPr>
              <w:ind w:firstLine="0" w:firstLineChars="0"/>
              <w:jc w:val="center"/>
              <w:rPr>
                <w:lang w:val="en-US"/>
              </w:rPr>
            </w:pPr>
            <w:bookmarkStart w:id="101" w:name="其他设备能耗"/>
            <w:r>
              <w:rPr>
                <w:rFonts w:hint="eastAsia"/>
                <w:lang w:val="en-US"/>
              </w:rPr>
              <w:t>0.00</w:t>
            </w:r>
            <w:bookmarkEnd w:id="101"/>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vMerge w:val="continue"/>
            <w:shd w:val="clear" w:color="auto" w:fill="E0E0E0"/>
            <w:vAlign w:val="center"/>
          </w:tcPr>
          <w:p>
            <w:pPr>
              <w:ind w:firstLine="0" w:firstLineChars="0"/>
              <w:jc w:val="center"/>
              <w:rPr>
                <w:lang w:val="en-US"/>
              </w:rPr>
            </w:pPr>
          </w:p>
        </w:tc>
        <w:tc>
          <w:tcPr>
            <w:tcW w:w="1671" w:type="pct"/>
            <w:shd w:val="clear" w:color="auto" w:fill="E0E0E0"/>
            <w:vAlign w:val="center"/>
          </w:tcPr>
          <w:p>
            <w:pPr>
              <w:ind w:firstLine="0" w:firstLineChars="0"/>
              <w:jc w:val="center"/>
              <w:rPr>
                <w:lang w:val="en-US"/>
              </w:rPr>
            </w:pPr>
            <w:r>
              <w:rPr>
                <w:rFonts w:hint="eastAsia"/>
                <w:lang w:val="en-US"/>
              </w:rPr>
              <w:t>合计</w:t>
            </w:r>
          </w:p>
        </w:tc>
        <w:tc>
          <w:tcPr>
            <w:tcW w:w="1216" w:type="pct"/>
            <w:vAlign w:val="center"/>
          </w:tcPr>
          <w:p>
            <w:pPr>
              <w:ind w:firstLine="0" w:firstLineChars="0"/>
              <w:jc w:val="center"/>
              <w:rPr>
                <w:lang w:val="en-US"/>
              </w:rPr>
            </w:pPr>
            <w:bookmarkStart w:id="102" w:name="其他能耗"/>
            <w:r>
              <w:rPr>
                <w:rFonts w:hint="eastAsia"/>
                <w:lang w:val="en-US"/>
              </w:rPr>
              <w:t>0.00</w:t>
            </w:r>
            <w:bookmarkEnd w:id="102"/>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vMerge w:val="restart"/>
            <w:shd w:val="clear" w:color="auto" w:fill="E0E0E0"/>
            <w:vAlign w:val="center"/>
          </w:tcPr>
          <w:p>
            <w:pPr>
              <w:ind w:firstLine="0" w:firstLineChars="0"/>
              <w:jc w:val="center"/>
              <w:rPr>
                <w:lang w:val="en-US"/>
              </w:rPr>
            </w:pPr>
            <w:r>
              <w:rPr>
                <w:rFonts w:hint="eastAsia"/>
                <w:lang w:val="en-US"/>
              </w:rPr>
              <w:t>可再生能源</w:t>
            </w:r>
          </w:p>
          <w:p>
            <w:pPr>
              <w:ind w:firstLine="0" w:firstLineChars="0"/>
              <w:jc w:val="center"/>
              <w:rPr>
                <w:lang w:val="en-US"/>
              </w:rPr>
            </w:pPr>
            <w:r>
              <w:rPr>
                <w:rFonts w:hint="eastAsia"/>
                <w:lang w:val="en-US"/>
              </w:rPr>
              <w:t>(</w:t>
            </w:r>
            <w:r>
              <w:rPr>
                <w:lang w:val="en-US"/>
              </w:rPr>
              <w:t>Er)</w:t>
            </w:r>
          </w:p>
        </w:tc>
        <w:tc>
          <w:tcPr>
            <w:tcW w:w="1671" w:type="pct"/>
            <w:shd w:val="clear" w:color="auto" w:fill="FFFFFF"/>
            <w:vAlign w:val="center"/>
          </w:tcPr>
          <w:p>
            <w:pPr>
              <w:ind w:firstLine="0" w:firstLineChars="0"/>
              <w:jc w:val="center"/>
              <w:rPr>
                <w:lang w:val="en-US"/>
              </w:rPr>
            </w:pPr>
            <w:r>
              <w:rPr>
                <w:rFonts w:hint="eastAsia"/>
                <w:lang w:val="en-US"/>
              </w:rPr>
              <w:t>光伏发电(</w:t>
            </w:r>
            <w:r>
              <w:rPr>
                <w:lang w:val="en-US"/>
              </w:rPr>
              <w:t>Ep)</w:t>
            </w:r>
          </w:p>
        </w:tc>
        <w:tc>
          <w:tcPr>
            <w:tcW w:w="1216" w:type="pct"/>
            <w:vAlign w:val="center"/>
          </w:tcPr>
          <w:p>
            <w:pPr>
              <w:ind w:firstLine="0" w:firstLineChars="0"/>
              <w:jc w:val="center"/>
              <w:rPr>
                <w:lang w:val="en-US"/>
              </w:rPr>
            </w:pPr>
            <w:bookmarkStart w:id="103" w:name="光伏能耗"/>
            <w:r>
              <w:rPr>
                <w:rFonts w:hint="eastAsia"/>
                <w:lang w:val="en-US"/>
              </w:rPr>
              <w:t>0.00</w:t>
            </w:r>
            <w:bookmarkEnd w:id="103"/>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vMerge w:val="continue"/>
            <w:shd w:val="clear" w:color="auto" w:fill="E0E0E0"/>
            <w:vAlign w:val="center"/>
          </w:tcPr>
          <w:p>
            <w:pPr>
              <w:ind w:firstLine="0" w:firstLineChars="0"/>
              <w:jc w:val="center"/>
              <w:rPr>
                <w:lang w:val="en-US"/>
              </w:rPr>
            </w:pPr>
          </w:p>
        </w:tc>
        <w:tc>
          <w:tcPr>
            <w:tcW w:w="1671" w:type="pct"/>
            <w:shd w:val="clear" w:color="auto" w:fill="FFFFFF"/>
            <w:vAlign w:val="center"/>
          </w:tcPr>
          <w:p>
            <w:pPr>
              <w:ind w:firstLine="0" w:firstLineChars="0"/>
              <w:jc w:val="center"/>
              <w:rPr>
                <w:lang w:val="en-US"/>
              </w:rPr>
            </w:pPr>
            <w:r>
              <w:rPr>
                <w:rFonts w:hint="eastAsia"/>
                <w:lang w:val="en-US"/>
              </w:rPr>
              <w:t>风力</w:t>
            </w:r>
            <w:r>
              <w:rPr>
                <w:lang w:val="en-US"/>
              </w:rPr>
              <w:t>发电</w:t>
            </w:r>
            <w:r>
              <w:rPr>
                <w:rFonts w:hint="eastAsia"/>
                <w:lang w:val="en-US"/>
              </w:rPr>
              <w:t>(</w:t>
            </w:r>
            <w:r>
              <w:rPr>
                <w:lang w:val="en-US"/>
              </w:rPr>
              <w:t>Ew</w:t>
            </w:r>
            <w:r>
              <w:rPr>
                <w:rFonts w:hint="eastAsia"/>
                <w:lang w:val="en-US"/>
              </w:rPr>
              <w:t>)</w:t>
            </w:r>
          </w:p>
        </w:tc>
        <w:tc>
          <w:tcPr>
            <w:tcW w:w="1216" w:type="pct"/>
            <w:vAlign w:val="center"/>
          </w:tcPr>
          <w:p>
            <w:pPr>
              <w:ind w:firstLine="0" w:firstLineChars="0"/>
              <w:jc w:val="center"/>
              <w:rPr>
                <w:lang w:val="en-US"/>
              </w:rPr>
            </w:pPr>
            <w:bookmarkStart w:id="104" w:name="风力能耗"/>
            <w:r>
              <w:rPr>
                <w:rFonts w:hint="eastAsia"/>
                <w:lang w:val="en-US"/>
              </w:rPr>
              <w:t>0.00</w:t>
            </w:r>
            <w:bookmarkEnd w:id="104"/>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91" w:type="pct"/>
            <w:gridSpan w:val="2"/>
            <w:shd w:val="clear" w:color="auto" w:fill="E0E0E0"/>
            <w:vAlign w:val="center"/>
          </w:tcPr>
          <w:p>
            <w:pPr>
              <w:ind w:firstLine="0" w:firstLineChars="0"/>
              <w:jc w:val="center"/>
              <w:rPr>
                <w:lang w:val="en-US"/>
              </w:rPr>
            </w:pPr>
            <w:r>
              <w:rPr>
                <w:rFonts w:hint="eastAsia"/>
                <w:lang w:val="en-US"/>
              </w:rPr>
              <w:t>建筑总能耗</w:t>
            </w:r>
            <w:r>
              <w:rPr>
                <w:lang w:val="en-US"/>
              </w:rPr>
              <w:t>(E1)</w:t>
            </w:r>
            <w:r>
              <w:rPr>
                <w:rFonts w:hint="eastAsia"/>
                <w:lang w:val="en-US"/>
              </w:rPr>
              <w:t>：电耗</w:t>
            </w:r>
            <w:r>
              <w:rPr>
                <w:lang w:val="en-US"/>
              </w:rPr>
              <w:t>(kWh/</w:t>
            </w:r>
            <w:r>
              <w:rPr>
                <w:rFonts w:hint="eastAsia"/>
                <w:lang w:val="en-US"/>
              </w:rPr>
              <w:t>㎡</w:t>
            </w:r>
            <w:r>
              <w:rPr>
                <w:lang w:val="en-US"/>
              </w:rPr>
              <w:t>)</w:t>
            </w:r>
          </w:p>
        </w:tc>
        <w:tc>
          <w:tcPr>
            <w:tcW w:w="1216" w:type="pct"/>
            <w:vAlign w:val="center"/>
          </w:tcPr>
          <w:p>
            <w:pPr>
              <w:ind w:firstLine="0" w:firstLineChars="0"/>
              <w:jc w:val="center"/>
              <w:rPr>
                <w:lang w:val="en-US"/>
              </w:rPr>
            </w:pPr>
            <w:bookmarkStart w:id="105" w:name="建筑总能耗"/>
            <w:r>
              <w:rPr>
                <w:lang w:val="en-US"/>
              </w:rPr>
              <w:t>-1.00</w:t>
            </w:r>
            <w:bookmarkEnd w:id="105"/>
          </w:p>
        </w:tc>
        <w:tc>
          <w:tcPr>
            <w:tcW w:w="1293" w:type="pct"/>
          </w:tcPr>
          <w:p>
            <w:pPr>
              <w:ind w:firstLine="0" w:firstLineChars="0"/>
              <w:jc w:val="center"/>
              <w:rPr>
                <w:lang w:val="en-US"/>
              </w:rPr>
            </w:pPr>
            <w:r>
              <w:rPr>
                <w:lang w:val="en-US"/>
              </w:rPr>
              <w:t>E1=Ec+Eh+Ef+Eo-Er</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91" w:type="pct"/>
            <w:gridSpan w:val="2"/>
            <w:shd w:val="clear" w:color="auto" w:fill="E0E0E0"/>
            <w:vAlign w:val="center"/>
          </w:tcPr>
          <w:p>
            <w:pPr>
              <w:ind w:firstLine="0" w:firstLineChars="0"/>
              <w:jc w:val="center"/>
              <w:rPr>
                <w:lang w:val="en-US"/>
              </w:rPr>
            </w:pPr>
            <w:r>
              <w:rPr>
                <w:rFonts w:hint="eastAsia"/>
                <w:lang w:val="en-US"/>
              </w:rPr>
              <w:t>建筑总能耗</w:t>
            </w:r>
            <w:r>
              <w:rPr>
                <w:lang w:val="en-US"/>
              </w:rPr>
              <w:t>(E1)</w:t>
            </w:r>
            <w:r>
              <w:rPr>
                <w:rFonts w:hint="eastAsia"/>
                <w:lang w:val="en-US"/>
              </w:rPr>
              <w:t>：标煤</w:t>
            </w:r>
            <w:r>
              <w:rPr>
                <w:lang w:val="en-US"/>
              </w:rPr>
              <w:t>(kgce/</w:t>
            </w:r>
            <w:r>
              <w:rPr>
                <w:rFonts w:hint="eastAsia"/>
                <w:lang w:val="en-US"/>
              </w:rPr>
              <w:t>㎡</w:t>
            </w:r>
            <w:r>
              <w:rPr>
                <w:lang w:val="en-US"/>
              </w:rPr>
              <w:t>)</w:t>
            </w:r>
          </w:p>
        </w:tc>
        <w:tc>
          <w:tcPr>
            <w:tcW w:w="1216" w:type="pct"/>
            <w:vAlign w:val="center"/>
          </w:tcPr>
          <w:p>
            <w:pPr>
              <w:ind w:firstLine="0" w:firstLineChars="0"/>
              <w:jc w:val="center"/>
              <w:rPr>
                <w:lang w:val="en-US"/>
              </w:rPr>
            </w:pPr>
            <w:bookmarkStart w:id="106" w:name="建筑总能耗_标煤"/>
            <w:r>
              <w:rPr>
                <w:rFonts w:hint="eastAsia"/>
                <w:lang w:val="en-US"/>
              </w:rPr>
              <w:t>-0.33</w:t>
            </w:r>
            <w:bookmarkEnd w:id="106"/>
          </w:p>
        </w:tc>
        <w:tc>
          <w:tcPr>
            <w:tcW w:w="1293" w:type="pct"/>
          </w:tcPr>
          <w:p>
            <w:pPr>
              <w:ind w:firstLine="0" w:firstLineChars="0"/>
              <w:jc w:val="center"/>
              <w:rPr>
                <w:lang w:val="en-US"/>
              </w:rPr>
            </w:pPr>
          </w:p>
        </w:tc>
      </w:tr>
    </w:tbl>
    <w:p/>
    <w:p>
      <w:pPr>
        <w:widowControl w:val="0"/>
        <w:jc w:val="both"/>
        <w:rPr>
          <w:color w:val="000000"/>
        </w:rPr>
      </w:pPr>
    </w:p>
    <w:p>
      <w:pPr>
        <w:pStyle w:val="4"/>
        <w:widowControl w:val="0"/>
        <w:jc w:val="both"/>
        <w:rPr>
          <w:color w:val="000000"/>
        </w:rPr>
      </w:pPr>
      <w:bookmarkStart w:id="107" w:name="_Toc2021"/>
      <w:r>
        <w:rPr>
          <w:color w:val="000000"/>
        </w:rPr>
        <w:t>全生命周期碳排放</w:t>
      </w:r>
      <w:bookmarkEnd w:id="107"/>
    </w:p>
    <w:p>
      <w:pPr>
        <w:pStyle w:val="5"/>
        <w:widowControl w:val="0"/>
        <w:jc w:val="both"/>
        <w:rPr>
          <w:color w:val="000000"/>
        </w:rPr>
      </w:pPr>
      <w:bookmarkStart w:id="108" w:name="_Toc26780"/>
      <w:r>
        <w:rPr>
          <w:color w:val="000000"/>
        </w:rPr>
        <w:t>碳排放强度</w:t>
      </w:r>
      <w:bookmarkEnd w:id="108"/>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pPr>
              <w:jc w:val="center"/>
            </w:pPr>
            <w:r>
              <w:t>类别</w:t>
            </w:r>
          </w:p>
        </w:tc>
        <w:tc>
          <w:tcPr>
            <w:shd w:val="clear" w:color="auto" w:fill="E6E6E6"/>
            <w:vAlign w:val="center"/>
          </w:tcPr>
          <w:p>
            <w:pPr>
              <w:jc w:val="center"/>
            </w:pPr>
            <w:r>
              <w:t>年均碳排放量kgCO2/(㎡·a)</w:t>
            </w:r>
          </w:p>
        </w:tc>
        <w:tc>
          <w:tcPr>
            <w:shd w:val="clear" w:color="auto" w:fill="E6E6E6"/>
            <w:vAlign w:val="center"/>
          </w:tcPr>
          <w:p>
            <w:pPr>
              <w:jc w:val="center"/>
            </w:pPr>
            <w:r>
              <w:t>50年碳排放量(kgCO2/㎡)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建筑材料生产</w:t>
            </w:r>
          </w:p>
        </w:tc>
        <w:tc>
          <w:tcPr>
            <w:vAlign w:val="center"/>
          </w:tcPr>
          <w:p/>
        </w:tc>
        <w:tc>
          <w:tcPr>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建筑材料运输</w:t>
            </w:r>
          </w:p>
        </w:tc>
        <w:tc>
          <w:tcPr>
            <w:vAlign w:val="center"/>
          </w:tcPr>
          <w:p/>
        </w:tc>
        <w:tc>
          <w:tcPr>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建筑建造</w:t>
            </w:r>
          </w:p>
        </w:tc>
        <w:tc>
          <w:tcPr>
            <w:vAlign w:val="center"/>
          </w:tcPr>
          <w:p/>
        </w:tc>
        <w:tc>
          <w:tcPr>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建筑拆除</w:t>
            </w:r>
          </w:p>
        </w:tc>
        <w:tc>
          <w:tcPr>
            <w:vAlign w:val="center"/>
          </w:tcPr>
          <w:p/>
        </w:tc>
        <w:tc>
          <w:tcPr>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r>
              <w:t>建筑运行</w:t>
            </w:r>
          </w:p>
        </w:tc>
        <w:tc>
          <w:tcPr>
            <w:shd w:val="clear" w:color="auto" w:fill="E6E6E6"/>
            <w:vAlign w:val="center"/>
          </w:tcPr>
          <w:p/>
        </w:tc>
        <w:tc>
          <w:tcPr>
            <w:vAlign w:val="center"/>
          </w:tcPr>
          <w:p>
            <w:r>
              <w:t>--</w:t>
            </w:r>
          </w:p>
        </w:tc>
        <w:tc>
          <w:tcPr>
            <w:vAlign w:val="center"/>
          </w:tcPr>
          <w:p>
            <w:r>
              <w:t>--</w:t>
            </w:r>
          </w:p>
        </w:tc>
      </w:tr>
      <w:tr>
        <w:tblPrEx>
          <w:tblCellMar>
            <w:top w:w="0" w:type="dxa"/>
            <w:left w:w="108" w:type="dxa"/>
            <w:bottom w:w="0" w:type="dxa"/>
            <w:right w:w="108" w:type="dxa"/>
          </w:tblCellMar>
        </w:tblPrEx>
        <w:trPr>
          <w:jc w:val="center"/>
        </w:trPr>
        <w:tc>
          <w:tcPr>
            <w:vMerge w:val="continue"/>
            <w:shd w:val="clear" w:color="auto" w:fill="E6E6E6"/>
            <w:vAlign w:val="center"/>
          </w:tcPr>
          <w:p/>
        </w:tc>
        <w:tc>
          <w:tcPr>
            <w:shd w:val="clear" w:color="auto" w:fill="E6E6E6"/>
            <w:vAlign w:val="center"/>
          </w:tcPr>
          <w:p/>
        </w:tc>
        <w:tc>
          <w:tcPr>
            <w:vAlign w:val="center"/>
          </w:tcPr>
          <w:p>
            <w:r>
              <w:t>--</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全生命周期</w:t>
            </w:r>
          </w:p>
        </w:tc>
        <w:tc>
          <w:tcPr>
            <w:vAlign w:val="center"/>
          </w:tcPr>
          <w:p>
            <w:r>
              <w:t>0.00</w:t>
            </w:r>
          </w:p>
        </w:tc>
        <w:tc>
          <w:tcPr>
            <w:vAlign w:val="center"/>
          </w:tcPr>
          <w:p>
            <w:r>
              <w:t>0.00</w:t>
            </w:r>
          </w:p>
        </w:tc>
      </w:tr>
    </w:tbl>
    <w:p>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pPr>
        <w:pStyle w:val="5"/>
        <w:widowControl w:val="0"/>
        <w:jc w:val="both"/>
        <w:rPr>
          <w:color w:val="000000"/>
        </w:rPr>
      </w:pPr>
      <w:bookmarkStart w:id="109" w:name="_Toc21810"/>
      <w:r>
        <w:rPr>
          <w:color w:val="000000"/>
        </w:rPr>
        <w:t>总碳排放量</w:t>
      </w:r>
      <w:bookmarkEnd w:id="109"/>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pPr>
              <w:jc w:val="center"/>
            </w:pPr>
            <w:r>
              <w:t>类别</w:t>
            </w:r>
          </w:p>
        </w:tc>
        <w:tc>
          <w:tcPr>
            <w:shd w:val="clear" w:color="auto" w:fill="E6E6E6"/>
            <w:vAlign w:val="center"/>
          </w:tcPr>
          <w:p>
            <w:pPr>
              <w:jc w:val="center"/>
            </w:pPr>
            <w:r>
              <w:t>年均碳排放量(tCO2/a)</w:t>
            </w:r>
          </w:p>
        </w:tc>
        <w:tc>
          <w:tcPr>
            <w:shd w:val="clear" w:color="auto" w:fill="E6E6E6"/>
            <w:vAlign w:val="center"/>
          </w:tcPr>
          <w:p>
            <w:pPr>
              <w:jc w:val="center"/>
            </w:pPr>
            <w:r>
              <w:t>50年碳排放量(tCO2)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建筑材料生产</w:t>
            </w:r>
          </w:p>
        </w:tc>
        <w:tc>
          <w:tcPr>
            <w:vAlign w:val="center"/>
          </w:tcPr>
          <w:p/>
        </w:tc>
        <w:tc>
          <w:tcPr>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建筑材料运输</w:t>
            </w:r>
          </w:p>
        </w:tc>
        <w:tc>
          <w:tcPr>
            <w:vAlign w:val="center"/>
          </w:tcPr>
          <w:p/>
        </w:tc>
        <w:tc>
          <w:tcPr>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建筑建造</w:t>
            </w:r>
          </w:p>
        </w:tc>
        <w:tc>
          <w:tcPr>
            <w:vAlign w:val="center"/>
          </w:tcPr>
          <w:p/>
        </w:tc>
        <w:tc>
          <w:tcPr>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建筑拆除</w:t>
            </w:r>
          </w:p>
        </w:tc>
        <w:tc>
          <w:tcPr>
            <w:vAlign w:val="center"/>
          </w:tcPr>
          <w:p/>
        </w:tc>
        <w:tc>
          <w:tcPr>
            <w:vAlign w:val="center"/>
          </w:tcPr>
          <w:p/>
        </w:tc>
      </w:tr>
      <w:tr>
        <w:tblPrEx>
          <w:tblCellMar>
            <w:top w:w="0" w:type="dxa"/>
            <w:left w:w="108" w:type="dxa"/>
            <w:bottom w:w="0" w:type="dxa"/>
            <w:right w:w="108" w:type="dxa"/>
          </w:tblCellMar>
        </w:tblPrEx>
        <w:trPr>
          <w:jc w:val="center"/>
        </w:trPr>
        <w:tc>
          <w:tcPr>
            <w:vMerge w:val="restart"/>
            <w:shd w:val="clear" w:color="auto" w:fill="E6E6E6"/>
            <w:vAlign w:val="center"/>
          </w:tcPr>
          <w:p>
            <w:r>
              <w:t>建筑运行</w:t>
            </w:r>
          </w:p>
        </w:tc>
        <w:tc>
          <w:tcPr>
            <w:shd w:val="clear" w:color="auto" w:fill="E6E6E6"/>
            <w:vAlign w:val="center"/>
          </w:tcPr>
          <w:p/>
        </w:tc>
        <w:tc>
          <w:tcPr>
            <w:vAlign w:val="center"/>
          </w:tcPr>
          <w:p>
            <w:r>
              <w:t>--</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tc>
        <w:tc>
          <w:tcPr>
            <w:shd w:val="clear" w:color="auto" w:fill="E6E6E6"/>
            <w:vAlign w:val="center"/>
          </w:tcPr>
          <w:p/>
        </w:tc>
        <w:tc>
          <w:tcPr>
            <w:vAlign w:val="center"/>
          </w:tcPr>
          <w:p>
            <w:r>
              <w:t>--</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全生命周期</w:t>
            </w:r>
          </w:p>
        </w:tc>
        <w:tc>
          <w:tcPr>
            <w:vAlign w:val="center"/>
          </w:tcPr>
          <w:p>
            <w:r>
              <w:t>0.000</w:t>
            </w:r>
          </w:p>
        </w:tc>
        <w:tc>
          <w:tcPr>
            <w:vAlign w:val="center"/>
          </w:tcPr>
          <w:p>
            <w:r>
              <w:t>0.000</w:t>
            </w:r>
          </w:p>
        </w:tc>
      </w:tr>
    </w:tbl>
    <w:p>
      <w:pPr>
        <w:widowControl w:val="0"/>
        <w:jc w:val="center"/>
        <w:rPr>
          <w:color w:val="000000"/>
        </w:rPr>
      </w:pPr>
      <w:r>
        <w:drawing>
          <wp:inline distT="0" distB="0" distL="0" distR="0">
            <wp:extent cx="5667375" cy="55721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5572125"/>
                    </a:xfrm>
                    <a:prstGeom prst="rect">
                      <a:avLst/>
                    </a:prstGeom>
                  </pic:spPr>
                </pic:pic>
              </a:graphicData>
            </a:graphic>
          </wp:inline>
        </w:drawing>
      </w:r>
    </w:p>
    <w:p>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pPr>
        <w:pStyle w:val="2"/>
        <w:widowControl w:val="0"/>
        <w:jc w:val="both"/>
        <w:rPr>
          <w:color w:val="000000"/>
        </w:rPr>
      </w:pPr>
      <w:bookmarkStart w:id="110" w:name="_Toc2546"/>
      <w:r>
        <w:rPr>
          <w:color w:val="000000"/>
        </w:rPr>
        <w:t>附录</w:t>
      </w:r>
      <w:bookmarkEnd w:id="110"/>
    </w:p>
    <w:p>
      <w:pPr>
        <w:pStyle w:val="4"/>
        <w:widowControl w:val="0"/>
        <w:jc w:val="both"/>
        <w:rPr>
          <w:color w:val="000000"/>
        </w:rPr>
      </w:pPr>
      <w:bookmarkStart w:id="111" w:name="_Toc18458"/>
      <w:r>
        <w:rPr>
          <w:color w:val="000000"/>
        </w:rPr>
        <w:t>工作日/节假日人员逐时在室率(%)</w:t>
      </w:r>
      <w:bookmarkEnd w:id="111"/>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商场-楼梯间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r>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r>
    </w:tbl>
    <w:p>
      <w:pPr>
        <w:widowControl w:val="0"/>
        <w:jc w:val="both"/>
        <w:rPr>
          <w:color w:val="000000"/>
        </w:rPr>
      </w:pPr>
    </w:p>
    <w:p>
      <w:r>
        <w:t>注：上行：工作日；下行：节假日</w:t>
      </w:r>
    </w:p>
    <w:p>
      <w:pPr>
        <w:pStyle w:val="4"/>
      </w:pPr>
      <w:bookmarkStart w:id="112" w:name="_Toc21655"/>
      <w:r>
        <w:t>工作日/节假日照明开关时间表(%)</w:t>
      </w:r>
      <w:bookmarkEnd w:id="112"/>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商场-楼梯间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r>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r>
    </w:tbl>
    <w:p/>
    <w:p>
      <w:r>
        <w:t>注：上行：工作日；下行：节假日</w:t>
      </w:r>
    </w:p>
    <w:p>
      <w:pPr>
        <w:pStyle w:val="4"/>
      </w:pPr>
      <w:bookmarkStart w:id="113" w:name="_Toc1459"/>
      <w:r>
        <w:t>工作日/节假日设备逐时使用率(%)</w:t>
      </w:r>
      <w:bookmarkEnd w:id="113"/>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商场-楼梯间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r>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r>
    </w:tbl>
    <w:p/>
    <w:p>
      <w:r>
        <w:t>注：上行：工作日；下行：节假日</w:t>
      </w:r>
    </w:p>
    <w:p>
      <w:pPr>
        <w:pStyle w:val="4"/>
      </w:pPr>
      <w:bookmarkStart w:id="114" w:name="_Toc11349"/>
      <w:r>
        <w:t>工作日/节假日空调系统运行时间表(1:开,0:关)</w:t>
      </w:r>
      <w:bookmarkEnd w:id="114"/>
    </w:p>
    <w:p>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r>
        <w:t>供冷期：</w:t>
      </w:r>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pStyle w:val="4"/>
      </w:pPr>
      <w:bookmarkStart w:id="115" w:name="_Toc4480"/>
      <w:r>
        <w:t>工作日/节假日新风运行时间表(%)</w:t>
      </w:r>
      <w:bookmarkEnd w:id="115"/>
    </w:p>
    <w:p>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r>
        <w:t>供冷期：</w:t>
      </w:r>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pPr>
          <w:pStyle w:val="14"/>
          <w:jc w:val="center"/>
        </w:pPr>
        <w:r>
          <w:fldChar w:fldCharType="begin"/>
        </w:r>
        <w:r>
          <w:instrText xml:space="preserve">PAGE   \* MERGEFORMAT</w:instrText>
        </w:r>
        <w:r>
          <w:fldChar w:fldCharType="separate"/>
        </w:r>
        <w:r>
          <w:rPr>
            <w:lang w:val="zh-CN"/>
          </w:rPr>
          <w:t>2</w:t>
        </w:r>
        <w:r>
          <w:fldChar w:fldCharType="end"/>
        </w:r>
      </w:p>
    </w:sdtContent>
  </w:sdt>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pPr>
          <w:pStyle w:val="14"/>
          <w:jc w:val="center"/>
        </w:pPr>
        <w:r>
          <w:fldChar w:fldCharType="begin"/>
        </w:r>
        <w:r>
          <w:instrText xml:space="preserve">PAGE   \* MERGEFORMAT</w:instrText>
        </w:r>
        <w:r>
          <w:fldChar w:fldCharType="separate"/>
        </w:r>
        <w:r>
          <w:rPr>
            <w:lang w:val="zh-CN"/>
          </w:rPr>
          <w:t>2</w:t>
        </w:r>
        <w:r>
          <w:fldChar w:fldCharType="end"/>
        </w:r>
      </w:p>
    </w:sdtContent>
  </w:sdt>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6598"/>
      <w:docPartObj>
        <w:docPartGallery w:val="autotext"/>
      </w:docPartObj>
    </w:sdtPr>
    <w:sdtContent>
      <w:p>
        <w:pPr>
          <w:pStyle w:val="14"/>
          <w:jc w:val="center"/>
        </w:pPr>
        <w:r>
          <w:fldChar w:fldCharType="begin"/>
        </w:r>
        <w:r>
          <w:instrText xml:space="preserve">PAGE   \* MERGEFORMAT</w:instrText>
        </w:r>
        <w:r>
          <w:fldChar w:fldCharType="separate"/>
        </w:r>
        <w:r>
          <w:rPr>
            <w:lang w:val="zh-CN"/>
          </w:rPr>
          <w:t>2</w:t>
        </w:r>
        <w:r>
          <w:fldChar w:fldCharType="end"/>
        </w:r>
      </w:p>
    </w:sdtContent>
  </w:sdt>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drawing>
        <wp:inline distT="0" distB="0" distL="0" distR="0">
          <wp:extent cx="86741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FD66F1"/>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26A41A02"/>
    <w:rsid w:val="30FD6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uiPriority w:val="99"/>
    <w:pPr>
      <w:tabs>
        <w:tab w:val="center" w:pos="4153"/>
        <w:tab w:val="right" w:pos="8306"/>
      </w:tabs>
      <w:snapToGrid w:val="0"/>
    </w:pPr>
    <w:rPr>
      <w:szCs w:val="18"/>
    </w:rPr>
  </w:style>
  <w:style w:type="paragraph" w:styleId="15">
    <w:name w:val="header"/>
    <w:basedOn w:val="1"/>
    <w:link w:val="27"/>
    <w:qFormat/>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semiHidden/>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uiPriority w:val="0"/>
    <w:rPr>
      <w:b/>
      <w:bCs/>
      <w:kern w:val="32"/>
      <w:sz w:val="28"/>
      <w:szCs w:val="28"/>
    </w:rPr>
  </w:style>
  <w:style w:type="table" w:customStyle="1" w:styleId="25">
    <w:name w:val="网格型1"/>
    <w:basedOn w:val="18"/>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uiPriority w:val="99"/>
    <w:rPr>
      <w:sz w:val="21"/>
      <w:szCs w:val="18"/>
      <w:lang w:val="en-GB"/>
    </w:rPr>
  </w:style>
  <w:style w:type="character" w:customStyle="1" w:styleId="27">
    <w:name w:val="页眉 字符"/>
    <w:basedOn w:val="20"/>
    <w:link w:val="15"/>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tmp2.dotx</Template>
  <Pages>14</Pages>
  <Words>2901</Words>
  <Characters>4527</Characters>
  <Lines>24</Lines>
  <Paragraphs>7</Paragraphs>
  <TotalTime>0</TotalTime>
  <ScaleCrop>false</ScaleCrop>
  <LinksUpToDate>false</LinksUpToDate>
  <CharactersWithSpaces>4684</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2026-03-28T05:21:00Z</dcterms:created>
  <dc:creator>Administrator</dc:creator>
  <cp:lastModifiedBy>平一梅</cp:lastModifiedBy>
  <dcterms:modified xsi:type="dcterms:W3CDTF">2026-03-28T10:04:03Z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9795B07E5B694D8B8C8DF93F6FC6F82A_11</vt:lpwstr>
  </property>
  <property fmtid="{D5CDD505-2E9C-101B-9397-08002B2CF9AE}" pid="3" name="KSOProductBuildVer">
    <vt:lpwstr>2052-11.1.0.10009</vt:lpwstr>
  </property>
</Properties>
</file>