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9" w:name="_GoBack"/>
      <w:bookmarkEnd w:id="59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72547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广州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2026年1月2日</w:t>
            </w:r>
            <w:bookmarkEnd w:id="7"/>
          </w:p>
        </w:tc>
      </w:tr>
    </w:tbl>
    <w:p w14:paraId="3481626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T15565222168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581C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_Toc25299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02D2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_Toc15752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_Toc15752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4D5BC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_Toc13342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_Toc13342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7D845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_Toc26542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_Toc26542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81EC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_Toc17587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_Toc17587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5F34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_Toc19830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_Toc19830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5699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_Toc32490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_Toc32490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16B4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_Toc17862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_Toc17862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C3A7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_Toc25656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_Toc25656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98BE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_Toc25029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_Toc25029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3DBB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_Toc2207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B121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_Toc30461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_Toc30461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BA79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_Toc32464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_Toc32464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E52B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_Toc15228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_Toc15228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50E2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_Toc25146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50A4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_Toc3114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2D03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_Toc22160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_Toc22160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5D6C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_Toc30382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_Toc30382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25299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广州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23.13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113.23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区"/>
            <w:r>
              <w:t>IVA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主导风向"/>
            <w:r>
              <w:t>东南偏东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5752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bookmarkEnd w:id="24"/>
      <w:bookmarkEnd w:id="25"/>
    </w:p>
    <w:p w14:paraId="790505B0">
      <w:pPr>
        <w:pStyle w:val="2"/>
      </w:pPr>
      <w:bookmarkStart w:id="26" w:name="_Toc13342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6AAC3A2">
      <w:pPr>
        <w:pStyle w:val="4"/>
      </w:pPr>
      <w:bookmarkStart w:id="27" w:name="_Toc26542"/>
      <w:r>
        <w:rPr>
          <w:rFonts w:hint="eastAsia"/>
        </w:rPr>
        <w:t>强制条文</w:t>
      </w:r>
      <w:bookmarkEnd w:id="27"/>
    </w:p>
    <w:p w14:paraId="201FEF3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4294197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F0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DC5F63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E82F3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0B6AC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B04B7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B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6209D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C48D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0EF9E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3AFC2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D9AD8A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876355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9EA21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2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61606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5F997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C2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EECA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DD144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03DC1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8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DD21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54EEE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017EA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CF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470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8D3FE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D2CC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1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445A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942B2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B865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7A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8DC68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A94DC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BDD66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30B2847">
      <w:pPr>
        <w:pStyle w:val="4"/>
      </w:pPr>
      <w:bookmarkStart w:id="28" w:name="_Toc17587"/>
      <w:r>
        <w:rPr>
          <w:rFonts w:hint="eastAsia"/>
        </w:rPr>
        <w:t>规定性设计</w:t>
      </w:r>
      <w:bookmarkEnd w:id="28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9" w:name="_Toc19830"/>
      <w:r>
        <w:rPr>
          <w:rFonts w:hint="eastAsia"/>
        </w:rPr>
        <w:t>计算参数</w:t>
      </w:r>
      <w:bookmarkEnd w:id="29"/>
    </w:p>
    <w:p w14:paraId="5DA09856">
      <w:pPr>
        <w:pStyle w:val="4"/>
      </w:pPr>
      <w:bookmarkStart w:id="30" w:name="_Toc32490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42724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A5EC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FEA5F0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7763320D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4BD4DF3A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167584E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2750040B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1322FBDA">
            <w:pPr>
              <w:jc w:val="center"/>
            </w:pPr>
            <w:r>
              <w:t>主导风向</w:t>
            </w:r>
          </w:p>
        </w:tc>
      </w:tr>
      <w:tr w14:paraId="7C284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BA9BF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72C46860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64246E4F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29CB3AD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5BB85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E6AB30C">
            <w:pPr>
              <w:jc w:val="center"/>
            </w:pPr>
            <w:r>
              <w:t>0.3</w:t>
            </w:r>
          </w:p>
        </w:tc>
        <w:tc>
          <w:tcPr>
            <w:vMerge w:val="restart"/>
            <w:vAlign w:val="center"/>
          </w:tcPr>
          <w:p w14:paraId="4D5AAB1F">
            <w:pPr>
              <w:jc w:val="center"/>
            </w:pPr>
            <w:r>
              <w:t>东南偏东</w:t>
            </w:r>
          </w:p>
        </w:tc>
      </w:tr>
      <w:tr w14:paraId="58808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559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B15B3C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18997E87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2978D4A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A8C26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47601A"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 w14:paraId="4168853D">
            <w:pPr>
              <w:jc w:val="center"/>
            </w:pPr>
          </w:p>
        </w:tc>
      </w:tr>
      <w:tr w14:paraId="5B9E6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58BD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B68D4B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28C65AC1"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 w14:paraId="4F1C711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8E33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CDCEE2"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 w14:paraId="2F387AFD">
            <w:pPr>
              <w:jc w:val="center"/>
            </w:pPr>
          </w:p>
        </w:tc>
      </w:tr>
      <w:tr w14:paraId="652C5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D44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ADBE22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7FCF20A8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614BB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EA01B3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C020C8"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 w14:paraId="7A04D325">
            <w:pPr>
              <w:jc w:val="center"/>
            </w:pPr>
          </w:p>
        </w:tc>
      </w:tr>
      <w:tr w14:paraId="4F640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255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9C32EB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483B2194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39A79F7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AD7E7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CF0C66A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767369BB">
            <w:pPr>
              <w:jc w:val="center"/>
            </w:pPr>
          </w:p>
        </w:tc>
      </w:tr>
      <w:tr w14:paraId="47EEE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057E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C51576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1B8449B7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055A84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E3F3D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DD957D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4375E8DB">
            <w:pPr>
              <w:jc w:val="center"/>
            </w:pPr>
          </w:p>
        </w:tc>
      </w:tr>
      <w:tr w14:paraId="68274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3BC9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3F966DE">
            <w:pPr>
              <w:jc w:val="center"/>
            </w:pPr>
            <w:r>
              <w:t>27.0</w:t>
            </w:r>
          </w:p>
        </w:tc>
        <w:tc>
          <w:tcPr>
            <w:vAlign w:val="center"/>
          </w:tcPr>
          <w:p w14:paraId="5BB40DE2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5DEECD1B">
            <w:pPr>
              <w:jc w:val="center"/>
            </w:pPr>
            <w:r>
              <w:t>38.89</w:t>
            </w:r>
          </w:p>
        </w:tc>
        <w:tc>
          <w:tcPr>
            <w:vAlign w:val="center"/>
          </w:tcPr>
          <w:p w14:paraId="13A17EF5"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 w14:paraId="61775980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38D19536">
            <w:pPr>
              <w:jc w:val="center"/>
            </w:pPr>
          </w:p>
        </w:tc>
      </w:tr>
      <w:tr w14:paraId="54FB1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8EFE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9749FCF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5EC97283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4CC3B170">
            <w:pPr>
              <w:jc w:val="center"/>
            </w:pPr>
            <w:r>
              <w:t>122.22</w:t>
            </w:r>
          </w:p>
        </w:tc>
        <w:tc>
          <w:tcPr>
            <w:vAlign w:val="center"/>
          </w:tcPr>
          <w:p w14:paraId="53D8C110">
            <w:pPr>
              <w:jc w:val="center"/>
            </w:pPr>
            <w:r>
              <w:t>86.11</w:t>
            </w:r>
          </w:p>
        </w:tc>
        <w:tc>
          <w:tcPr>
            <w:vAlign w:val="center"/>
          </w:tcPr>
          <w:p w14:paraId="571B786D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C64E06C">
            <w:pPr>
              <w:jc w:val="center"/>
            </w:pPr>
          </w:p>
        </w:tc>
      </w:tr>
      <w:tr w14:paraId="26992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3BF2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D9B8B9D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7CC1AF0F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46C16B5A"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 w14:paraId="26C1025C"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 w14:paraId="21024698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5733334">
            <w:pPr>
              <w:jc w:val="center"/>
            </w:pPr>
          </w:p>
        </w:tc>
      </w:tr>
      <w:tr w14:paraId="2C286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0B76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2E89C28"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 w14:paraId="7630F6EF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41A71100">
            <w:pPr>
              <w:jc w:val="center"/>
            </w:pPr>
            <w:r>
              <w:t>308.33</w:t>
            </w:r>
          </w:p>
        </w:tc>
        <w:tc>
          <w:tcPr>
            <w:vAlign w:val="center"/>
          </w:tcPr>
          <w:p w14:paraId="31258524">
            <w:pPr>
              <w:jc w:val="center"/>
            </w:pPr>
            <w:r>
              <w:t>172.22</w:t>
            </w:r>
          </w:p>
        </w:tc>
        <w:tc>
          <w:tcPr>
            <w:vAlign w:val="center"/>
          </w:tcPr>
          <w:p w14:paraId="7F882CB8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20B9294">
            <w:pPr>
              <w:jc w:val="center"/>
            </w:pPr>
          </w:p>
        </w:tc>
      </w:tr>
      <w:tr w14:paraId="17DF4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D3CF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EE91383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4B7FD765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B174E32">
            <w:pPr>
              <w:jc w:val="center"/>
            </w:pPr>
            <w:r>
              <w:t>388.89</w:t>
            </w:r>
          </w:p>
        </w:tc>
        <w:tc>
          <w:tcPr>
            <w:vAlign w:val="center"/>
          </w:tcPr>
          <w:p w14:paraId="235E12D4">
            <w:pPr>
              <w:jc w:val="center"/>
            </w:pPr>
            <w:r>
              <w:t>202.78</w:t>
            </w:r>
          </w:p>
        </w:tc>
        <w:tc>
          <w:tcPr>
            <w:vAlign w:val="center"/>
          </w:tcPr>
          <w:p w14:paraId="38340CA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0DBD9AA3">
            <w:pPr>
              <w:jc w:val="center"/>
            </w:pPr>
          </w:p>
        </w:tc>
      </w:tr>
      <w:tr w14:paraId="2D86B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20E1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42146F"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 w14:paraId="7BB93B74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78A5CADF">
            <w:pPr>
              <w:jc w:val="center"/>
            </w:pPr>
            <w:r>
              <w:t>444.44</w:t>
            </w:r>
          </w:p>
        </w:tc>
        <w:tc>
          <w:tcPr>
            <w:vAlign w:val="center"/>
          </w:tcPr>
          <w:p w14:paraId="1EFB536E">
            <w:pPr>
              <w:jc w:val="center"/>
            </w:pPr>
            <w:r>
              <w:t>225.00</w:t>
            </w:r>
          </w:p>
        </w:tc>
        <w:tc>
          <w:tcPr>
            <w:vAlign w:val="center"/>
          </w:tcPr>
          <w:p w14:paraId="0ADE85D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9D1594C">
            <w:pPr>
              <w:jc w:val="center"/>
            </w:pPr>
          </w:p>
        </w:tc>
      </w:tr>
      <w:tr w14:paraId="4BA84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842D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C15A266">
            <w:pPr>
              <w:jc w:val="center"/>
            </w:pPr>
            <w:r>
              <w:t>30.9</w:t>
            </w:r>
          </w:p>
        </w:tc>
        <w:tc>
          <w:tcPr>
            <w:vAlign w:val="center"/>
          </w:tcPr>
          <w:p w14:paraId="28A1324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575FFF81">
            <w:pPr>
              <w:jc w:val="center"/>
            </w:pPr>
            <w:r>
              <w:t>466.67</w:t>
            </w:r>
          </w:p>
        </w:tc>
        <w:tc>
          <w:tcPr>
            <w:vAlign w:val="center"/>
          </w:tcPr>
          <w:p w14:paraId="6277C224">
            <w:pPr>
              <w:jc w:val="center"/>
            </w:pPr>
            <w:r>
              <w:t>233.33</w:t>
            </w:r>
          </w:p>
        </w:tc>
        <w:tc>
          <w:tcPr>
            <w:vAlign w:val="center"/>
          </w:tcPr>
          <w:p w14:paraId="527BACCC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ABFDCFA">
            <w:pPr>
              <w:jc w:val="center"/>
            </w:pPr>
          </w:p>
        </w:tc>
      </w:tr>
      <w:tr w14:paraId="1A920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6121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043B2D2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4F888C85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5CF4315D">
            <w:pPr>
              <w:jc w:val="center"/>
            </w:pPr>
            <w:r>
              <w:t>450.00</w:t>
            </w:r>
          </w:p>
        </w:tc>
        <w:tc>
          <w:tcPr>
            <w:vAlign w:val="center"/>
          </w:tcPr>
          <w:p w14:paraId="1E218FBC">
            <w:pPr>
              <w:jc w:val="center"/>
            </w:pPr>
            <w:r>
              <w:t>227.78</w:t>
            </w:r>
          </w:p>
        </w:tc>
        <w:tc>
          <w:tcPr>
            <w:vAlign w:val="center"/>
          </w:tcPr>
          <w:p w14:paraId="4E2CEE27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731554D">
            <w:pPr>
              <w:jc w:val="center"/>
            </w:pPr>
          </w:p>
        </w:tc>
      </w:tr>
      <w:tr w14:paraId="75BEC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3241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0D9919F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40797AA4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FC6A716">
            <w:pPr>
              <w:jc w:val="center"/>
            </w:pPr>
            <w:r>
              <w:t>397.22</w:t>
            </w:r>
          </w:p>
        </w:tc>
        <w:tc>
          <w:tcPr>
            <w:vAlign w:val="center"/>
          </w:tcPr>
          <w:p w14:paraId="09417D79">
            <w:pPr>
              <w:jc w:val="center"/>
            </w:pPr>
            <w:r>
              <w:t>208.33</w:t>
            </w:r>
          </w:p>
        </w:tc>
        <w:tc>
          <w:tcPr>
            <w:vAlign w:val="center"/>
          </w:tcPr>
          <w:p w14:paraId="1A34E63B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2CCC6139">
            <w:pPr>
              <w:jc w:val="center"/>
            </w:pPr>
          </w:p>
        </w:tc>
      </w:tr>
      <w:tr w14:paraId="5509F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F7E0C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6E440D6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34D6CCA2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24980164"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 w14:paraId="2251FF99">
            <w:pPr>
              <w:jc w:val="center"/>
            </w:pPr>
            <w:r>
              <w:t>175.00</w:t>
            </w:r>
          </w:p>
        </w:tc>
        <w:tc>
          <w:tcPr>
            <w:vAlign w:val="center"/>
          </w:tcPr>
          <w:p w14:paraId="3A42E2BF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49B06A3">
            <w:pPr>
              <w:jc w:val="center"/>
            </w:pPr>
          </w:p>
        </w:tc>
      </w:tr>
      <w:tr w14:paraId="532C8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9D53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C5C7457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3B265232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14B46C2">
            <w:pPr>
              <w:jc w:val="center"/>
            </w:pPr>
            <w:r>
              <w:t>225.00</w:t>
            </w:r>
          </w:p>
        </w:tc>
        <w:tc>
          <w:tcPr>
            <w:vAlign w:val="center"/>
          </w:tcPr>
          <w:p w14:paraId="3E6BFBE5">
            <w:pPr>
              <w:jc w:val="center"/>
            </w:pPr>
            <w:r>
              <w:t>133.33</w:t>
            </w:r>
          </w:p>
        </w:tc>
        <w:tc>
          <w:tcPr>
            <w:vAlign w:val="center"/>
          </w:tcPr>
          <w:p w14:paraId="66BF19C6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9C043D5">
            <w:pPr>
              <w:jc w:val="center"/>
            </w:pPr>
          </w:p>
        </w:tc>
      </w:tr>
      <w:tr w14:paraId="17D22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8B8F0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B50E6D5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68583E5F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16A4794C">
            <w:pPr>
              <w:jc w:val="center"/>
            </w:pPr>
            <w:r>
              <w:t>130.56</w:t>
            </w:r>
          </w:p>
        </w:tc>
        <w:tc>
          <w:tcPr>
            <w:vAlign w:val="center"/>
          </w:tcPr>
          <w:p w14:paraId="5B3FFA53">
            <w:pPr>
              <w:jc w:val="center"/>
            </w:pPr>
            <w:r>
              <w:t>83.33</w:t>
            </w:r>
          </w:p>
        </w:tc>
        <w:tc>
          <w:tcPr>
            <w:vAlign w:val="center"/>
          </w:tcPr>
          <w:p w14:paraId="576050C0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8BAF416">
            <w:pPr>
              <w:jc w:val="center"/>
            </w:pPr>
          </w:p>
        </w:tc>
      </w:tr>
      <w:tr w14:paraId="7CC1B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A0D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F79D10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6FB4CA5C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19CCAA40">
            <w:pPr>
              <w:jc w:val="center"/>
            </w:pPr>
            <w:r>
              <w:t>47.22</w:t>
            </w:r>
          </w:p>
        </w:tc>
        <w:tc>
          <w:tcPr>
            <w:vAlign w:val="center"/>
          </w:tcPr>
          <w:p w14:paraId="76ED533E"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 w14:paraId="6E0E058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F8ABBE7">
            <w:pPr>
              <w:jc w:val="center"/>
            </w:pPr>
          </w:p>
        </w:tc>
      </w:tr>
      <w:tr w14:paraId="0F1C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A54D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CABD4B6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2559E098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6B61B42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8BB08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ED4872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CAF06B1">
            <w:pPr>
              <w:jc w:val="center"/>
            </w:pPr>
          </w:p>
        </w:tc>
      </w:tr>
      <w:tr w14:paraId="473B7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637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BB45AC"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 w14:paraId="4D42A5F3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56B849B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23C1B0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2EE17E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7DFBE3B">
            <w:pPr>
              <w:jc w:val="center"/>
            </w:pPr>
          </w:p>
        </w:tc>
      </w:tr>
      <w:tr w14:paraId="0A909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9695D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4E951C13">
            <w:pPr>
              <w:jc w:val="center"/>
            </w:pPr>
            <w:r>
              <w:t>27.1</w:t>
            </w:r>
          </w:p>
        </w:tc>
        <w:tc>
          <w:tcPr>
            <w:vAlign w:val="center"/>
          </w:tcPr>
          <w:p w14:paraId="35896BC5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481F3A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6EE04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1FE736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3C0A45D4">
            <w:pPr>
              <w:jc w:val="center"/>
            </w:pPr>
          </w:p>
        </w:tc>
      </w:tr>
      <w:tr w14:paraId="422B7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3201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AEB3B2C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4320A603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49879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FC9DA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F41D01"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 w14:paraId="0AFE7E5C">
            <w:pPr>
              <w:jc w:val="center"/>
            </w:pPr>
          </w:p>
        </w:tc>
      </w:tr>
      <w:tr w14:paraId="4A8B8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7D93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D713543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5DDFBF46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3BF30D1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D8EAC8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89DB216"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 w14:paraId="79974D03">
            <w:pPr>
              <w:jc w:val="center"/>
            </w:pPr>
          </w:p>
        </w:tc>
      </w:tr>
      <w:tr w14:paraId="7F4F2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149BD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0B548B93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37301B34">
            <w:pPr>
              <w:jc w:val="center"/>
            </w:pPr>
            <w:r>
              <w:t>77</w:t>
            </w:r>
          </w:p>
        </w:tc>
        <w:tc>
          <w:tcPr>
            <w:vAlign w:val="center"/>
          </w:tcPr>
          <w:p w14:paraId="57F0058B">
            <w:pPr>
              <w:jc w:val="center"/>
            </w:pPr>
            <w:r>
              <w:t>148.15</w:t>
            </w:r>
          </w:p>
        </w:tc>
        <w:tc>
          <w:tcPr>
            <w:vAlign w:val="center"/>
          </w:tcPr>
          <w:p w14:paraId="40B2512D">
            <w:pPr>
              <w:jc w:val="center"/>
            </w:pPr>
            <w:r>
              <w:t>81.13</w:t>
            </w:r>
          </w:p>
        </w:tc>
        <w:tc>
          <w:tcPr>
            <w:vAlign w:val="center"/>
          </w:tcPr>
          <w:p w14:paraId="5FBC6166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1FA88B5E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 w14:paraId="44534F6F">
      <w:pPr>
        <w:pStyle w:val="4"/>
      </w:pPr>
      <w:bookmarkStart w:id="32" w:name="_Toc17862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EF28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0508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2581BDC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32003B13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0FA25E4A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1F118D54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59EC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9BAC2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245B596F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29F9E7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1585F85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DF2D014">
            <w:pPr>
              <w:jc w:val="center"/>
            </w:pPr>
            <w:r>
              <w:t>0.19</w:t>
            </w:r>
          </w:p>
        </w:tc>
      </w:tr>
      <w:tr w14:paraId="57B86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785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37CF0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CE340E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566FC6E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1220E899">
            <w:pPr>
              <w:jc w:val="center"/>
            </w:pPr>
            <w:r>
              <w:t>0.15</w:t>
            </w:r>
          </w:p>
        </w:tc>
      </w:tr>
      <w:tr w14:paraId="60FDB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5F4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C7657F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F00B24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3724A8D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3CF1DF79">
            <w:pPr>
              <w:jc w:val="center"/>
            </w:pPr>
            <w:r>
              <w:t>0.12</w:t>
            </w:r>
          </w:p>
        </w:tc>
      </w:tr>
      <w:tr w14:paraId="6E7EB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89BB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B3D54D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130BAC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A149B60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29452E72">
            <w:pPr>
              <w:jc w:val="center"/>
            </w:pPr>
            <w:r>
              <w:t>0.11</w:t>
            </w:r>
          </w:p>
        </w:tc>
      </w:tr>
      <w:tr w14:paraId="719F0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151F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B04290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16B3F5C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67CE1ED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55058118">
            <w:pPr>
              <w:jc w:val="center"/>
            </w:pPr>
            <w:r>
              <w:t>0.11</w:t>
            </w:r>
          </w:p>
        </w:tc>
      </w:tr>
      <w:tr w14:paraId="6E4B3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ABAA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4311F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8AB831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89A65CD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2237E20">
            <w:pPr>
              <w:jc w:val="center"/>
            </w:pPr>
            <w:r>
              <w:t>0.13</w:t>
            </w:r>
          </w:p>
        </w:tc>
      </w:tr>
      <w:tr w14:paraId="2056E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028E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BE7C2DC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F5F5CD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83451F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D9A96FD">
            <w:pPr>
              <w:jc w:val="center"/>
            </w:pPr>
            <w:r>
              <w:t>0.18</w:t>
            </w:r>
          </w:p>
        </w:tc>
      </w:tr>
      <w:tr w14:paraId="31E87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9F25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A67B6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EECA42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7DF59D1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BBE1B54">
            <w:pPr>
              <w:jc w:val="center"/>
            </w:pPr>
            <w:r>
              <w:t>0.26</w:t>
            </w:r>
          </w:p>
        </w:tc>
      </w:tr>
      <w:tr w14:paraId="7A9B3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F9F3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AB4C223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7BBF47B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4D8ADB4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7CFB012">
            <w:pPr>
              <w:jc w:val="center"/>
            </w:pPr>
            <w:r>
              <w:t>0.34</w:t>
            </w:r>
          </w:p>
        </w:tc>
      </w:tr>
      <w:tr w14:paraId="65874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E5C37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52A428C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67949E24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4F4502E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EDDCD96">
            <w:pPr>
              <w:jc w:val="center"/>
            </w:pPr>
            <w:r>
              <w:t>0.42</w:t>
            </w:r>
          </w:p>
        </w:tc>
      </w:tr>
      <w:tr w14:paraId="53830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78AF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ABCF0D0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3588D249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2EFA44F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4C1A99F7">
            <w:pPr>
              <w:jc w:val="center"/>
            </w:pPr>
            <w:r>
              <w:t>0.44</w:t>
            </w:r>
          </w:p>
        </w:tc>
      </w:tr>
      <w:tr w14:paraId="1698A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1D0D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6A7B599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59AC8EF0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2B8178EF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F7F73C7">
            <w:pPr>
              <w:jc w:val="center"/>
            </w:pPr>
            <w:r>
              <w:t>0.43</w:t>
            </w:r>
          </w:p>
        </w:tc>
      </w:tr>
      <w:tr w14:paraId="50E98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5728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184EC5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397C4282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2127496D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7D9F65A">
            <w:pPr>
              <w:jc w:val="center"/>
            </w:pPr>
            <w:r>
              <w:t>0.40</w:t>
            </w:r>
          </w:p>
        </w:tc>
      </w:tr>
      <w:tr w14:paraId="3D338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81A6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BF7ED67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7AAB4956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19AFDE0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B5E0672">
            <w:pPr>
              <w:jc w:val="center"/>
            </w:pPr>
            <w:r>
              <w:t>0.35</w:t>
            </w:r>
          </w:p>
        </w:tc>
      </w:tr>
      <w:tr w14:paraId="64056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1236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94A9030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73B7079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219B72A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B3A18E1">
            <w:pPr>
              <w:jc w:val="center"/>
            </w:pPr>
            <w:r>
              <w:t>0.27</w:t>
            </w:r>
          </w:p>
        </w:tc>
      </w:tr>
      <w:tr w14:paraId="63A53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1BD7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ECFD9D9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2C68D8C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E9A5E8B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63B3D965">
            <w:pPr>
              <w:jc w:val="center"/>
            </w:pPr>
            <w:r>
              <w:t>0.23</w:t>
            </w:r>
          </w:p>
        </w:tc>
      </w:tr>
      <w:tr w14:paraId="1F7B2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C984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EC24278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F5C407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ABEDCF8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59F51AA3">
            <w:pPr>
              <w:jc w:val="center"/>
            </w:pPr>
            <w:r>
              <w:t>0.17</w:t>
            </w:r>
          </w:p>
        </w:tc>
      </w:tr>
      <w:tr w14:paraId="5C6D8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AB92C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F512E92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10B548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DE756C9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7C588DB9">
            <w:pPr>
              <w:jc w:val="center"/>
            </w:pPr>
            <w:r>
              <w:t>0.13</w:t>
            </w:r>
          </w:p>
        </w:tc>
      </w:tr>
      <w:tr w14:paraId="20705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3FA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FF3F2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EF9C88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39A7441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58B891A2">
            <w:pPr>
              <w:jc w:val="center"/>
            </w:pPr>
            <w:r>
              <w:t>0.09</w:t>
            </w:r>
          </w:p>
        </w:tc>
      </w:tr>
      <w:tr w14:paraId="1165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0F35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95EEDBA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14906AA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0912AE7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FCD8F26">
            <w:pPr>
              <w:jc w:val="center"/>
            </w:pPr>
            <w:r>
              <w:t>0.08</w:t>
            </w:r>
          </w:p>
        </w:tc>
      </w:tr>
      <w:tr w14:paraId="587AE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9AB0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499872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39FC053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BBF31DD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6DD408F">
            <w:pPr>
              <w:jc w:val="center"/>
            </w:pPr>
            <w:r>
              <w:t>0.06</w:t>
            </w:r>
          </w:p>
        </w:tc>
      </w:tr>
      <w:tr w14:paraId="43AA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4921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9B9643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65648F5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7ABAE9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517594">
            <w:pPr>
              <w:jc w:val="center"/>
            </w:pPr>
            <w:r>
              <w:t>0.05</w:t>
            </w:r>
          </w:p>
        </w:tc>
      </w:tr>
      <w:tr w14:paraId="27F59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80F0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84DD67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C5B2574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12A1934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2B6873D">
            <w:pPr>
              <w:jc w:val="center"/>
            </w:pPr>
            <w:r>
              <w:t>0.05</w:t>
            </w:r>
          </w:p>
        </w:tc>
      </w:tr>
      <w:tr w14:paraId="618D1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CE3F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18E97D1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47807E76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B56174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5C906A9">
            <w:pPr>
              <w:jc w:val="center"/>
            </w:pPr>
            <w:r>
              <w:t>0.04</w:t>
            </w:r>
          </w:p>
        </w:tc>
      </w:tr>
      <w:tr w14:paraId="3BA74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CF75D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3BA147D1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283017C8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4850D2FC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2B8F2C90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 w14:paraId="6D322CD3">
      <w:pPr>
        <w:pStyle w:val="2"/>
      </w:pPr>
      <w:bookmarkStart w:id="34" w:name="_Toc25656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6B04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C6E7F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F86D10D">
            <w:pPr>
              <w:jc w:val="center"/>
            </w:pPr>
            <w:r>
              <w:t>值</w:t>
            </w:r>
          </w:p>
        </w:tc>
      </w:tr>
      <w:tr w14:paraId="3251C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FE651">
            <w:r>
              <w:t>地块面积(㎡)</w:t>
            </w:r>
          </w:p>
        </w:tc>
        <w:tc>
          <w:tcPr>
            <w:vAlign w:val="center"/>
          </w:tcPr>
          <w:p w14:paraId="72FCDF79">
            <w:r>
              <w:t>8415.88</w:t>
            </w:r>
          </w:p>
        </w:tc>
      </w:tr>
      <w:tr w14:paraId="0D21F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33FDB">
            <w:r>
              <w:t>建筑密度</w:t>
            </w:r>
          </w:p>
        </w:tc>
        <w:tc>
          <w:tcPr>
            <w:vAlign w:val="center"/>
          </w:tcPr>
          <w:p w14:paraId="729CE830">
            <w:r>
              <w:t>0.25</w:t>
            </w:r>
          </w:p>
        </w:tc>
      </w:tr>
      <w:tr w14:paraId="445BE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BCCF2">
            <w:r>
              <w:t>室外面积(㎡)</w:t>
            </w:r>
          </w:p>
        </w:tc>
        <w:tc>
          <w:tcPr>
            <w:vAlign w:val="center"/>
          </w:tcPr>
          <w:p w14:paraId="532B61DA">
            <w:r>
              <w:t>6317.42</w:t>
            </w:r>
          </w:p>
        </w:tc>
      </w:tr>
      <w:tr w14:paraId="64DC1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801A4">
            <w:r>
              <w:t>广场面积(㎡)</w:t>
            </w:r>
          </w:p>
        </w:tc>
        <w:tc>
          <w:tcPr>
            <w:vAlign w:val="center"/>
          </w:tcPr>
          <w:p w14:paraId="027E7330">
            <w:r>
              <w:t>1472.83</w:t>
            </w:r>
          </w:p>
        </w:tc>
      </w:tr>
      <w:tr w14:paraId="1722F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C4D7E">
            <w:r>
              <w:t>游憩场面积(㎡)</w:t>
            </w:r>
          </w:p>
        </w:tc>
        <w:tc>
          <w:tcPr>
            <w:vAlign w:val="center"/>
          </w:tcPr>
          <w:p w14:paraId="3EA22D81">
            <w:r>
              <w:t>3497.90</w:t>
            </w:r>
          </w:p>
        </w:tc>
      </w:tr>
      <w:tr w14:paraId="536A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DEE3C">
            <w:r>
              <w:t>内部车道面积(㎡)</w:t>
            </w:r>
          </w:p>
        </w:tc>
        <w:tc>
          <w:tcPr>
            <w:vAlign w:val="center"/>
          </w:tcPr>
          <w:p w14:paraId="3DB06836">
            <w:r>
              <w:t>2620.86</w:t>
            </w:r>
          </w:p>
        </w:tc>
      </w:tr>
      <w:tr w14:paraId="13D86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4C8B3">
            <w:r>
              <w:t>草地面积(㎡)</w:t>
            </w:r>
          </w:p>
        </w:tc>
        <w:tc>
          <w:tcPr>
            <w:vAlign w:val="center"/>
          </w:tcPr>
          <w:p w14:paraId="5F1FB2F0">
            <w:r>
              <w:t>75288.70</w:t>
            </w:r>
          </w:p>
        </w:tc>
      </w:tr>
      <w:tr w14:paraId="6D6A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102457">
            <w:r>
              <w:t>水面面积(㎡)</w:t>
            </w:r>
          </w:p>
        </w:tc>
        <w:tc>
          <w:tcPr>
            <w:vAlign w:val="center"/>
          </w:tcPr>
          <w:p w14:paraId="4169AB2A">
            <w:r>
              <w:t>0.00</w:t>
            </w:r>
          </w:p>
        </w:tc>
      </w:tr>
      <w:tr w14:paraId="67838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01AC6">
            <w:r>
              <w:t>乔木面积(㎡)</w:t>
            </w:r>
          </w:p>
        </w:tc>
        <w:tc>
          <w:tcPr>
            <w:vAlign w:val="center"/>
          </w:tcPr>
          <w:p w14:paraId="7F5DE3C1">
            <w:r>
              <w:t>2849.42</w:t>
            </w:r>
          </w:p>
        </w:tc>
      </w:tr>
      <w:tr w14:paraId="0A35F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DE6A0">
            <w:r>
              <w:t>亭廊面积(㎡)</w:t>
            </w:r>
          </w:p>
        </w:tc>
        <w:tc>
          <w:tcPr>
            <w:vAlign w:val="center"/>
          </w:tcPr>
          <w:p w14:paraId="2BA18DFC">
            <w:r>
              <w:t>338.47</w:t>
            </w:r>
          </w:p>
        </w:tc>
      </w:tr>
      <w:tr w14:paraId="0E41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47BF8">
            <w:r>
              <w:t>爬藤棚架面积(㎡)</w:t>
            </w:r>
          </w:p>
        </w:tc>
        <w:tc>
          <w:tcPr>
            <w:vAlign w:val="center"/>
          </w:tcPr>
          <w:p w14:paraId="63F72C96">
            <w:r>
              <w:t>26.03</w:t>
            </w:r>
          </w:p>
        </w:tc>
      </w:tr>
      <w:tr w14:paraId="15DF2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E7AF7">
            <w:r>
              <w:t>屋顶绿化面积(㎡)</w:t>
            </w:r>
          </w:p>
        </w:tc>
        <w:tc>
          <w:tcPr>
            <w:vAlign w:val="center"/>
          </w:tcPr>
          <w:p w14:paraId="2BC36C39">
            <w:r>
              <w:t>1070.68</w:t>
            </w:r>
          </w:p>
        </w:tc>
      </w:tr>
      <w:tr w14:paraId="4A214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A9104">
            <w:r>
              <w:t>渗透性硬地面积(㎡)</w:t>
            </w:r>
          </w:p>
        </w:tc>
        <w:tc>
          <w:tcPr>
            <w:vAlign w:val="center"/>
          </w:tcPr>
          <w:p w14:paraId="480CDF7F">
            <w:r>
              <w:t>4970.72</w:t>
            </w:r>
          </w:p>
        </w:tc>
      </w:tr>
      <w:tr w14:paraId="056B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C2FF1">
            <w:r>
              <w:t>绿化遮阳覆盖率(%)</w:t>
            </w:r>
          </w:p>
        </w:tc>
        <w:tc>
          <w:tcPr>
            <w:vAlign w:val="center"/>
          </w:tcPr>
          <w:p w14:paraId="79D3727F">
            <w:r>
              <w:t>45.52</w:t>
            </w:r>
          </w:p>
        </w:tc>
      </w:tr>
      <w:tr w14:paraId="06A0F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8081A">
            <w:r>
              <w:t>构筑物遮阳覆盖率(%)</w:t>
            </w:r>
          </w:p>
        </w:tc>
        <w:tc>
          <w:tcPr>
            <w:vAlign w:val="center"/>
          </w:tcPr>
          <w:p w14:paraId="0D7D127C">
            <w:r>
              <w:t>5.36</w:t>
            </w:r>
          </w:p>
        </w:tc>
      </w:tr>
    </w:tbl>
    <w:p w14:paraId="38EE843A">
      <w:pPr>
        <w:pStyle w:val="3"/>
        <w:ind w:firstLine="420"/>
        <w:rPr>
          <w:lang w:val="en-US"/>
        </w:rPr>
      </w:pPr>
      <w:bookmarkStart w:id="35" w:name="住区指标概览"/>
      <w:bookmarkEnd w:id="35"/>
    </w:p>
    <w:p w14:paraId="31537C5D">
      <w:pPr>
        <w:pStyle w:val="2"/>
      </w:pPr>
      <w:bookmarkStart w:id="36" w:name="_Toc25029"/>
      <w:r>
        <w:rPr>
          <w:rFonts w:hint="eastAsia"/>
        </w:rPr>
        <w:t>强制性</w:t>
      </w:r>
      <w:r>
        <w:t>设计指标</w:t>
      </w:r>
      <w:bookmarkEnd w:id="36"/>
    </w:p>
    <w:p w14:paraId="6AD6C6B6">
      <w:pPr>
        <w:pStyle w:val="4"/>
      </w:pPr>
      <w:bookmarkStart w:id="37" w:name="_Toc2207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5C1A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0598DF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89CA638"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7F714FF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0DAAB38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6468806D">
            <w:pPr>
              <w:jc w:val="center"/>
            </w:pPr>
            <w:r>
              <w:t>迎风面积比</w:t>
            </w:r>
          </w:p>
        </w:tc>
      </w:tr>
      <w:tr w14:paraId="6AD15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72FE66">
            <w:r>
              <w:t>平均迎风面积比</w:t>
            </w:r>
          </w:p>
        </w:tc>
        <w:tc>
          <w:tcPr>
            <w:gridSpan w:val="4"/>
            <w:vAlign w:val="center"/>
          </w:tcPr>
          <w:p w14:paraId="720F0F9A">
            <w:r>
              <w:rPr>
                <w:b/>
              </w:rPr>
              <w:t>0</w:t>
            </w:r>
          </w:p>
        </w:tc>
      </w:tr>
      <w:tr w14:paraId="1FCE6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CACF65">
            <w:r>
              <w:t>依据</w:t>
            </w:r>
          </w:p>
        </w:tc>
        <w:tc>
          <w:tcPr>
            <w:gridSpan w:val="4"/>
            <w:vAlign w:val="center"/>
          </w:tcPr>
          <w:p w14:paraId="0C791D2E">
            <w:r>
              <w:rPr>
                <w:b/>
              </w:rPr>
              <w:t>《城市居住区热环境设计标准》4.1.1条</w:t>
            </w:r>
          </w:p>
        </w:tc>
      </w:tr>
      <w:tr w14:paraId="56845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5E217">
            <w:r>
              <w:t>标准要求</w:t>
            </w:r>
          </w:p>
        </w:tc>
        <w:tc>
          <w:tcPr>
            <w:gridSpan w:val="4"/>
            <w:vAlign w:val="center"/>
          </w:tcPr>
          <w:p w14:paraId="15B42199">
            <w:r>
              <w:rPr>
                <w:b/>
              </w:rPr>
              <w:t>平均迎风面积比≤0.70</w:t>
            </w:r>
          </w:p>
        </w:tc>
      </w:tr>
      <w:tr w14:paraId="5B93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16259">
            <w:r>
              <w:t>结论</w:t>
            </w:r>
          </w:p>
        </w:tc>
        <w:tc>
          <w:tcPr>
            <w:gridSpan w:val="4"/>
            <w:vAlign w:val="center"/>
          </w:tcPr>
          <w:p w14:paraId="47D2B1B2">
            <w:r>
              <w:rPr>
                <w:b/>
              </w:rPr>
              <w:t>满足</w:t>
            </w:r>
          </w:p>
        </w:tc>
      </w:tr>
    </w:tbl>
    <w:p w14:paraId="4C922688"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 w14:paraId="1DDD1756">
      <w:pPr>
        <w:pStyle w:val="4"/>
      </w:pPr>
      <w:bookmarkStart w:id="39" w:name="_Toc30461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393C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EB776"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 w14:paraId="235B0095"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40A18A2C"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34FAF05"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19CEEB5B">
            <w:pPr>
              <w:jc w:val="center"/>
            </w:pPr>
            <w:r>
              <w:t>覆盖率限值(%)</w:t>
            </w:r>
          </w:p>
        </w:tc>
      </w:tr>
      <w:tr w14:paraId="0FA7A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F16CE4">
            <w:r>
              <w:t>广场</w:t>
            </w:r>
          </w:p>
        </w:tc>
        <w:tc>
          <w:tcPr>
            <w:vAlign w:val="center"/>
          </w:tcPr>
          <w:p w14:paraId="770FB121">
            <w:r>
              <w:t>458.9</w:t>
            </w:r>
          </w:p>
        </w:tc>
        <w:tc>
          <w:tcPr>
            <w:vAlign w:val="center"/>
          </w:tcPr>
          <w:p w14:paraId="32B2C385">
            <w:r>
              <w:t>1472.8</w:t>
            </w:r>
          </w:p>
        </w:tc>
        <w:tc>
          <w:tcPr>
            <w:vAlign w:val="center"/>
          </w:tcPr>
          <w:p w14:paraId="648185D4">
            <w:r>
              <w:t>31</w:t>
            </w:r>
          </w:p>
        </w:tc>
        <w:tc>
          <w:tcPr>
            <w:vAlign w:val="center"/>
          </w:tcPr>
          <w:p w14:paraId="4D8E69E8">
            <w:r>
              <w:t>25</w:t>
            </w:r>
          </w:p>
        </w:tc>
      </w:tr>
      <w:tr w14:paraId="46F49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24F7B">
            <w:r>
              <w:t>游憩场</w:t>
            </w:r>
          </w:p>
        </w:tc>
        <w:tc>
          <w:tcPr>
            <w:vAlign w:val="center"/>
          </w:tcPr>
          <w:p w14:paraId="437DC728">
            <w:r>
              <w:t>1109.5</w:t>
            </w:r>
          </w:p>
        </w:tc>
        <w:tc>
          <w:tcPr>
            <w:vAlign w:val="center"/>
          </w:tcPr>
          <w:p w14:paraId="31DB59CF">
            <w:r>
              <w:t>3497.9</w:t>
            </w:r>
          </w:p>
        </w:tc>
        <w:tc>
          <w:tcPr>
            <w:vAlign w:val="center"/>
          </w:tcPr>
          <w:p w14:paraId="3BCE90F6">
            <w:r>
              <w:t>32</w:t>
            </w:r>
          </w:p>
        </w:tc>
        <w:tc>
          <w:tcPr>
            <w:vAlign w:val="center"/>
          </w:tcPr>
          <w:p w14:paraId="01D6BAC3">
            <w:r>
              <w:t>30</w:t>
            </w:r>
          </w:p>
        </w:tc>
      </w:tr>
      <w:tr w14:paraId="0CF33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A6304">
            <w:r>
              <w:t>依据</w:t>
            </w:r>
          </w:p>
        </w:tc>
        <w:tc>
          <w:tcPr>
            <w:gridSpan w:val="4"/>
            <w:vAlign w:val="center"/>
          </w:tcPr>
          <w:p w14:paraId="480CAF8B">
            <w:r>
              <w:rPr>
                <w:b/>
              </w:rPr>
              <w:t>《城市居住区热环境设计标准》4.2.1条</w:t>
            </w:r>
          </w:p>
        </w:tc>
      </w:tr>
      <w:tr w14:paraId="7C24F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C55D5">
            <w:r>
              <w:t>标准要求</w:t>
            </w:r>
          </w:p>
        </w:tc>
        <w:tc>
          <w:tcPr>
            <w:gridSpan w:val="4"/>
            <w:vAlign w:val="center"/>
          </w:tcPr>
          <w:p w14:paraId="12B19CFD">
            <w:r>
              <w:rPr>
                <w:b/>
              </w:rPr>
              <w:t>各类活动场地遮阳覆盖率不得低于标准要求限值</w:t>
            </w:r>
          </w:p>
        </w:tc>
      </w:tr>
      <w:tr w14:paraId="6B2EF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B1A16">
            <w:r>
              <w:t>结论</w:t>
            </w:r>
          </w:p>
        </w:tc>
        <w:tc>
          <w:tcPr>
            <w:gridSpan w:val="4"/>
            <w:vAlign w:val="center"/>
          </w:tcPr>
          <w:p w14:paraId="4C098CA8">
            <w:r>
              <w:rPr>
                <w:b/>
              </w:rPr>
              <w:t>满足</w:t>
            </w:r>
          </w:p>
        </w:tc>
      </w:tr>
    </w:tbl>
    <w:p w14:paraId="45D4EF3F"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 w14:paraId="14EB15C9">
      <w:pPr>
        <w:pStyle w:val="2"/>
      </w:pPr>
      <w:bookmarkStart w:id="41" w:name="_Toc32464"/>
      <w:r>
        <w:rPr>
          <w:rFonts w:hint="eastAsia"/>
        </w:rPr>
        <w:t>规定性设计指标</w:t>
      </w:r>
      <w:bookmarkEnd w:id="41"/>
    </w:p>
    <w:p w14:paraId="19AF87F4">
      <w:pPr>
        <w:pStyle w:val="4"/>
      </w:pPr>
      <w:bookmarkStart w:id="42" w:name="_Toc15228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9C43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6F936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B72F8FB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1DE76AAD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0FDB1C7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7FA137B7">
            <w:pPr>
              <w:jc w:val="center"/>
            </w:pPr>
            <w:r>
              <w:t>底层通风架空率(%)</w:t>
            </w:r>
          </w:p>
        </w:tc>
      </w:tr>
      <w:tr w14:paraId="5B6A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70C07">
            <w:r>
              <w:t>未命名</w:t>
            </w:r>
          </w:p>
        </w:tc>
        <w:tc>
          <w:tcPr>
            <w:vAlign w:val="center"/>
          </w:tcPr>
          <w:p w14:paraId="5E752EA0">
            <w:r>
              <w:t>0.0</w:t>
            </w:r>
          </w:p>
        </w:tc>
        <w:tc>
          <w:tcPr>
            <w:vAlign w:val="center"/>
          </w:tcPr>
          <w:p w14:paraId="700020D8">
            <w:r>
              <w:t>2098.5</w:t>
            </w:r>
          </w:p>
        </w:tc>
        <w:tc>
          <w:tcPr>
            <w:vAlign w:val="center"/>
          </w:tcPr>
          <w:p w14:paraId="6DA21B84">
            <w:r>
              <w:t>0.0</w:t>
            </w:r>
          </w:p>
        </w:tc>
        <w:tc>
          <w:tcPr>
            <w:vAlign w:val="center"/>
          </w:tcPr>
          <w:p w14:paraId="7885E333">
            <w:r>
              <w:t>0</w:t>
            </w:r>
          </w:p>
        </w:tc>
      </w:tr>
      <w:tr w14:paraId="06FF8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65D64">
            <w:r>
              <w:t>依据</w:t>
            </w:r>
          </w:p>
        </w:tc>
        <w:tc>
          <w:tcPr>
            <w:gridSpan w:val="4"/>
            <w:vAlign w:val="center"/>
          </w:tcPr>
          <w:p w14:paraId="2E239B09">
            <w:r>
              <w:t>《城市居住区热环境设计标准》4.1.4条</w:t>
            </w:r>
          </w:p>
        </w:tc>
      </w:tr>
      <w:tr w14:paraId="0B27D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CB6E2">
            <w:r>
              <w:t>标准要求</w:t>
            </w:r>
          </w:p>
        </w:tc>
        <w:tc>
          <w:tcPr>
            <w:gridSpan w:val="4"/>
            <w:vAlign w:val="center"/>
          </w:tcPr>
          <w:p w14:paraId="740922B3">
            <w:r>
              <w:t>III、IV、V气候区，夏季主导风向迎风面积宽度超过80m时，底层通风架空率不应小于10%</w:t>
            </w:r>
          </w:p>
        </w:tc>
      </w:tr>
      <w:tr w14:paraId="00D51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C8C04">
            <w:r>
              <w:t>结论</w:t>
            </w:r>
          </w:p>
        </w:tc>
        <w:tc>
          <w:tcPr>
            <w:gridSpan w:val="4"/>
            <w:vAlign w:val="center"/>
          </w:tcPr>
          <w:p w14:paraId="0F35653B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 w14:paraId="48B2EABD">
      <w:pPr>
        <w:pStyle w:val="4"/>
      </w:pPr>
      <w:bookmarkStart w:id="44" w:name="_Toc25146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E12B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6E17A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9219E49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3C8A95C8">
            <w:pPr>
              <w:jc w:val="center"/>
            </w:pPr>
            <w:r>
              <w:t>面积(㎡)</w:t>
            </w:r>
          </w:p>
        </w:tc>
      </w:tr>
      <w:tr w14:paraId="5DE7E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E803C7">
            <w:r>
              <w:t>乔木</w:t>
            </w:r>
          </w:p>
        </w:tc>
        <w:tc>
          <w:tcPr>
            <w:vAlign w:val="center"/>
          </w:tcPr>
          <w:p w14:paraId="738EF866">
            <w:r>
              <w:t>LAI &gt;= 3</w:t>
            </w:r>
          </w:p>
        </w:tc>
        <w:tc>
          <w:tcPr>
            <w:vAlign w:val="center"/>
          </w:tcPr>
          <w:p w14:paraId="1B2D5825">
            <w:r>
              <w:t>2849</w:t>
            </w:r>
          </w:p>
        </w:tc>
      </w:tr>
      <w:tr w14:paraId="79183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E51690"/>
        </w:tc>
        <w:tc>
          <w:tcPr>
            <w:vAlign w:val="center"/>
          </w:tcPr>
          <w:p w14:paraId="6DBCAF4C">
            <w:r>
              <w:t>LAI &lt; 3</w:t>
            </w:r>
          </w:p>
        </w:tc>
        <w:tc>
          <w:tcPr>
            <w:vAlign w:val="center"/>
          </w:tcPr>
          <w:p w14:paraId="2F165F95">
            <w:r>
              <w:t>0</w:t>
            </w:r>
          </w:p>
        </w:tc>
      </w:tr>
      <w:tr w14:paraId="577BD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3E0673">
            <w:r>
              <w:t>爬藤棚架</w:t>
            </w:r>
          </w:p>
        </w:tc>
        <w:tc>
          <w:tcPr>
            <w:vAlign w:val="center"/>
          </w:tcPr>
          <w:p w14:paraId="326D61CB">
            <w:r>
              <w:t>LAI &gt;= 3</w:t>
            </w:r>
          </w:p>
        </w:tc>
        <w:tc>
          <w:tcPr>
            <w:vAlign w:val="center"/>
          </w:tcPr>
          <w:p w14:paraId="4C8C30DB">
            <w:r>
              <w:t>26</w:t>
            </w:r>
          </w:p>
        </w:tc>
      </w:tr>
      <w:tr w14:paraId="30B43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3CA48F"/>
        </w:tc>
        <w:tc>
          <w:tcPr>
            <w:vAlign w:val="center"/>
          </w:tcPr>
          <w:p w14:paraId="0387C060">
            <w:r>
              <w:t>LAI &lt; 3</w:t>
            </w:r>
          </w:p>
        </w:tc>
        <w:tc>
          <w:tcPr>
            <w:vAlign w:val="center"/>
          </w:tcPr>
          <w:p w14:paraId="6EE31BD3">
            <w:r>
              <w:t>0</w:t>
            </w:r>
          </w:p>
        </w:tc>
      </w:tr>
      <w:tr w14:paraId="74649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5263E">
            <w:r>
              <w:t>依据</w:t>
            </w:r>
          </w:p>
        </w:tc>
        <w:tc>
          <w:tcPr>
            <w:gridSpan w:val="2"/>
            <w:vAlign w:val="center"/>
          </w:tcPr>
          <w:p w14:paraId="3AF2FDA0">
            <w:r>
              <w:t>《城市居住区热环境设计标准》4.2.3条</w:t>
            </w:r>
          </w:p>
        </w:tc>
      </w:tr>
      <w:tr w14:paraId="6DA53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EECB5">
            <w:r>
              <w:t>标准要求</w:t>
            </w:r>
          </w:p>
        </w:tc>
        <w:tc>
          <w:tcPr>
            <w:gridSpan w:val="2"/>
            <w:vAlign w:val="center"/>
          </w:tcPr>
          <w:p w14:paraId="5BAD78AD">
            <w:r>
              <w:t>绿化遮阳体叶面积指数不应小于3.0</w:t>
            </w:r>
          </w:p>
        </w:tc>
      </w:tr>
      <w:tr w14:paraId="3A61F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8A10B">
            <w:r>
              <w:t>结论</w:t>
            </w:r>
          </w:p>
        </w:tc>
        <w:tc>
          <w:tcPr>
            <w:gridSpan w:val="2"/>
            <w:vAlign w:val="center"/>
          </w:tcPr>
          <w:p w14:paraId="3A8532C2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 w14:paraId="58F51DDB">
      <w:pPr>
        <w:pStyle w:val="4"/>
      </w:pPr>
      <w:bookmarkStart w:id="46" w:name="_Toc3114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E320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B9AB4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74A8BF6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6BB4A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1FB215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6E571937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1CE83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90BEE">
            <w:r>
              <w:t>广场</w:t>
            </w:r>
          </w:p>
        </w:tc>
        <w:tc>
          <w:tcPr>
            <w:vAlign w:val="center"/>
          </w:tcPr>
          <w:p w14:paraId="6D54BC5B">
            <w:r>
              <w:t>1473</w:t>
            </w:r>
          </w:p>
        </w:tc>
        <w:tc>
          <w:tcPr>
            <w:vAlign w:val="center"/>
          </w:tcPr>
          <w:p w14:paraId="39A35BBE">
            <w:r>
              <w:t>0.296</w:t>
            </w:r>
          </w:p>
        </w:tc>
        <w:tc>
          <w:tcPr>
            <w:vAlign w:val="center"/>
          </w:tcPr>
          <w:p w14:paraId="5A83FD70">
            <w:r>
              <w:t>20.00</w:t>
            </w:r>
          </w:p>
        </w:tc>
        <w:tc>
          <w:tcPr>
            <w:vAlign w:val="center"/>
          </w:tcPr>
          <w:p w14:paraId="03F20F11">
            <w:r>
              <w:t>1.32</w:t>
            </w:r>
          </w:p>
        </w:tc>
      </w:tr>
      <w:tr w14:paraId="31411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425C5">
            <w:r>
              <w:t>游憩场</w:t>
            </w:r>
          </w:p>
        </w:tc>
        <w:tc>
          <w:tcPr>
            <w:vAlign w:val="center"/>
          </w:tcPr>
          <w:p w14:paraId="5682C849">
            <w:r>
              <w:t>3498</w:t>
            </w:r>
          </w:p>
        </w:tc>
        <w:tc>
          <w:tcPr>
            <w:vAlign w:val="center"/>
          </w:tcPr>
          <w:p w14:paraId="39566A00">
            <w:r>
              <w:t>0.704</w:t>
            </w:r>
          </w:p>
        </w:tc>
        <w:tc>
          <w:tcPr>
            <w:vAlign w:val="center"/>
          </w:tcPr>
          <w:p w14:paraId="2CF7D6F3">
            <w:r>
              <w:t>20.00</w:t>
            </w:r>
          </w:p>
        </w:tc>
        <w:tc>
          <w:tcPr>
            <w:vAlign w:val="center"/>
          </w:tcPr>
          <w:p w14:paraId="658CBD3B">
            <w:r>
              <w:t>1.32</w:t>
            </w:r>
          </w:p>
        </w:tc>
      </w:tr>
      <w:tr w14:paraId="400E6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4CFB3">
            <w:r>
              <w:t>合计</w:t>
            </w:r>
          </w:p>
        </w:tc>
        <w:tc>
          <w:tcPr>
            <w:vAlign w:val="center"/>
          </w:tcPr>
          <w:p w14:paraId="2416C8EF">
            <w:r>
              <w:t>4971</w:t>
            </w:r>
          </w:p>
        </w:tc>
        <w:tc>
          <w:tcPr>
            <w:vAlign w:val="center"/>
          </w:tcPr>
          <w:p w14:paraId="56D16406">
            <w:r>
              <w:t>1.0</w:t>
            </w:r>
          </w:p>
        </w:tc>
        <w:tc>
          <w:tcPr>
            <w:vAlign w:val="center"/>
          </w:tcPr>
          <w:p w14:paraId="1B4C5240">
            <w:r>
              <w:t>20.00</w:t>
            </w:r>
          </w:p>
        </w:tc>
        <w:tc>
          <w:tcPr>
            <w:vAlign w:val="center"/>
          </w:tcPr>
          <w:p w14:paraId="37F93EF9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1640A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43007B2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5C5AC107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6EF63E6B">
            <w:pPr>
              <w:jc w:val="center"/>
            </w:pPr>
            <w:r>
              <w:t>限值(%)</w:t>
            </w:r>
          </w:p>
        </w:tc>
      </w:tr>
      <w:tr w14:paraId="4FEA8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30AE68D">
            <w:r>
              <w:t>广场</w:t>
            </w:r>
          </w:p>
        </w:tc>
        <w:tc>
          <w:tcPr>
            <w:vAlign w:val="center"/>
          </w:tcPr>
          <w:p w14:paraId="362087EB">
            <w:r>
              <w:t>100</w:t>
            </w:r>
          </w:p>
        </w:tc>
        <w:tc>
          <w:tcPr>
            <w:vAlign w:val="center"/>
          </w:tcPr>
          <w:p w14:paraId="6F01255D">
            <w:r>
              <w:t>50</w:t>
            </w:r>
          </w:p>
        </w:tc>
      </w:tr>
      <w:tr w14:paraId="1BF7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79BD65D">
            <w:r>
              <w:t>游憩场</w:t>
            </w:r>
          </w:p>
        </w:tc>
        <w:tc>
          <w:tcPr>
            <w:vAlign w:val="center"/>
          </w:tcPr>
          <w:p w14:paraId="7AC8C7CC">
            <w:r>
              <w:t>100</w:t>
            </w:r>
          </w:p>
        </w:tc>
        <w:tc>
          <w:tcPr>
            <w:vAlign w:val="center"/>
          </w:tcPr>
          <w:p w14:paraId="25BD7B2F">
            <w:r>
              <w:t>60</w:t>
            </w:r>
          </w:p>
        </w:tc>
      </w:tr>
      <w:tr w14:paraId="322C7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1A72C3F4">
            <w:pPr>
              <w:jc w:val="center"/>
            </w:pPr>
            <w:r>
              <w:t>渗透与蒸发指标</w:t>
            </w:r>
          </w:p>
        </w:tc>
      </w:tr>
      <w:tr w14:paraId="52E4E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2B3325B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F6AF426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3A2FB1B4">
            <w:pPr>
              <w:jc w:val="center"/>
            </w:pPr>
            <w:r>
              <w:t>限值</w:t>
            </w:r>
          </w:p>
        </w:tc>
      </w:tr>
      <w:tr w14:paraId="76640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1166EAC">
            <w:r>
              <w:t>地面透水系数k(mm/s)</w:t>
            </w:r>
          </w:p>
        </w:tc>
        <w:tc>
          <w:tcPr>
            <w:vAlign w:val="center"/>
          </w:tcPr>
          <w:p w14:paraId="71E13AB8">
            <w:r>
              <w:t>20.00</w:t>
            </w:r>
          </w:p>
        </w:tc>
        <w:tc>
          <w:tcPr>
            <w:vAlign w:val="center"/>
          </w:tcPr>
          <w:p w14:paraId="28E26212">
            <w:r>
              <w:t>3</w:t>
            </w:r>
          </w:p>
        </w:tc>
      </w:tr>
      <w:tr w14:paraId="18041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C908D82">
            <w:r>
              <w:t>蒸发量m(kg/(㎡·d))</w:t>
            </w:r>
          </w:p>
        </w:tc>
        <w:tc>
          <w:tcPr>
            <w:vAlign w:val="center"/>
          </w:tcPr>
          <w:p w14:paraId="0B9ABF50">
            <w:r>
              <w:t>1.32</w:t>
            </w:r>
          </w:p>
        </w:tc>
        <w:tc>
          <w:tcPr>
            <w:vAlign w:val="center"/>
          </w:tcPr>
          <w:p w14:paraId="2823F459">
            <w:r>
              <w:t>1.3</w:t>
            </w:r>
          </w:p>
        </w:tc>
      </w:tr>
      <w:tr w14:paraId="5E557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79F2E09">
            <w:r>
              <w:t>依据</w:t>
            </w:r>
          </w:p>
        </w:tc>
        <w:tc>
          <w:tcPr>
            <w:gridSpan w:val="2"/>
            <w:vAlign w:val="center"/>
          </w:tcPr>
          <w:p w14:paraId="4D29D0E9">
            <w:r>
              <w:t>《城市居住区热环境设计标准》4.3.1条</w:t>
            </w:r>
          </w:p>
        </w:tc>
      </w:tr>
      <w:tr w14:paraId="55CFC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88DFFA3">
            <w:r>
              <w:t>标准要求</w:t>
            </w:r>
          </w:p>
        </w:tc>
        <w:tc>
          <w:tcPr>
            <w:gridSpan w:val="2"/>
            <w:vAlign w:val="center"/>
          </w:tcPr>
          <w:p w14:paraId="176A4057">
            <w:r>
              <w:t>渗透面积比率、透水系数及蒸发量不应低于标准规定限值</w:t>
            </w:r>
          </w:p>
        </w:tc>
      </w:tr>
      <w:tr w14:paraId="0241C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9E7388E">
            <w:r>
              <w:t>结论</w:t>
            </w:r>
          </w:p>
        </w:tc>
        <w:tc>
          <w:tcPr>
            <w:gridSpan w:val="2"/>
            <w:vAlign w:val="center"/>
          </w:tcPr>
          <w:p w14:paraId="4A88064F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8" w:name="_Toc22160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823D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2A520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C8697FB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6D05769B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2C47ACC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9A8918">
            <w:pPr>
              <w:jc w:val="center"/>
            </w:pPr>
            <w:r>
              <w:t>屋面绿化率(%)</w:t>
            </w:r>
          </w:p>
        </w:tc>
      </w:tr>
      <w:tr w14:paraId="43FA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461C5">
            <w:r>
              <w:t>未命名</w:t>
            </w:r>
          </w:p>
        </w:tc>
        <w:tc>
          <w:tcPr>
            <w:vAlign w:val="center"/>
          </w:tcPr>
          <w:p w14:paraId="47311CE1">
            <w:r>
              <w:t>2098.5</w:t>
            </w:r>
          </w:p>
        </w:tc>
        <w:tc>
          <w:tcPr>
            <w:vAlign w:val="center"/>
          </w:tcPr>
          <w:p w14:paraId="795EF19A">
            <w:r>
              <w:t>1070.7</w:t>
            </w:r>
          </w:p>
        </w:tc>
        <w:tc>
          <w:tcPr>
            <w:vAlign w:val="center"/>
          </w:tcPr>
          <w:p w14:paraId="70E3C17E">
            <w:r>
              <w:t>2098.5</w:t>
            </w:r>
          </w:p>
        </w:tc>
        <w:tc>
          <w:tcPr>
            <w:vAlign w:val="center"/>
          </w:tcPr>
          <w:p w14:paraId="2A400FCC">
            <w:r>
              <w:t>51</w:t>
            </w:r>
          </w:p>
        </w:tc>
      </w:tr>
      <w:tr w14:paraId="178A0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F7DB6">
            <w:r>
              <w:t>合计</w:t>
            </w:r>
          </w:p>
        </w:tc>
        <w:tc>
          <w:tcPr>
            <w:vAlign w:val="center"/>
          </w:tcPr>
          <w:p w14:paraId="41E8DDA1">
            <w:r>
              <w:t>2098.5</w:t>
            </w:r>
          </w:p>
        </w:tc>
        <w:tc>
          <w:tcPr>
            <w:vAlign w:val="center"/>
          </w:tcPr>
          <w:p w14:paraId="00CACFDE">
            <w:r>
              <w:t>1070.7</w:t>
            </w:r>
          </w:p>
        </w:tc>
        <w:tc>
          <w:tcPr>
            <w:vAlign w:val="center"/>
          </w:tcPr>
          <w:p w14:paraId="69C5D732">
            <w:r>
              <w:t>2098.5</w:t>
            </w:r>
          </w:p>
        </w:tc>
        <w:tc>
          <w:tcPr>
            <w:vAlign w:val="center"/>
          </w:tcPr>
          <w:p w14:paraId="2BCBDFD2">
            <w:r>
              <w:t>51</w:t>
            </w:r>
          </w:p>
        </w:tc>
      </w:tr>
      <w:tr w14:paraId="52D55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42DC1B">
            <w:r>
              <w:t>依据</w:t>
            </w:r>
          </w:p>
        </w:tc>
        <w:tc>
          <w:tcPr>
            <w:gridSpan w:val="4"/>
            <w:vAlign w:val="center"/>
          </w:tcPr>
          <w:p w14:paraId="2138C81C">
            <w:r>
              <w:t>《城市居住区热环境设计标准》4.4.2条</w:t>
            </w:r>
          </w:p>
        </w:tc>
      </w:tr>
      <w:tr w14:paraId="6EBA6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2B8F4">
            <w:r>
              <w:t>标准要求</w:t>
            </w:r>
          </w:p>
        </w:tc>
        <w:tc>
          <w:tcPr>
            <w:gridSpan w:val="4"/>
            <w:vAlign w:val="center"/>
          </w:tcPr>
          <w:p w14:paraId="1A0A96BE">
            <w:r>
              <w:t>建筑屋面的绿化面积不应低于可绿化屋面面积的50%</w:t>
            </w:r>
          </w:p>
        </w:tc>
      </w:tr>
      <w:tr w14:paraId="7D56E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2255C">
            <w:r>
              <w:t>结论</w:t>
            </w:r>
          </w:p>
        </w:tc>
        <w:tc>
          <w:tcPr>
            <w:gridSpan w:val="4"/>
            <w:vAlign w:val="center"/>
          </w:tcPr>
          <w:p w14:paraId="63E3E6E9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9" w:name="屋面绿化率"/>
      <w:bookmarkEnd w:id="49"/>
    </w:p>
    <w:p w14:paraId="75A0AFC8">
      <w:pPr>
        <w:pStyle w:val="2"/>
      </w:pPr>
      <w:bookmarkStart w:id="50" w:name="_Toc30382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4B99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D3C32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8F30EF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F927C2A"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1B22DF4">
            <w:r>
              <w:rPr>
                <w:b/>
              </w:rPr>
              <w:t>强制条文，必须满足</w:t>
            </w:r>
          </w:p>
        </w:tc>
      </w:tr>
      <w:tr w14:paraId="7AB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162F18"/>
        </w:tc>
        <w:tc>
          <w:tcPr>
            <w:tcW w:w="2800" w:type="dxa"/>
            <w:vAlign w:val="center"/>
          </w:tcPr>
          <w:p w14:paraId="4E199092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5CC1D9C"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4298CB14"/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</w:rPr>
              <w:t>满足</w:t>
            </w:r>
            <w:bookmarkEnd w:id="58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400BF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57E4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Pages>9</Pages>
  <Words>2172</Words>
  <Characters>3382</Characters>
  <Lines>20</Lines>
  <Paragraphs>5</Paragraphs>
  <TotalTime>0</TotalTime>
  <ScaleCrop>false</ScaleCrop>
  <LinksUpToDate>false</LinksUpToDate>
  <CharactersWithSpaces>4858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2026-01-02T04:53:00Z</dcterms:created>
  <dc:creator>隔壁小王</dc:creator>
  <cp:lastModifiedBy>隔壁小王</cp:lastModifiedBy>
  <dcterms:modified xsi:type="dcterms:W3CDTF">2026-01-02T04:53:30Z</dcterms:modified>
  <dc:title>住区热环境规定性设计计算书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72768A4B533145F3B6EB029B6C3BC1A8_11</vt:lpwstr>
  </property>
  <property fmtid="{D5CDD505-2E9C-101B-9397-08002B2CF9AE}" pid="3" name="KSOTemplateDocerSaveRecord">
    <vt:lpwstr>eyJoZGlkIjoiY2U3YTk3MzMzNzRkNDRkZTljYjZmOGNkNTI0YzExOGMiLCJ1c2VySWQiOiI2ODE3MDAzNzQifQ==</vt:lpwstr>
  </property>
  <property fmtid="{D5CDD505-2E9C-101B-9397-08002B2CF9AE}" pid="4" name="KSOProductBuildVer">
    <vt:lpwstr>2052-12.1.0.23542</vt:lpwstr>
  </property>
</Properties>
</file>