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D76F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霍邱冯井镇蝎子山片区正推进矿山文旅特色小镇建设，游客中心作为片区文旅核心枢纽，承担商业服务、文化展示、旅游集散等核心功能。当前游客中心未融入可再生能源利用体系，能源消耗依赖传统电网，与片区“生态为本、智慧为核”的建设理念存在差距。为响应绿色建筑发展要求，本次改造聚焦可再生能源建筑一体化（BIPV）技术应用，将建筑围护结构与光伏、光热等可再生能源系统深度融合，实现能源自给率提升与碳减排目标。</w:t>
      </w:r>
    </w:p>
    <w:p w14:paraId="033114D7">
      <w:pPr>
        <w:pStyle w:val="2"/>
        <w:ind w:left="0" w:leftChars="0" w:firstLine="480" w:firstLineChars="200"/>
        <w:rPr>
          <w:lang w:val="en-US" w:eastAsia="zh-CN"/>
        </w:rPr>
      </w:pPr>
      <w:r>
        <w:rPr>
          <w:lang w:val="en-US" w:eastAsia="zh-CN"/>
        </w:rPr>
        <w:t>能源目标：构建“光伏发电+光热供能+智能调控”一体化能源系统，可再生能源替代率≥35%，年碳减排量≥120吨CO₂。技术目标：采用成熟BIPV产品与技术，实现发电功能与建筑美学、围护功能（保温、隔热、防水）的统一，契合“青砖黛瓦+矿山元素”的地域建筑风格。经济目标：系统投资回收期控制在8年以内，全生命周期（25年）实现节能收益超400万元。</w:t>
      </w:r>
    </w:p>
    <w:p w14:paraId="6E583C2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立面光伏幕墙组件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：选用成都中建材光电材料有限公司20%透光碲化镉薄膜光伏玻璃（型号：CIGS-200W/㎡），适配建筑立面采光与矿山风格融合需求，具体参数如下：结构形式：TP10+1.52PVB+3.2CdTe+1.52PVB+TP10双夹胶钢化结构</w:t>
      </w:r>
    </w:p>
    <w:p w14:paraId="6A4C923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光电转化效率：≥18%（标准测试条件：AM1.5，1000W/㎡，25℃）。弱光发电性能：阴天/雾霾环境下发电效率保持80%以上，优于传统晶硅组件单块尺寸：1200mm×2400mm，单块功率：240W。围护性能：传热系数≤1.6W/(㎡·K)，太阳能得热系数≤0.235，满足建筑节能一级标准。耐久性：使用寿命≥25年，抗风压性能≥2.5kPa，防火等级A级。</w:t>
      </w:r>
    </w:p>
    <w:p w14:paraId="4A97ACB8">
      <w:pPr>
        <w:pStyle w:val="2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伏逆变器：选用华为SUN2000-50KTL-M0组串式逆变器，适配分布式光伏系统，参数如下：最大转换效率：≥98.6%，欧洲效率：≥98.2%输入电压范围：200V-1000V，支持宽电压适配智能功能：具备MPPT最大功率跟踪、防孤岛保护、远程监控功能。</w:t>
      </w:r>
    </w:p>
    <w:p w14:paraId="253B4BC7">
      <w:pPr>
        <w:pStyle w:val="2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热系统产品选型：选用平板式太阳能集热器（型号：皇明HM-2.0），部署于屋顶南侧，满足游客中心生活热水需求，参数如下：吸热面积：2.0㎡/台，吸热效率：≥92%传热系数：≤4.5W/(㎡·K)，保温性能优异。工作压力：0.6MPa，适用水温：5-95℃。耐久性：使用寿命≥15年，抗冻等级≤-30℃。</w:t>
      </w:r>
    </w:p>
    <w:p w14:paraId="18DE80FD">
      <w:pPr>
        <w:pStyle w:val="2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智能能源管理系统：采用沈阳建筑大学全信息数字化智慧能源管理平台，实现发电、储能、用电全流程监测与调控，核心功能：实时监测：发电量、能耗、储能状态等数据可视化，数据上传率≥99%。 智能调控：AI算法动态分配光伏电力，优先供给照明、空调等负荷，余电存入储能系统。应急保障：极端天气自动切换至电网供电，保障用能稳定性。</w:t>
      </w:r>
    </w:p>
    <w:p w14:paraId="7A7575A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施工流程与关键技术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：施工流程</w:t>
      </w:r>
    </w:p>
    <w:p w14:paraId="472E2F4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 前期准备：建筑结构检测、方案深化设计、产品采购、施工团队培训</w:t>
      </w:r>
    </w:p>
    <w:p w14:paraId="4212E6C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 基础改造：屋面清理、立面基层处理、预留管线接口</w:t>
      </w:r>
    </w:p>
    <w:p w14:paraId="15DB3C3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 核心安装：先完成屋面光伏组件粘贴安装，再进行立面光伏幕墙模块化拼接，最后安装光热集热器与储能设备</w:t>
      </w:r>
    </w:p>
    <w:p w14:paraId="75250EA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 系统调试：逆变器调试、智能管理平台部署、发电与用电匹配测试</w:t>
      </w:r>
    </w:p>
    <w:p w14:paraId="327FF92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 验收交付：性能检测、数据核验、运维手册编制</w:t>
      </w:r>
    </w:p>
    <w:p w14:paraId="6654CE3F">
      <w:pPr>
        <w:pStyle w:val="2"/>
        <w:rPr/>
      </w:pPr>
      <w:r>
        <w:t>关键施工技术</w:t>
      </w:r>
      <w:r>
        <w:rPr>
          <w:rFonts w:hint="eastAsia"/>
          <w:lang w:eastAsia="zh-CN"/>
        </w:rPr>
        <w:t>：</w:t>
      </w:r>
      <w:r>
        <w:rPr>
          <w:lang w:val="en-US" w:eastAsia="zh-CN"/>
        </w:rPr>
        <w:t>光伏幕墙安装：采用铝合金背框+结构胶固定，安装偏差≤2°，保证气密性与水密性，符合光伏幕墙平面内变形性能第3级要求。屋面光伏安装：使用专用结构胶直接粘贴，无需钻孔，避免破坏屋顶防水层，安装速度提升3倍以上。系统协同：光伏、光热管线与建筑原有管线协同布置，避免交叉干扰，智能管理平台与建筑弱电系统对接，实现数据互通。</w:t>
      </w:r>
    </w:p>
    <w:p w14:paraId="0919DC9E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光伏系统发电量预估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基于组件参数、布局面积及当地光照资源，结合系统效率衰减系数，预估：首年总发电量：188.8kWp×1820h×80%（系统总效率）=276,244.48kWh≈27.62万kWh。分系统发电量：立面光伏幕墙年发电量7.84万kWh（67.2kWp×1820h×80%）；屋面光伏系统年发电量19.78万kWh（121.6kWp×1820h×80%）。长期发电量：组件年衰减率≤0.5%，25年总发电量≥650万kWh。</w:t>
      </w:r>
    </w:p>
    <w:p w14:paraId="3F683B0B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本方案通过选用碲化镉光伏玻璃、超薄轻质光伏组件等成熟BIPV产品，构建“光伏+光热+智能调控”一体化系统，技术路线可行、参数真实可靠。改造后游客中心可再生能源替代率达29.7%，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在实现能源自给、降本增效的同时，契合蝎子山矿山文旅的地域特色与生态发展理念，可作为绿建改造示范项目推广实施。</w:t>
      </w:r>
    </w:p>
    <w:p w14:paraId="61F086BA">
      <w:pPr>
        <w:pStyle w:val="2"/>
        <w:rPr>
          <w:rFonts w:hint="eastAsia"/>
          <w:lang w:val="en-US" w:eastAsia="zh-CN"/>
        </w:rPr>
      </w:pPr>
    </w:p>
    <w:p w14:paraId="44B7D90E">
      <w:pPr>
        <w:pStyle w:val="2"/>
        <w:rPr/>
      </w:pPr>
    </w:p>
    <w:p w14:paraId="74B64718">
      <w:pPr>
        <w:pStyle w:val="2"/>
      </w:pPr>
    </w:p>
    <w:p w14:paraId="5213844D">
      <w:pPr>
        <w:pStyle w:val="2"/>
        <w:rPr>
          <w:rFonts w:hint="eastAsia"/>
          <w:lang w:val="en-US" w:eastAsia="zh-CN"/>
        </w:rPr>
      </w:pPr>
    </w:p>
    <w:p w14:paraId="70883A3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00F7F0">
      <w:pPr>
        <w:keepNext w:val="0"/>
        <w:keepLines w:val="0"/>
        <w:widowControl/>
        <w:suppressLineNumbers w:val="0"/>
        <w:ind w:firstLine="480" w:firstLineChars="200"/>
        <w:jc w:val="left"/>
      </w:pPr>
    </w:p>
    <w:p w14:paraId="64CC7220">
      <w:pPr>
        <w:pStyle w:val="2"/>
        <w:ind w:left="0" w:leftChars="0" w:firstLine="480" w:firstLineChars="200"/>
        <w:rPr>
          <w:rFonts w:hint="eastAsia"/>
          <w:lang w:val="en-US" w:eastAsia="zh-CN"/>
        </w:rPr>
      </w:pPr>
    </w:p>
    <w:p w14:paraId="36DFDBB1">
      <w:pPr>
        <w:pStyle w:val="2"/>
        <w:ind w:left="0" w:leftChars="0" w:firstLine="480" w:firstLineChars="200"/>
        <w:rPr>
          <w:rFonts w:hint="eastAsia"/>
          <w:lang w:val="en-US" w:eastAsia="zh-CN"/>
        </w:rPr>
      </w:pPr>
    </w:p>
    <w:p w14:paraId="1FD372C6">
      <w:pPr>
        <w:pStyle w:val="2"/>
        <w:ind w:left="0" w:leftChars="0" w:firstLine="480" w:firstLineChars="200"/>
        <w:rPr>
          <w:rFonts w:hint="eastAsia"/>
          <w:lang w:val="en-US" w:eastAsia="zh-CN"/>
        </w:rPr>
      </w:pPr>
    </w:p>
    <w:p w14:paraId="3A275055">
      <w:pPr>
        <w:pStyle w:val="2"/>
        <w:rPr>
          <w:rFonts w:hint="eastAsia"/>
          <w:lang w:val="en-US" w:eastAsia="zh-CN"/>
        </w:rPr>
      </w:pPr>
    </w:p>
    <w:p w14:paraId="2537D04D">
      <w:pPr>
        <w:pStyle w:val="2"/>
        <w:rPr>
          <w:rFonts w:hint="eastAsia"/>
          <w:lang w:val="en-US" w:eastAsia="zh-CN"/>
        </w:rPr>
      </w:pPr>
    </w:p>
    <w:p w14:paraId="7F5D517C">
      <w:pPr>
        <w:pStyle w:val="2"/>
        <w:rPr>
          <w:rFonts w:hint="eastAsia"/>
          <w:lang w:val="en-US" w:eastAsia="zh-CN"/>
        </w:rPr>
      </w:pPr>
    </w:p>
    <w:p w14:paraId="2E9A4EDE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61BD894">
      <w:pPr>
        <w:keepNext w:val="0"/>
        <w:keepLines w:val="0"/>
        <w:widowControl/>
        <w:suppressLineNumbers w:val="0"/>
        <w:ind w:firstLine="480" w:firstLineChars="200"/>
        <w:jc w:val="left"/>
      </w:pPr>
    </w:p>
    <w:p w14:paraId="3376DF45">
      <w:pPr>
        <w:pStyle w:val="2"/>
        <w:ind w:left="0" w:leftChars="0" w:firstLine="480" w:firstLineChars="200"/>
        <w:rPr>
          <w:lang w:val="en-US" w:eastAsia="zh-CN"/>
        </w:rPr>
      </w:pPr>
    </w:p>
    <w:p w14:paraId="7D46034A">
      <w:pPr>
        <w:pStyle w:val="2"/>
        <w:rPr/>
      </w:pPr>
    </w:p>
    <w:p w14:paraId="045964C3">
      <w:pPr>
        <w:pStyle w:val="2"/>
      </w:pPr>
    </w:p>
    <w:p w14:paraId="71E49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6972"/>
    <w:rsid w:val="17287539"/>
    <w:rsid w:val="1A8D66EF"/>
    <w:rsid w:val="27D97C13"/>
    <w:rsid w:val="51C26A02"/>
    <w:rsid w:val="625D1889"/>
    <w:rsid w:val="63EF6972"/>
    <w:rsid w:val="699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0" w:firstLineChars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6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0">
    <w:name w:val="正文格式"/>
    <w:basedOn w:val="7"/>
    <w:qFormat/>
    <w:uiPriority w:val="0"/>
    <w:pPr>
      <w:spacing w:before="60" w:after="60" w:line="400" w:lineRule="exact"/>
      <w:ind w:left="300" w:leftChars="3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2026-01-03T04:29:00Z</dcterms:created>
  <dc:creator>Lenovo</dc:creator>
  <cp:lastModifiedBy>Lenovo</cp:lastModifiedBy>
  <dcterms:modified xsi:type="dcterms:W3CDTF">2026-01-03T04:45:30Z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E86B406DF71B4D668DFB97E21A61F885_11</vt:lpwstr>
  </property>
  <property fmtid="{D5CDD505-2E9C-101B-9397-08002B2CF9AE}" pid="4" name="KSOTemplateDocerSaveRecord">
    <vt:lpwstr>eyJoZGlkIjoiZmExMmQyZDA0MmI5ZTFmYzUxMzZjYTYwMGQxOTNjOWYifQ==</vt:lpwstr>
  </property>
</Properties>
</file>