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
        <w:rPr>
          <w:color w:val="FF0000"/>
          <w:sz w:val="24"/>
        </w:rPr>
        <w:t xml:space="preserve">Evaluation Warning: The document was created with Spire.Doc for JAVA.</w:t>
      </w:r>
    </w:p>
    <w:p>
      <w:pPr>
        <w:jc w:val="center"/>
      </w:pPr>
    </w:p>
    <w:p>
      <w:pPr>
        <w:jc w:val="center"/>
      </w:pPr>
      <w:r>
        <w:rPr>
          <w:rFonts w:ascii="宋体" w:hAnsi="宋体" w:hint="eastAsia"/>
          <w:b/>
          <w:bCs/>
          <w:color w:val="000000"/>
          <w:sz w:val="32"/>
          <w:szCs w:val="32"/>
        </w:rPr>
        <w:t xml:space="preserve">绿色建筑设计说明专篇</w:t>
      </w:r>
    </w:p>
    <w:p>
      <w:pPr>
        <w:jc w:val="left"/>
      </w:pPr>
      <w:r>
        <w:rPr>
          <w:rFonts w:ascii="宋体" w:hAnsi="宋体" w:hint="eastAsia"/>
          <w:b/>
          <w:bCs/>
          <w:color w:val="000000"/>
          <w:sz w:val="24"/>
          <w:szCs w:val="24"/>
        </w:rPr>
        <w:t xml:space="preserve">一、设计依据</w:t>
      </w:r>
    </w:p>
    <w:p>
      <w:pPr>
        <w:jc w:val="left"/>
      </w:pPr>
      <w:r>
        <w:rPr>
          <w:rFonts w:ascii="宋体" w:hAnsi="宋体" w:hint="eastAsia"/>
          <w:bCs/>
          <w:color w:val="000000"/>
          <w:sz w:val="20"/>
          <w:szCs w:val="20"/>
        </w:rPr>
        <w:t xml:space="preserve">1．《成都市建筑绿色设计施工图审查技术要点》（2017版）</w:t>
      </w:r>
    </w:p>
    <w:p>
      <w:pPr>
        <w:jc w:val="left"/>
      </w:pPr>
      <w:r>
        <w:rPr>
          <w:rFonts w:ascii="宋体" w:hAnsi="宋体" w:hint="eastAsia"/>
          <w:bCs/>
          <w:color w:val="000000"/>
          <w:sz w:val="20"/>
          <w:szCs w:val="20"/>
        </w:rPr>
        <w:t xml:space="preserve">2．《民用建筑绿色设计规范》  JGJ/T229-2010</w:t>
      </w:r>
    </w:p>
    <w:p>
      <w:pPr>
        <w:jc w:val="left"/>
      </w:pPr>
      <w:r>
        <w:rPr>
          <w:rFonts w:ascii="宋体" w:hAnsi="宋体" w:hint="eastAsia"/>
          <w:bCs/>
          <w:color w:val="000000"/>
          <w:sz w:val="20"/>
          <w:szCs w:val="20"/>
        </w:rPr>
        <w:t xml:space="preserve">3．《四川省绿色建筑设计标准 》  DBJ51/T037-2015</w:t>
      </w:r>
    </w:p>
    <w:p>
      <w:pPr>
        <w:jc w:val="left"/>
      </w:pPr>
      <w:r>
        <w:rPr>
          <w:rFonts w:ascii="宋体" w:hAnsi="宋体" w:hint="eastAsia"/>
          <w:bCs/>
          <w:color w:val="000000"/>
          <w:sz w:val="20"/>
          <w:szCs w:val="20"/>
        </w:rPr>
        <w:t xml:space="preserve">4．《四川省低影响开发雨水控制与利用工程设计标准》  DBJ51/T084-2017</w:t>
      </w:r>
    </w:p>
    <w:p>
      <w:pPr>
        <w:jc w:val="left"/>
      </w:pPr>
      <w:r>
        <w:rPr>
          <w:rFonts w:ascii="宋体" w:hAnsi="宋体" w:hint="eastAsia"/>
          <w:bCs/>
          <w:color w:val="000000"/>
          <w:sz w:val="20"/>
          <w:szCs w:val="20"/>
        </w:rPr>
        <w:t xml:space="preserve">5．《四川省居住建筑节能设计标准》DB51/5027-2019</w:t>
      </w:r>
    </w:p>
    <w:p>
      <w:pPr>
        <w:jc w:val="left"/>
      </w:pPr>
      <w:r>
        <w:rPr>
          <w:rFonts w:ascii="宋体" w:hAnsi="宋体" w:hint="eastAsia"/>
          <w:bCs/>
          <w:color w:val="000000"/>
          <w:sz w:val="20"/>
          <w:szCs w:val="20"/>
        </w:rPr>
        <w:t xml:space="preserve">6．《成都市民用建筑绿色设计技术导则》</w:t>
      </w:r>
    </w:p>
    <w:p>
      <w:pPr>
        <w:jc w:val="left"/>
      </w:pPr>
      <w:r>
        <w:rPr>
          <w:rFonts w:ascii="宋体" w:hAnsi="宋体" w:hint="eastAsia"/>
          <w:bCs/>
          <w:color w:val="000000"/>
          <w:sz w:val="20"/>
          <w:szCs w:val="20"/>
        </w:rPr>
        <w:t xml:space="preserve">7．《声环境质量标准》  GB3096-2008</w:t>
      </w:r>
    </w:p>
    <w:p>
      <w:pPr>
        <w:jc w:val="left"/>
      </w:pPr>
      <w:r>
        <w:rPr>
          <w:rFonts w:ascii="宋体" w:hAnsi="宋体" w:hint="eastAsia"/>
          <w:bCs/>
          <w:color w:val="000000"/>
          <w:sz w:val="20"/>
          <w:szCs w:val="20"/>
        </w:rPr>
        <w:t xml:space="preserve">8．《民用建筑隔声设计规范》  GB50118-2010</w:t>
      </w:r>
    </w:p>
    <w:p>
      <w:pPr>
        <w:jc w:val="left"/>
      </w:pPr>
      <w:r>
        <w:rPr>
          <w:rFonts w:ascii="宋体" w:hAnsi="宋体" w:hint="eastAsia"/>
          <w:bCs/>
          <w:color w:val="000000"/>
          <w:sz w:val="20"/>
          <w:szCs w:val="20"/>
        </w:rPr>
        <w:t xml:space="preserve">9．《建筑采光设计标准》  GB50033-2013</w:t>
      </w:r>
    </w:p>
    <w:p>
      <w:pPr>
        <w:jc w:val="left"/>
      </w:pPr>
      <w:r>
        <w:rPr>
          <w:rFonts w:ascii="宋体" w:hAnsi="宋体" w:hint="eastAsia"/>
          <w:bCs/>
          <w:color w:val="000000"/>
          <w:sz w:val="20"/>
          <w:szCs w:val="20"/>
        </w:rPr>
        <w:t xml:space="preserve">10．《民用建筑热工设计规范》  GB50176-2016</w:t>
      </w:r>
    </w:p>
    <w:p>
      <w:pPr>
        <w:jc w:val="left"/>
      </w:pPr>
      <w:r>
        <w:rPr>
          <w:rFonts w:ascii="宋体" w:hAnsi="宋体" w:hint="eastAsia"/>
          <w:bCs/>
          <w:color w:val="000000"/>
          <w:sz w:val="20"/>
          <w:szCs w:val="20"/>
        </w:rPr>
        <w:t xml:space="preserve">11．《民用建筑节水设计标准》  GB50555-2010</w:t>
      </w:r>
    </w:p>
    <w:p>
      <w:pPr>
        <w:jc w:val="left"/>
      </w:pPr>
      <w:r>
        <w:rPr>
          <w:rFonts w:ascii="宋体" w:hAnsi="宋体" w:hint="eastAsia"/>
          <w:bCs/>
          <w:color w:val="000000"/>
          <w:sz w:val="20"/>
          <w:szCs w:val="20"/>
        </w:rPr>
        <w:t xml:space="preserve">12．《城市污水再生利用 城市杂用水水质标准》  GB/T18920-2002</w:t>
      </w:r>
    </w:p>
    <w:p>
      <w:pPr>
        <w:jc w:val="left"/>
      </w:pPr>
      <w:r>
        <w:rPr>
          <w:rFonts w:ascii="宋体" w:hAnsi="宋体" w:hint="eastAsia"/>
          <w:bCs/>
          <w:color w:val="000000"/>
          <w:sz w:val="20"/>
          <w:szCs w:val="20"/>
        </w:rPr>
        <w:t xml:space="preserve">13．《室外排水设计规范》  GB50014-2006（2014年版）</w:t>
      </w:r>
    </w:p>
    <w:p>
      <w:pPr>
        <w:jc w:val="left"/>
      </w:pPr>
      <w:r>
        <w:rPr>
          <w:rFonts w:ascii="宋体" w:hAnsi="宋体" w:hint="eastAsia"/>
          <w:bCs/>
          <w:color w:val="000000"/>
          <w:sz w:val="20"/>
          <w:szCs w:val="20"/>
        </w:rPr>
        <w:t xml:space="preserve">14．《室外给水设计规范》  GB50013-2006</w:t>
      </w:r>
    </w:p>
    <w:p>
      <w:pPr>
        <w:jc w:val="left"/>
      </w:pPr>
      <w:r>
        <w:rPr>
          <w:rFonts w:ascii="宋体" w:hAnsi="宋体" w:hint="eastAsia"/>
          <w:bCs/>
          <w:color w:val="000000"/>
          <w:sz w:val="20"/>
          <w:szCs w:val="20"/>
        </w:rPr>
        <w:t xml:space="preserve">15．《建筑给水排水设计规范》  GB50015-2003（2009年版）</w:t>
      </w:r>
    </w:p>
    <w:p>
      <w:pPr>
        <w:jc w:val="left"/>
      </w:pPr>
      <w:r>
        <w:rPr>
          <w:rFonts w:ascii="宋体" w:hAnsi="宋体" w:hint="eastAsia"/>
          <w:bCs/>
          <w:color w:val="000000"/>
          <w:sz w:val="20"/>
          <w:szCs w:val="20"/>
        </w:rPr>
        <w:t xml:space="preserve">16．《民用建筑供暖通风与空气调节设计规范》  GB50736-2012</w:t>
      </w:r>
    </w:p>
    <w:p>
      <w:pPr>
        <w:jc w:val="left"/>
      </w:pPr>
      <w:r>
        <w:rPr>
          <w:rFonts w:ascii="宋体" w:hAnsi="宋体" w:hint="eastAsia"/>
          <w:bCs/>
          <w:color w:val="000000"/>
          <w:sz w:val="20"/>
          <w:szCs w:val="20"/>
        </w:rPr>
        <w:t xml:space="preserve">17．《智能建筑设计标准》  GB/T50314-2015</w:t>
      </w:r>
    </w:p>
    <w:p>
      <w:pPr>
        <w:jc w:val="left"/>
      </w:pPr>
      <w:r>
        <w:rPr>
          <w:rFonts w:ascii="宋体" w:hAnsi="宋体" w:hint="eastAsia"/>
          <w:bCs/>
          <w:color w:val="000000"/>
          <w:sz w:val="20"/>
          <w:szCs w:val="20"/>
        </w:rPr>
        <w:t xml:space="preserve">18．《民用建筑电气设计规范》  JGJ16-2008</w:t>
      </w:r>
    </w:p>
    <w:p>
      <w:pPr>
        <w:jc w:val="left"/>
      </w:pPr>
      <w:r>
        <w:rPr>
          <w:rFonts w:ascii="宋体" w:hAnsi="宋体" w:hint="eastAsia"/>
          <w:bCs/>
          <w:color w:val="000000"/>
          <w:sz w:val="20"/>
          <w:szCs w:val="20"/>
        </w:rPr>
        <w:t xml:space="preserve">19．《建筑照明设计标准》  GB50034-2013</w:t>
      </w:r>
    </w:p>
    <w:p>
      <w:pPr>
        <w:jc w:val="left"/>
      </w:pPr>
      <w:r>
        <w:rPr>
          <w:rFonts w:ascii="宋体" w:hAnsi="宋体" w:hint="eastAsia"/>
          <w:bCs/>
          <w:color w:val="000000"/>
          <w:sz w:val="20"/>
          <w:szCs w:val="20"/>
        </w:rPr>
        <w:t xml:space="preserve">20．《城市夜景照明设计规范》  JGJ/T163-2008</w:t>
      </w:r>
    </w:p>
    <w:p>
      <w:pPr>
        <w:jc w:val="left"/>
      </w:pPr>
      <w:r>
        <w:rPr>
          <w:rFonts w:ascii="宋体" w:hAnsi="宋体" w:hint="eastAsia"/>
          <w:bCs/>
          <w:color w:val="000000"/>
          <w:sz w:val="20"/>
          <w:szCs w:val="20"/>
        </w:rPr>
        <w:t xml:space="preserve">21．《建筑幕墙》  GB21086-2007</w:t>
      </w:r>
    </w:p>
    <w:p>
      <w:pPr>
        <w:jc w:val="left"/>
      </w:pPr>
      <w:r>
        <w:rPr>
          <w:rFonts w:ascii="宋体" w:hAnsi="宋体" w:hint="eastAsia"/>
          <w:bCs/>
          <w:color w:val="000000"/>
          <w:sz w:val="20"/>
          <w:szCs w:val="20"/>
        </w:rPr>
        <w:t xml:space="preserve">22．《建筑外窗气密、水密、抗风压性能分级及其检测方法》  GB7106-2008</w:t>
      </w:r>
    </w:p>
    <w:p>
      <w:pPr>
        <w:jc w:val="left"/>
      </w:pPr>
      <w:r>
        <w:rPr>
          <w:rFonts w:ascii="宋体" w:hAnsi="宋体" w:hint="eastAsia"/>
          <w:bCs/>
          <w:color w:val="000000"/>
          <w:sz w:val="20"/>
          <w:szCs w:val="20"/>
        </w:rPr>
        <w:t xml:space="preserve">1．《成都市建筑绿色设计施工图审查技术要点》（2017版）</w:t>
      </w:r>
    </w:p>
    <w:p>
      <w:pPr>
        <w:jc w:val="left"/>
      </w:pPr>
      <w:r>
        <w:rPr>
          <w:rFonts w:ascii="宋体" w:hAnsi="宋体" w:hint="eastAsia"/>
          <w:bCs/>
          <w:color w:val="000000"/>
          <w:sz w:val="20"/>
          <w:szCs w:val="20"/>
        </w:rPr>
        <w:t xml:space="preserve">23．《建筑门窗玻璃幕墙热工计算规程》  JGJ/T0151-2008</w:t>
      </w:r>
    </w:p>
    <w:p>
      <w:pPr>
        <w:jc w:val="left"/>
      </w:pPr>
      <w:r>
        <w:rPr>
          <w:rFonts w:ascii="宋体" w:hAnsi="宋体" w:hint="eastAsia"/>
          <w:bCs/>
          <w:color w:val="000000"/>
          <w:sz w:val="20"/>
          <w:szCs w:val="20"/>
        </w:rPr>
        <w:t xml:space="preserve">24．《城市居住区热环境设计标准》  JGJ286-2013</w:t>
      </w:r>
    </w:p>
    <w:p>
      <w:pPr>
        <w:jc w:val="left"/>
      </w:pPr>
      <w:r>
        <w:rPr>
          <w:rFonts w:ascii="宋体" w:hAnsi="宋体" w:hint="eastAsia"/>
          <w:bCs/>
          <w:color w:val="000000"/>
          <w:sz w:val="20"/>
          <w:szCs w:val="20"/>
        </w:rPr>
        <w:t xml:space="preserve">25．《建筑抗震设计规范》  GB50011-2010</w:t>
      </w:r>
    </w:p>
    <w:p>
      <w:pPr>
        <w:jc w:val="left"/>
      </w:pPr>
      <w:r>
        <w:rPr>
          <w:rFonts w:ascii="宋体" w:hAnsi="宋体" w:hint="eastAsia"/>
          <w:bCs/>
          <w:color w:val="000000"/>
          <w:sz w:val="20"/>
          <w:szCs w:val="20"/>
        </w:rPr>
        <w:t xml:space="preserve">26．国家、省、市现行的相关法律、法规、规范性文件</w:t>
      </w:r>
    </w:p>
    <w:p>
      <w:pPr>
        <w:jc w:val="left"/>
      </w:pPr>
    </w:p>
    <w:p>
      <w:pPr>
        <w:jc w:val="left"/>
      </w:pPr>
      <w:r>
        <w:rPr>
          <w:rFonts w:ascii="宋体" w:hAnsi="宋体" w:hint="eastAsia"/>
          <w:b/>
          <w:bCs/>
          <w:color w:val="000000"/>
          <w:sz w:val="24"/>
          <w:szCs w:val="24"/>
        </w:rPr>
        <w:t xml:space="preserve">二、项目概况及绿色建筑设计目标</w:t>
      </w:r>
    </w:p>
    <w:p>
      <w:pPr>
        <w:jc w:val="left"/>
      </w:pPr>
      <w:r>
        <w:rPr>
          <w:rFonts w:ascii="宋体" w:hAnsi="宋体" w:hint="eastAsia"/>
          <w:bCs/>
          <w:color w:val="000000"/>
          <w:sz w:val="20"/>
          <w:szCs w:val="20"/>
        </w:rPr>
        <w:t xml:space="preserve">1. 项目名称：111</w:t>
      </w:r>
    </w:p>
    <w:p>
      <w:pPr>
        <w:jc w:val="left"/>
      </w:pPr>
      <w:r>
        <w:rPr>
          <w:rFonts w:ascii="宋体" w:hAnsi="宋体" w:hint="eastAsia"/>
          <w:bCs/>
          <w:color w:val="000000"/>
          <w:sz w:val="20"/>
          <w:szCs w:val="20"/>
        </w:rPr>
        <w:t xml:space="preserve">2. 建设单位： __</w:t>
      </w:r>
    </w:p>
    <w:p>
      <w:pPr>
        <w:jc w:val="left"/>
      </w:pPr>
      <w:r>
        <w:rPr>
          <w:rFonts w:ascii="宋体" w:hAnsi="宋体" w:hint="eastAsia"/>
          <w:bCs/>
          <w:color w:val="000000"/>
          <w:sz w:val="20"/>
          <w:szCs w:val="20"/>
        </w:rPr>
        <w:t xml:space="preserve">3. 建设地址：111</w:t>
      </w:r>
    </w:p>
    <w:p>
      <w:pPr>
        <w:jc w:val="left"/>
      </w:pPr>
      <w:r>
        <w:rPr>
          <w:rFonts w:ascii="宋体" w:hAnsi="宋体" w:hint="eastAsia"/>
          <w:bCs/>
          <w:color w:val="000000"/>
          <w:sz w:val="20"/>
          <w:szCs w:val="20"/>
        </w:rPr>
        <w:t xml:space="preserve">4. 设计目标：《成都市建筑绿色设计施工图审查技术要点》（2017版）一星级√   二星级□   三星级□</w:t>
      </w:r>
    </w:p>
    <w:p>
      <w:pPr>
        <w:jc w:val="left"/>
      </w:pPr>
      <w:r>
        <w:rPr>
          <w:rFonts w:ascii="宋体" w:hAnsi="宋体" w:hint="eastAsia"/>
          <w:bCs/>
          <w:color w:val="000000"/>
          <w:sz w:val="20"/>
          <w:szCs w:val="20"/>
        </w:rPr>
        <w:t xml:space="preserve">5. 项目建设用地面积:111m2。项目总建筑面积111 m2，其中地上：__m2， 地下：__m2。</w:t>
      </w:r>
    </w:p>
    <w:p>
      <w:pPr>
        <w:jc w:val="left"/>
      </w:pPr>
      <w:r>
        <w:rPr>
          <w:rFonts w:ascii="宋体" w:hAnsi="宋体" w:hint="eastAsia"/>
          <w:bCs/>
          <w:color w:val="000000"/>
          <w:sz w:val="20"/>
          <w:szCs w:val="20"/>
        </w:rPr>
        <w:t xml:space="preserve">6. 主要建筑功能：居住建筑√     公共建筑□     工业建筑□</w:t>
      </w:r>
    </w:p>
    <w:p>
      <w:pPr>
        <w:jc w:val="left"/>
      </w:pPr>
      <w:r>
        <w:rPr>
          <w:rFonts w:ascii="宋体" w:hAnsi="宋体" w:hint="eastAsia"/>
          <w:bCs/>
          <w:color w:val="000000"/>
          <w:sz w:val="20"/>
          <w:szCs w:val="20"/>
        </w:rPr>
        <w:t xml:space="preserve">7. 自评估结果表：</w:t>
      </w:r>
    </w:p>
    <w:p>
      <w:pP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1270"/>
        <w:gridCol w:w="1270"/>
        <w:gridCol w:w="1270"/>
        <w:gridCol w:w="1270"/>
        <w:gridCol w:w="1270"/>
        <w:gridCol w:w="1270"/>
        <w:gridCol w:w="1270"/>
      </w:tblGrid>
      <w:tr>
        <w:trPr/>
        <w:tc>
          <w:tcPr>
            <w:tcW w:w="1270" w:type="dxa"/>
            <w:vMerge w:val="restart"/>
            <w:shd w:val="clear" w:color="auto" w:fill="auto"/>
            <w:vAlign w:val="center"/>
          </w:tcPr>
          <w:p>
            <w:pPr>
              <w:jc w:val="left"/>
            </w:pPr>
            <w:r>
              <w:rPr>
                <w:rFonts w:ascii="宋体" w:hAnsi="宋体" w:hint="eastAsia"/>
                <w:bCs/>
                <w:color w:val="000000"/>
                <w:sz w:val="20"/>
                <w:szCs w:val="20"/>
              </w:rPr>
              <w:t xml:space="preserve">专业</w:t>
            </w:r>
          </w:p>
        </w:tc>
        <w:tc>
          <w:tcPr>
            <w:tcW w:w="1270" w:type="dxa"/>
            <w:hMerge w:val="restart"/>
            <w:shd w:val="clear" w:color="auto" w:fill="auto"/>
            <w:vAlign w:val="center"/>
          </w:tcPr>
          <w:p>
            <w:pPr>
              <w:jc w:val="left"/>
            </w:pPr>
            <w:r>
              <w:rPr>
                <w:rFonts w:ascii="宋体" w:hAnsi="宋体" w:hint="eastAsia"/>
                <w:bCs/>
                <w:color w:val="000000"/>
                <w:sz w:val="20"/>
                <w:szCs w:val="20"/>
              </w:rPr>
              <w:t xml:space="preserve">控制项自评估</w:t>
            </w:r>
          </w:p>
        </w:tc>
        <w:tc>
          <w:tcPr>
            <w:tcW w:w="1270" w:type="dxa"/>
            <w:hMerge/>
            <w:shd w:val="clear" w:color="auto" w:fill="auto"/>
            <w:vAlign w:val="center"/>
          </w:tcPr>
          <w:p>
            <w:pPr>
              <w:jc w:val="left"/>
            </w:pPr>
          </w:p>
        </w:tc>
        <w:tc>
          <w:tcPr>
            <w:tcW w:w="1270" w:type="dxa"/>
            <w:hMerge/>
            <w:shd w:val="clear" w:color="auto" w:fill="auto"/>
            <w:vAlign w:val="center"/>
          </w:tcPr>
          <w:p>
            <w:pPr>
              <w:jc w:val="left"/>
            </w:pPr>
          </w:p>
        </w:tc>
        <w:tc>
          <w:tcPr>
            <w:tcW w:w="1270" w:type="dxa"/>
            <w:hMerge w:val="restart"/>
            <w:shd w:val="clear" w:color="auto" w:fill="auto"/>
            <w:vAlign w:val="center"/>
          </w:tcPr>
          <w:p>
            <w:pPr>
              <w:jc w:val="left"/>
            </w:pPr>
            <w:r>
              <w:rPr>
                <w:rFonts w:ascii="宋体" w:hAnsi="宋体" w:hint="eastAsia"/>
                <w:bCs/>
                <w:color w:val="000000"/>
                <w:sz w:val="20"/>
                <w:szCs w:val="20"/>
              </w:rPr>
              <w:t xml:space="preserve">评分项自评估</w:t>
            </w:r>
          </w:p>
        </w:tc>
        <w:tc>
          <w:tcPr>
            <w:tcW w:w="1270" w:type="dxa"/>
            <w:hMerge/>
            <w:shd w:val="clear" w:color="auto" w:fill="auto"/>
            <w:vAlign w:val="center"/>
          </w:tcPr>
          <w:p>
            <w:pPr>
              <w:jc w:val="left"/>
            </w:pPr>
          </w:p>
        </w:tc>
        <w:tc>
          <w:tcPr>
            <w:tcW w:w="1270" w:type="dxa"/>
            <w:hMerge/>
            <w:shd w:val="clear" w:color="auto" w:fill="auto"/>
            <w:vAlign w:val="center"/>
          </w:tcPr>
          <w:p>
            <w:pPr>
              <w:jc w:val="left"/>
            </w:pPr>
          </w:p>
        </w:tc>
      </w:tr>
      <w:tr>
        <w:trPr/>
        <w:tc>
          <w:tcPr>
            <w:tcW w:w="1270" w:type="dxa"/>
            <w:vMerge/>
            <w:shd w:val="clear" w:color="auto" w:fill="auto"/>
            <w:vAlign w:val="center"/>
          </w:tcPr>
          <w:p>
            <w:pPr>
              <w:jc w:val="center"/>
            </w:pPr>
          </w:p>
        </w:tc>
        <w:tc>
          <w:tcPr>
            <w:tcW w:w="1270" w:type="dxa"/>
            <w:shd w:val="clear" w:color="auto" w:fill="auto"/>
            <w:vAlign w:val="center"/>
          </w:tcPr>
          <w:p>
            <w:pPr>
              <w:jc w:val="center"/>
            </w:pPr>
            <w:r>
              <w:rPr>
                <w:rFonts w:ascii="宋体" w:hAnsi="宋体" w:hint="eastAsia"/>
                <w:bCs/>
                <w:color w:val="000000"/>
                <w:sz w:val="20"/>
                <w:szCs w:val="20"/>
              </w:rPr>
              <w:t xml:space="preserve">应达标项数</w:t>
            </w:r>
          </w:p>
        </w:tc>
        <w:tc>
          <w:tcPr>
            <w:tcW w:w="1270" w:type="dxa"/>
            <w:shd w:val="clear" w:color="auto" w:fill="auto"/>
            <w:vAlign w:val="center"/>
          </w:tcPr>
          <w:p>
            <w:pPr>
              <w:jc w:val="center"/>
            </w:pPr>
            <w:r>
              <w:rPr>
                <w:rFonts w:ascii="宋体" w:hAnsi="宋体" w:hint="eastAsia"/>
                <w:bCs/>
                <w:color w:val="000000"/>
                <w:sz w:val="20"/>
                <w:szCs w:val="20"/>
              </w:rPr>
              <w:t xml:space="preserve">不参评项数</w:t>
            </w:r>
          </w:p>
        </w:tc>
        <w:tc>
          <w:tcPr>
            <w:tcW w:w="1270" w:type="dxa"/>
            <w:shd w:val="clear" w:color="auto" w:fill="auto"/>
            <w:vAlign w:val="center"/>
          </w:tcPr>
          <w:p>
            <w:pPr>
              <w:jc w:val="center"/>
            </w:pPr>
            <w:r>
              <w:rPr>
                <w:rFonts w:ascii="宋体" w:hAnsi="宋体" w:hint="eastAsia"/>
                <w:bCs/>
                <w:color w:val="000000"/>
                <w:sz w:val="20"/>
                <w:szCs w:val="20"/>
              </w:rPr>
              <w:t xml:space="preserve">自评达标项目</w:t>
            </w:r>
          </w:p>
        </w:tc>
        <w:tc>
          <w:tcPr>
            <w:tcW w:w="1270" w:type="dxa"/>
            <w:shd w:val="clear" w:color="auto" w:fill="auto"/>
            <w:vAlign w:val="center"/>
          </w:tcPr>
          <w:p>
            <w:pPr>
              <w:jc w:val="center"/>
            </w:pPr>
            <w:r>
              <w:rPr>
                <w:rFonts w:ascii="宋体" w:hAnsi="宋体" w:hint="eastAsia"/>
                <w:bCs/>
                <w:color w:val="000000"/>
                <w:sz w:val="20"/>
                <w:szCs w:val="20"/>
              </w:rPr>
              <w:t xml:space="preserve">应达标项数</w:t>
            </w:r>
          </w:p>
        </w:tc>
        <w:tc>
          <w:tcPr>
            <w:tcW w:w="1270" w:type="dxa"/>
            <w:shd w:val="clear" w:color="auto" w:fill="auto"/>
            <w:vAlign w:val="center"/>
          </w:tcPr>
          <w:p>
            <w:pPr>
              <w:jc w:val="center"/>
            </w:pPr>
            <w:r>
              <w:rPr>
                <w:rFonts w:ascii="宋体" w:hAnsi="宋体" w:hint="eastAsia"/>
                <w:bCs/>
                <w:color w:val="000000"/>
                <w:sz w:val="20"/>
                <w:szCs w:val="20"/>
              </w:rPr>
              <w:t xml:space="preserve">不参评项数</w:t>
            </w:r>
          </w:p>
        </w:tc>
        <w:tc>
          <w:tcPr>
            <w:tcW w:w="1270" w:type="dxa"/>
            <w:shd w:val="clear" w:color="auto" w:fill="auto"/>
            <w:vAlign w:val="center"/>
          </w:tcPr>
          <w:p>
            <w:pPr>
              <w:jc w:val="center"/>
            </w:pPr>
            <w:r>
              <w:rPr>
                <w:rFonts w:ascii="宋体" w:hAnsi="宋体" w:hint="eastAsia"/>
                <w:bCs/>
                <w:color w:val="000000"/>
                <w:sz w:val="20"/>
                <w:szCs w:val="20"/>
              </w:rPr>
              <w:t xml:space="preserve">自评达标项目</w:t>
            </w:r>
          </w:p>
        </w:tc>
      </w:tr>
      <w:tr>
        <w:trPr/>
        <w:tc>
          <w:tcPr>
            <w:tcW w:w="1270" w:type="dxa"/>
            <w:shd w:val="clear" w:color="auto" w:fill="auto"/>
            <w:vAlign w:val="center"/>
          </w:tcPr>
          <w:p>
            <w:pPr>
              <w:jc w:val="center"/>
            </w:pPr>
            <w:r>
              <w:rPr>
                <w:rFonts w:ascii="宋体" w:hAnsi="宋体" w:hint="eastAsia"/>
                <w:bCs/>
                <w:color w:val="000000"/>
                <w:sz w:val="20"/>
                <w:szCs w:val="20"/>
              </w:rPr>
              <w:t xml:space="preserve">建筑</w:t>
            </w:r>
          </w:p>
        </w:tc>
        <w:tc>
          <w:tcPr>
            <w:tcW w:w="1270" w:type="dxa"/>
            <w:shd w:val="clear" w:color="auto" w:fill="auto"/>
            <w:vAlign w:val="center"/>
          </w:tcPr>
          <w:p>
            <w:pPr>
              <w:jc w:val="center"/>
            </w:pPr>
            <w:r>
              <w:rPr>
                <w:rFonts w:ascii="宋体" w:hAnsi="宋体" w:hint="eastAsia"/>
                <w:bCs/>
                <w:color w:val="000000"/>
                <w:sz w:val="20"/>
                <w:szCs w:val="20"/>
              </w:rPr>
              <w:t xml:space="preserve">25</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25</w:t>
            </w:r>
          </w:p>
        </w:tc>
        <w:tc>
          <w:tcPr>
            <w:tcW w:w="1270" w:type="dxa"/>
            <w:shd w:val="clear" w:color="auto" w:fill="auto"/>
            <w:vAlign w:val="center"/>
          </w:tcPr>
          <w:p>
            <w:pPr>
              <w:jc w:val="center"/>
            </w:pPr>
            <w:r>
              <w:rPr>
                <w:rFonts w:ascii="宋体" w:hAnsi="宋体" w:hint="eastAsia"/>
                <w:bCs/>
                <w:color w:val="000000"/>
                <w:sz w:val="20"/>
                <w:szCs w:val="20"/>
              </w:rPr>
              <w:t xml:space="preserve">13</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结构</w:t>
            </w:r>
          </w:p>
        </w:tc>
        <w:tc>
          <w:tcPr>
            <w:tcW w:w="1270" w:type="dxa"/>
            <w:shd w:val="clear" w:color="auto" w:fill="auto"/>
            <w:vAlign w:val="center"/>
          </w:tcPr>
          <w:p>
            <w:pPr>
              <w:jc w:val="center"/>
            </w:pPr>
            <w:r>
              <w:rPr>
                <w:rFonts w:ascii="宋体" w:hAnsi="宋体" w:hint="eastAsia"/>
                <w:bCs/>
                <w:color w:val="000000"/>
                <w:sz w:val="20"/>
                <w:szCs w:val="20"/>
              </w:rPr>
              <w:t xml:space="preserve">4</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4</w:t>
            </w:r>
          </w:p>
        </w:tc>
        <w:tc>
          <w:tcPr>
            <w:tcW w:w="1270" w:type="dxa"/>
            <w:shd w:val="clear" w:color="auto" w:fill="auto"/>
            <w:vAlign w:val="center"/>
          </w:tcPr>
          <w:p>
            <w:pPr>
              <w:jc w:val="center"/>
            </w:pPr>
            <w:r>
              <w:rPr>
                <w:rFonts w:ascii="宋体" w:hAnsi="宋体" w:hint="eastAsia"/>
                <w:bCs/>
                <w:color w:val="000000"/>
                <w:sz w:val="20"/>
                <w:szCs w:val="20"/>
              </w:rPr>
              <w:t xml:space="preserve">6</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给水排水</w:t>
            </w:r>
          </w:p>
        </w:tc>
        <w:tc>
          <w:tcPr>
            <w:tcW w:w="1270" w:type="dxa"/>
            <w:shd w:val="clear" w:color="auto" w:fill="auto"/>
            <w:vAlign w:val="center"/>
          </w:tcPr>
          <w:p>
            <w:pPr>
              <w:jc w:val="center"/>
            </w:pPr>
            <w:r>
              <w:rPr>
                <w:rFonts w:ascii="宋体" w:hAnsi="宋体" w:hint="eastAsia"/>
                <w:bCs/>
                <w:color w:val="000000"/>
                <w:sz w:val="20"/>
                <w:szCs w:val="20"/>
              </w:rPr>
              <w:t xml:space="preserve">11</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11</w:t>
            </w:r>
          </w:p>
        </w:tc>
        <w:tc>
          <w:tcPr>
            <w:tcW w:w="1270" w:type="dxa"/>
            <w:shd w:val="clear" w:color="auto" w:fill="auto"/>
            <w:vAlign w:val="center"/>
          </w:tcPr>
          <w:p>
            <w:pPr>
              <w:jc w:val="center"/>
            </w:pPr>
            <w:r>
              <w:rPr>
                <w:rFonts w:ascii="宋体" w:hAnsi="宋体" w:hint="eastAsia"/>
                <w:bCs/>
                <w:color w:val="000000"/>
                <w:sz w:val="20"/>
                <w:szCs w:val="20"/>
              </w:rPr>
              <w:t xml:space="preserve">16</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暖通空调</w:t>
            </w:r>
          </w:p>
        </w:tc>
        <w:tc>
          <w:tcPr>
            <w:tcW w:w="1270" w:type="dxa"/>
            <w:shd w:val="clear" w:color="auto" w:fill="auto"/>
            <w:vAlign w:val="center"/>
          </w:tcPr>
          <w:p>
            <w:pPr>
              <w:jc w:val="center"/>
            </w:pPr>
            <w:r>
              <w:rPr>
                <w:rFonts w:ascii="宋体" w:hAnsi="宋体" w:hint="eastAsia"/>
                <w:bCs/>
                <w:color w:val="000000"/>
                <w:sz w:val="20"/>
                <w:szCs w:val="20"/>
              </w:rPr>
              <w:t xml:space="preserve">4</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4</w:t>
            </w:r>
          </w:p>
        </w:tc>
        <w:tc>
          <w:tcPr>
            <w:tcW w:w="1270" w:type="dxa"/>
            <w:shd w:val="clear" w:color="auto" w:fill="auto"/>
            <w:vAlign w:val="center"/>
          </w:tcPr>
          <w:p>
            <w:pPr>
              <w:jc w:val="center"/>
            </w:pPr>
            <w:r>
              <w:rPr>
                <w:rFonts w:ascii="宋体" w:hAnsi="宋体" w:hint="eastAsia"/>
                <w:bCs/>
                <w:color w:val="000000"/>
                <w:sz w:val="20"/>
                <w:szCs w:val="20"/>
              </w:rPr>
              <w:t xml:space="preserve">19</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电气</w:t>
            </w:r>
          </w:p>
        </w:tc>
        <w:tc>
          <w:tcPr>
            <w:tcW w:w="1270" w:type="dxa"/>
            <w:shd w:val="clear" w:color="auto" w:fill="auto"/>
            <w:vAlign w:val="center"/>
          </w:tcPr>
          <w:p>
            <w:pPr>
              <w:jc w:val="center"/>
            </w:pPr>
            <w:r>
              <w:rPr>
                <w:rFonts w:ascii="宋体" w:hAnsi="宋体" w:hint="eastAsia"/>
                <w:bCs/>
                <w:color w:val="000000"/>
                <w:sz w:val="20"/>
                <w:szCs w:val="20"/>
              </w:rPr>
              <w:t xml:space="preserve">3</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3</w:t>
            </w:r>
          </w:p>
        </w:tc>
        <w:tc>
          <w:tcPr>
            <w:tcW w:w="1270" w:type="dxa"/>
            <w:shd w:val="clear" w:color="auto" w:fill="auto"/>
            <w:vAlign w:val="center"/>
          </w:tcPr>
          <w:p>
            <w:pPr>
              <w:jc w:val="center"/>
            </w:pPr>
            <w:r>
              <w:rPr>
                <w:rFonts w:ascii="宋体" w:hAnsi="宋体" w:hint="eastAsia"/>
                <w:bCs/>
                <w:color w:val="000000"/>
                <w:sz w:val="20"/>
                <w:szCs w:val="20"/>
              </w:rPr>
              <w:t xml:space="preserve">6</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景观</w:t>
            </w:r>
          </w:p>
        </w:tc>
        <w:tc>
          <w:tcPr>
            <w:tcW w:w="1270" w:type="dxa"/>
            <w:shd w:val="clear" w:color="auto" w:fill="auto"/>
            <w:vAlign w:val="center"/>
          </w:tcPr>
          <w:p>
            <w:pPr>
              <w:jc w:val="center"/>
            </w:pPr>
            <w:r>
              <w:rPr>
                <w:rFonts w:ascii="宋体" w:hAnsi="宋体" w:hint="eastAsia"/>
                <w:bCs/>
                <w:color w:val="000000"/>
                <w:sz w:val="20"/>
                <w:szCs w:val="20"/>
              </w:rPr>
              <w:t xml:space="preserve">5</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5</w:t>
            </w:r>
          </w:p>
        </w:tc>
        <w:tc>
          <w:tcPr>
            <w:tcW w:w="1270" w:type="dxa"/>
            <w:shd w:val="clear" w:color="auto" w:fill="auto"/>
            <w:vAlign w:val="center"/>
          </w:tcPr>
          <w:p>
            <w:pPr>
              <w:jc w:val="center"/>
            </w:pPr>
            <w:r>
              <w:rPr>
                <w:rFonts w:ascii="宋体" w:hAnsi="宋体" w:hint="eastAsia"/>
                <w:bCs/>
                <w:color w:val="000000"/>
                <w:sz w:val="20"/>
                <w:szCs w:val="20"/>
              </w:rPr>
              <w:t xml:space="preserve">14</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室内装修</w:t>
            </w:r>
          </w:p>
        </w:tc>
        <w:tc>
          <w:tcPr>
            <w:tcW w:w="1270" w:type="dxa"/>
            <w:shd w:val="clear" w:color="auto" w:fill="auto"/>
            <w:vAlign w:val="center"/>
          </w:tcPr>
          <w:p>
            <w:pPr>
              <w:jc w:val="center"/>
            </w:pPr>
            <w:r>
              <w:rPr>
                <w:rFonts w:ascii="宋体" w:hAnsi="宋体" w:hint="eastAsia"/>
                <w:bCs/>
                <w:color w:val="000000"/>
                <w:sz w:val="20"/>
                <w:szCs w:val="20"/>
              </w:rPr>
              <w:t xml:space="preserve">3</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3</w:t>
            </w:r>
          </w:p>
        </w:tc>
        <w:tc>
          <w:tcPr>
            <w:tcW w:w="1270" w:type="dxa"/>
            <w:shd w:val="clear" w:color="auto" w:fill="auto"/>
            <w:vAlign w:val="center"/>
          </w:tcPr>
          <w:p>
            <w:pPr>
              <w:jc w:val="center"/>
            </w:pPr>
            <w:r>
              <w:rPr>
                <w:rFonts w:ascii="宋体" w:hAnsi="宋体" w:hint="eastAsia"/>
                <w:bCs/>
                <w:color w:val="000000"/>
                <w:sz w:val="20"/>
                <w:szCs w:val="20"/>
              </w:rPr>
              <w:t xml:space="preserve">5</w:t>
            </w:r>
          </w:p>
        </w:tc>
        <w:tc>
          <w:tcPr>
            <w:tcW w:w="1270" w:type="dxa"/>
            <w:shd w:val="clear" w:color="auto" w:fill="auto"/>
            <w:vAlign w:val="center"/>
          </w:tcPr>
          <w:p>
            <w:pPr>
              <w:jc w:val="center"/>
            </w:pPr>
            <w:r>
              <w:rPr>
                <w:rFonts w:ascii="宋体" w:hAnsi="宋体" w:hint="eastAsia"/>
                <w:bCs/>
                <w:color w:val="000000"/>
                <w:sz w:val="20"/>
                <w:szCs w:val="20"/>
              </w:rPr>
              <w:t xml:space="preserve">0</w:t>
            </w:r>
          </w:p>
        </w:tc>
        <w:tc>
          <w:tcPr>
            <w:tcW w:w="1270" w:type="dxa"/>
            <w:shd w:val="clear" w:color="auto" w:fill="auto"/>
            <w:vAlign w:val="center"/>
          </w:tcPr>
          <w:p>
            <w:pPr>
              <w:jc w:val="center"/>
            </w:pPr>
            <w:r>
              <w:rPr>
                <w:rFonts w:ascii="宋体" w:hAnsi="宋体" w:hint="eastAsia"/>
                <w:bCs/>
                <w:color w:val="000000"/>
                <w:sz w:val="20"/>
                <w:szCs w:val="20"/>
              </w:rPr>
              <w:t xml:space="preserve">0</w:t>
            </w:r>
          </w:p>
        </w:tc>
      </w:tr>
      <w:tr>
        <w:trPr/>
        <w:tc>
          <w:tcPr>
            <w:tcW w:w="1270" w:type="dxa"/>
            <w:shd w:val="clear" w:color="auto" w:fill="auto"/>
            <w:vAlign w:val="center"/>
          </w:tcPr>
          <w:p>
            <w:pPr>
              <w:jc w:val="center"/>
            </w:pPr>
            <w:r>
              <w:rPr>
                <w:rFonts w:ascii="宋体" w:hAnsi="宋体" w:hint="eastAsia"/>
                <w:bCs/>
                <w:color w:val="000000"/>
                <w:sz w:val="20"/>
                <w:szCs w:val="20"/>
              </w:rPr>
              <w:t xml:space="preserve">自我评论</w:t>
            </w:r>
          </w:p>
        </w:tc>
        <w:tc>
          <w:tcPr>
            <w:tcW w:w="1270" w:type="dxa"/>
            <w:hMerge w:val="restart"/>
            <w:shd w:val="clear" w:color="auto" w:fill="auto"/>
            <w:vAlign w:val="center"/>
          </w:tcPr>
          <w:p>
            <w:pPr>
              <w:jc w:val="center"/>
            </w:pPr>
            <w:r>
              <w:rPr>
                <w:rFonts w:ascii="宋体" w:hAnsi="宋体" w:hint="eastAsia"/>
                <w:bCs/>
                <w:color w:val="000000"/>
                <w:sz w:val="20"/>
                <w:szCs w:val="20"/>
              </w:rPr>
              <w:t xml:space="preserve">满足《成都市建筑绿色设计施工图审查技术要点》（2017版）绿色设计等级0星要求</w:t>
            </w:r>
          </w:p>
        </w:tc>
        <w:tc>
          <w:tcPr>
            <w:tcW w:w="1270" w:type="dxa"/>
            <w:hMerge/>
            <w:shd w:val="clear" w:color="auto" w:fill="auto"/>
            <w:vAlign w:val="center"/>
          </w:tcPr>
          <w:p>
            <w:pPr>
              <w:jc w:val="center"/>
            </w:pPr>
          </w:p>
        </w:tc>
        <w:tc>
          <w:tcPr>
            <w:tcW w:w="1270" w:type="dxa"/>
            <w:hMerge/>
            <w:shd w:val="clear" w:color="auto" w:fill="auto"/>
            <w:vAlign w:val="center"/>
          </w:tcPr>
          <w:p>
            <w:pPr>
              <w:jc w:val="center"/>
            </w:pPr>
          </w:p>
        </w:tc>
        <w:tc>
          <w:tcPr>
            <w:tcW w:w="1270" w:type="dxa"/>
            <w:hMerge/>
            <w:shd w:val="clear" w:color="auto" w:fill="auto"/>
            <w:vAlign w:val="center"/>
          </w:tcPr>
          <w:p>
            <w:pPr>
              <w:jc w:val="center"/>
            </w:pPr>
          </w:p>
        </w:tc>
        <w:tc>
          <w:tcPr>
            <w:tcW w:w="1270" w:type="dxa"/>
            <w:hMerge/>
            <w:shd w:val="clear" w:color="auto" w:fill="auto"/>
            <w:vAlign w:val="center"/>
          </w:tcPr>
          <w:p>
            <w:pPr>
              <w:jc w:val="center"/>
            </w:pPr>
          </w:p>
        </w:tc>
        <w:tc>
          <w:tcPr>
            <w:tcW w:w="1270" w:type="dxa"/>
            <w:hMerge/>
            <w:shd w:val="clear" w:color="auto" w:fill="auto"/>
            <w:vAlign w:val="center"/>
          </w:tcPr>
          <w:p>
            <w:pPr>
              <w:jc w:val="center"/>
            </w:pPr>
          </w:p>
        </w:tc>
      </w:tr>
    </w:tbl>
    <w:p>
      <w:pPr>
        <w:jc w:val="left"/>
      </w:pPr>
    </w:p>
    <w:p>
      <w:pPr>
        <w:jc w:val="left"/>
      </w:pPr>
      <w:r>
        <w:rPr>
          <w:rFonts w:ascii="宋体" w:hAnsi="宋体" w:hint="eastAsia"/>
          <w:b/>
          <w:bCs/>
          <w:color w:val="000000"/>
          <w:sz w:val="24"/>
          <w:szCs w:val="24"/>
        </w:rPr>
        <w:t xml:space="preserve">三、绿色建筑设计技术措施</w:t>
      </w:r>
    </w:p>
    <w:p>
      <w:pPr>
        <w:jc w:val="left"/>
      </w:pPr>
      <w:r>
        <w:rPr>
          <w:rFonts w:ascii="宋体" w:hAnsi="宋体" w:hint="eastAsia"/>
          <w:bCs/>
          <w:color w:val="000000"/>
          <w:sz w:val="24"/>
          <w:szCs w:val="24"/>
        </w:rPr>
        <w:t xml:space="preserve">下列条文中加粗字为控制项，非加粗字部分为评分项。</w:t>
      </w:r>
    </w:p>
    <w:p>
      <w:pPr>
        <w:jc w:val="center"/>
      </w:pPr>
      <w:r>
        <w:rPr>
          <w:rFonts w:ascii="宋体" w:hAnsi="宋体" w:hint="eastAsia"/>
          <w:bCs/>
          <w:color w:val="000000"/>
          <w:sz w:val="24"/>
          <w:szCs w:val="24"/>
        </w:rPr>
        <w:t xml:space="preserve">2.1建筑专业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2、单体建筑预制装配率不低于 20%（政府投资项目、总建筑面积大于20万平方米（含）的公共建筑项目单体建筑预制装配率不低于 30%），且采用工业化生产的预制构件比例达到 15%。</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2场地设计</w:t>
            </w:r>
          </w:p>
        </w:tc>
        <w:tc>
          <w:tcPr>
            <w:tcW w:w="5800" w:type="dxa"/>
            <w:shd w:val="clear" w:color="auto" w:fill="auto"/>
            <w:vAlign w:val="center"/>
          </w:tcPr>
          <w:p>
            <w:pPr>
              <w:jc w:val="both"/>
            </w:pPr>
            <w:r>
              <w:rPr>
                <w:rFonts w:ascii="宋体" w:hAnsi="宋体" w:hint="eastAsia"/>
                <w:b/>
                <w:bCs/>
                <w:color w:val="000000"/>
                <w:sz w:val="20"/>
                <w:szCs w:val="20"/>
              </w:rPr>
              <w:t xml:space="preserve">1、场地设计符合各类保护区、文物古迹保护的控制要求。（涉及到各类保护区或文物古迹的项目，设计单位必须要求建设单位提交场地各类保护区和文物古迹均符合国家政策的证明文件，并提交给审查机构。）</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2、建设场地选址应避开抗震不利地段，场地无洪 涝灾害、泥石流及含氡土壤的威胁。场地安全范围内无电磁辐射危害和火、爆、有毒物质等危险源。场地内无超标污染物排放。</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3、不对建设场地内的自然水系进行截流、改道、封填、河床硬化，若确需改造场地内环境状况时，应采取相应的环境修复措施。</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4、机动车、非机动车停车数量应满足当地规划部门要求，室外停车场不应对居住环境产生影响。</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5、新建住区的绿地率不低于 30%，人均公共绿地面积不低于 1.0m2。</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6、居住建筑人均居住用地指标 A（m2）： 3 层及以下建筑 A≤41、 4~6 层建筑 A≤26、 7~12 层建筑A≤24、 13~18 层建筑 A≤22、 19 层及以上建筑A≤13。</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 旧区改建绿地率不低于25%，人均公共绿地不低于 0.7m2。</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8、 合理选用废弃场地进行建设，或充分利用尚可使用的旧建筑。</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3室内外风环境</w:t>
            </w:r>
          </w:p>
        </w:tc>
        <w:tc>
          <w:tcPr>
            <w:tcW w:w="5800" w:type="dxa"/>
            <w:shd w:val="clear" w:color="auto" w:fill="auto"/>
            <w:vAlign w:val="center"/>
          </w:tcPr>
          <w:p>
            <w:pPr>
              <w:jc w:val="both"/>
            </w:pPr>
            <w:r>
              <w:rPr>
                <w:rFonts w:ascii="宋体" w:hAnsi="宋体" w:hint="eastAsia"/>
                <w:bCs/>
                <w:color w:val="000000"/>
                <w:sz w:val="20"/>
                <w:szCs w:val="20"/>
              </w:rPr>
              <w:t xml:space="preserve">1、场地内风环境有利于室外行走、活动舒适和建筑的自然通风：1）冬季典型风速和风向条件下： 建筑物周围人行区风速小于 5m/s，且室外风速放大系数小于 2，建筑迎风面与背风面表面风压差不大于5Pa；2）过渡季、夏季典型风速和风向条件下：场地内人活动区不出现涡流或无风区，且50%以上可开启外窗室内外表面的风压差大于0.5Pa。</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 优化建筑空间、平面布局和构造设计，使室内形成穿堂风或改善自然通风效果。</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4围护结构热工性能</w:t>
            </w:r>
          </w:p>
        </w:tc>
        <w:tc>
          <w:tcPr>
            <w:tcW w:w="5800" w:type="dxa"/>
            <w:shd w:val="clear" w:color="auto" w:fill="auto"/>
            <w:vAlign w:val="center"/>
          </w:tcPr>
          <w:p>
            <w:pPr>
              <w:jc w:val="both"/>
            </w:pPr>
            <w:r>
              <w:rPr>
                <w:rFonts w:ascii="宋体" w:hAnsi="宋体" w:hint="eastAsia"/>
                <w:b/>
                <w:bCs/>
                <w:color w:val="000000"/>
                <w:sz w:val="20"/>
                <w:szCs w:val="20"/>
              </w:rPr>
              <w:t xml:space="preserve">1、围护结构热工设计符合《四川省居住建筑节能65%设计导则》及当地建筑节能的相关要求。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2、建筑西向外窗（包括透明幕墙）应设置合理的外遮阳或中间遮阳设施。</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3、在室内设计温、湿度条件下,建筑围护结构内表面不得结露。</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4、屋顶和东西外墙隔热性能应满足现行国家标准《民用建筑热工设计规范》GB 50176的要求。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5、围护结构热工性能比国家现行相关建筑节能设计标准的规定性指标提高幅度达到5%以上。</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5日照、采光</w:t>
            </w:r>
          </w:p>
        </w:tc>
        <w:tc>
          <w:tcPr>
            <w:tcW w:w="5800" w:type="dxa"/>
            <w:shd w:val="clear" w:color="auto" w:fill="auto"/>
            <w:vAlign w:val="center"/>
          </w:tcPr>
          <w:p>
            <w:pPr>
              <w:jc w:val="both"/>
            </w:pPr>
            <w:r>
              <w:rPr>
                <w:rFonts w:ascii="宋体" w:hAnsi="宋体" w:hint="eastAsia"/>
                <w:b/>
                <w:bCs/>
                <w:color w:val="000000"/>
                <w:sz w:val="20"/>
                <w:szCs w:val="20"/>
              </w:rPr>
              <w:t xml:space="preserve">1、建筑规划布局应满足日照标准，且不得降低周边建筑的日照标准。</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2、主要功能房间的采光系数应符合《建筑采光设计标准》 GB 50033 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3、卧室、起居室的窗地面积比达到 1/6。</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4、改善建筑室内天然采光效果，满足下列三项中的一项： 1）主要功能房间有合理的控制眩光措施；2）内区采光系数满足采光要求的面积比例达到60%； 3）地下空间平均采光系数不小于 0.5%的面积与首层地下室面积的比例达到 5%。</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5、建筑设计避免产生光污染，玻璃幕墙可见光反射比不大于 0.2。</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6自然通风</w:t>
            </w:r>
          </w:p>
        </w:tc>
        <w:tc>
          <w:tcPr>
            <w:tcW w:w="5800" w:type="dxa"/>
            <w:shd w:val="clear" w:color="auto" w:fill="auto"/>
            <w:vAlign w:val="center"/>
          </w:tcPr>
          <w:p>
            <w:pPr>
              <w:jc w:val="both"/>
            </w:pPr>
            <w:r>
              <w:rPr>
                <w:rFonts w:ascii="宋体" w:hAnsi="宋体" w:hint="eastAsia"/>
                <w:b/>
                <w:bCs/>
                <w:color w:val="000000"/>
                <w:sz w:val="20"/>
                <w:szCs w:val="20"/>
              </w:rPr>
              <w:t xml:space="preserve">1、居住空间通风开口面积不小于该房间地板面积的 8%。</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7开窗视野</w:t>
            </w:r>
          </w:p>
        </w:tc>
        <w:tc>
          <w:tcPr>
            <w:tcW w:w="5800" w:type="dxa"/>
            <w:shd w:val="clear" w:color="auto" w:fill="auto"/>
            <w:vAlign w:val="center"/>
          </w:tcPr>
          <w:p>
            <w:pPr>
              <w:jc w:val="both"/>
            </w:pPr>
            <w:r>
              <w:rPr>
                <w:rFonts w:ascii="宋体" w:hAnsi="宋体" w:hint="eastAsia"/>
                <w:b/>
                <w:bCs/>
                <w:color w:val="000000"/>
                <w:sz w:val="20"/>
                <w:szCs w:val="20"/>
              </w:rPr>
              <w:t xml:space="preserve">1、1 套住宅设有 2 个及 2 个以上卫生间时，至少有 1 个卫生间设有外窗。</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2、建筑主要功能房间具有良好的户外视野，其与相邻建筑的直接间距超过 18m。</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3、对建筑窗墙比进行优化设计，外窗、玻璃幕墙的可开启部分能使建筑获得良好的通风：玻璃幕墙透明部分可开启面积比例达到 5%、外窗可开启面积比例达到 30%。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8隔声减噪</w:t>
            </w:r>
          </w:p>
        </w:tc>
        <w:tc>
          <w:tcPr>
            <w:tcW w:w="5800" w:type="dxa"/>
            <w:shd w:val="clear" w:color="auto" w:fill="auto"/>
            <w:vAlign w:val="center"/>
          </w:tcPr>
          <w:p>
            <w:pPr>
              <w:jc w:val="both"/>
            </w:pPr>
            <w:r>
              <w:rPr>
                <w:rFonts w:ascii="宋体" w:hAnsi="宋体" w:hint="eastAsia"/>
                <w:b/>
                <w:bCs/>
                <w:color w:val="000000"/>
                <w:sz w:val="20"/>
                <w:szCs w:val="20"/>
              </w:rPr>
              <w:t xml:space="preserve">1、卧室、起居室白天、夜间在关窗状态下噪声满足《民用建筑隔声设计规范》 GB50118 中的低限标准限值要求。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2、楼板、分户墙、户门、外窗的隔声性能满足《民用建筑隔声设计规范》 GB50118 中的低限标准限值要求。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3、主要功能空间的外墙、隔墙、楼板和外门窗的材料和构造满足相关规范的要求。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4、建筑平面、空间布局合理，没有明显的噪声干扰。</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5、主要功能房间室内噪声级达到现行国家标准《民用建筑隔声设计规范》GB50118 中的低限标准限值和高要求标准限值的平均值。</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6、主要功能房间的隔声性能良好：1）构件及相邻房间之间的空气声隔声性能达到现行国家标准《民用建筑隔声设计规范》 GB50118 中的低限标 准限值和高要求标准限值的平均值；2）楼板的撞击隔声性能达到《民用建筑隔声设计规范》 GB50118中的低限标准限值和高要求标准限值的平均值。</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
                <w:bCs/>
                <w:color w:val="000000"/>
                <w:sz w:val="20"/>
                <w:szCs w:val="20"/>
              </w:rPr>
              <w:t xml:space="preserve">9无障碍设计</w:t>
            </w:r>
          </w:p>
        </w:tc>
        <w:tc>
          <w:tcPr>
            <w:tcW w:w="5800" w:type="dxa"/>
            <w:shd w:val="clear" w:color="auto" w:fill="auto"/>
            <w:vAlign w:val="center"/>
          </w:tcPr>
          <w:p>
            <w:pPr>
              <w:jc w:val="both"/>
            </w:pPr>
            <w:r>
              <w:rPr>
                <w:rFonts w:ascii="宋体" w:hAnsi="宋体" w:hint="eastAsia"/>
                <w:b/>
                <w:bCs/>
                <w:color w:val="000000"/>
                <w:sz w:val="20"/>
                <w:szCs w:val="20"/>
              </w:rPr>
              <w:t xml:space="preserve">1、场地内人行道和建筑物的无障碍设计应符合《无障碍设计规范》GB50763的规定。</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
                <w:bCs/>
                <w:color w:val="000000"/>
                <w:sz w:val="20"/>
                <w:szCs w:val="20"/>
              </w:rPr>
              <w:t xml:space="preserve">10设备管道便于维修</w:t>
            </w:r>
          </w:p>
        </w:tc>
        <w:tc>
          <w:tcPr>
            <w:tcW w:w="5800" w:type="dxa"/>
            <w:shd w:val="clear" w:color="auto" w:fill="auto"/>
            <w:vAlign w:val="center"/>
          </w:tcPr>
          <w:p>
            <w:pPr>
              <w:jc w:val="both"/>
            </w:pPr>
            <w:r>
              <w:rPr>
                <w:rFonts w:ascii="宋体" w:hAnsi="宋体" w:hint="eastAsia"/>
                <w:b/>
                <w:bCs/>
                <w:color w:val="000000"/>
                <w:sz w:val="20"/>
                <w:szCs w:val="20"/>
              </w:rPr>
              <w:t xml:space="preserve">1、公共使用功能的设备、管井设置在公共部位，并预留有检修门、检修通道等，便于维修、改造和更换。</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
                <w:bCs/>
                <w:color w:val="000000"/>
                <w:sz w:val="20"/>
                <w:szCs w:val="20"/>
              </w:rPr>
              <w:t xml:space="preserve">11建筑材料及制品</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1、不得采用国家和地方禁止和限制使用的建筑材料及制品。</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2、明确所选用建筑材料中的有害物质含量应符合 现行国家标准GB18580～GB18588 和《建筑材料放 射性核素限量》GB6566 的要求。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3、明确所选用建筑材料和装修材料应符合《民用建筑工程室内环境污染控制规范》GB 50325的规定。</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4、墙体采用保温与结构一体化技术：（自）承重墙体采用保温与结构一体化技术。</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
                <w:bCs/>
                <w:color w:val="000000"/>
                <w:sz w:val="20"/>
                <w:szCs w:val="20"/>
              </w:rPr>
              <w:t xml:space="preserve">12装饰性构件</w:t>
            </w:r>
          </w:p>
        </w:tc>
        <w:tc>
          <w:tcPr>
            <w:tcW w:w="5800" w:type="dxa"/>
            <w:shd w:val="clear" w:color="auto" w:fill="auto"/>
            <w:vAlign w:val="center"/>
          </w:tcPr>
          <w:p>
            <w:pPr>
              <w:jc w:val="both"/>
            </w:pPr>
            <w:r>
              <w:rPr>
                <w:rFonts w:ascii="宋体" w:hAnsi="宋体" w:hint="eastAsia"/>
                <w:b/>
                <w:bCs/>
                <w:color w:val="000000"/>
                <w:sz w:val="20"/>
                <w:szCs w:val="20"/>
              </w:rPr>
              <w:t xml:space="preserve">1、建筑造型要素简约，无大量装饰性构件。居住建筑纯装饰性构件造价不高于所在单栋建筑总造价的 2%。 (设计单位提供概算或预算指标)。</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2.2结构专业</w:t>
      </w:r>
    </w:p>
    <w:p>
      <w:pP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2结构体系</w:t>
            </w:r>
          </w:p>
        </w:tc>
        <w:tc>
          <w:tcPr>
            <w:tcW w:w="5800" w:type="dxa"/>
            <w:shd w:val="clear" w:color="auto" w:fill="auto"/>
            <w:vAlign w:val="center"/>
          </w:tcPr>
          <w:p>
            <w:pPr>
              <w:jc w:val="both"/>
            </w:pPr>
            <w:r>
              <w:rPr>
                <w:rFonts w:ascii="宋体" w:hAnsi="宋体" w:hint="eastAsia"/>
                <w:b/>
                <w:bCs/>
                <w:color w:val="000000"/>
                <w:sz w:val="20"/>
                <w:szCs w:val="20"/>
              </w:rPr>
              <w:t xml:space="preserve">1、三星级项目不应采用特别不规则的建筑。</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2、择优选择建筑形体，根据《建筑抗震设计规范》GB50011-2010的规定，尽量采用规则的建筑形体。</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3结构材料</w:t>
            </w:r>
          </w:p>
        </w:tc>
        <w:tc>
          <w:tcPr>
            <w:tcW w:w="5800" w:type="dxa"/>
            <w:shd w:val="clear" w:color="auto" w:fill="auto"/>
            <w:vAlign w:val="center"/>
          </w:tcPr>
          <w:p>
            <w:pPr>
              <w:jc w:val="both"/>
            </w:pPr>
            <w:r>
              <w:rPr>
                <w:rFonts w:ascii="宋体" w:hAnsi="宋体" w:hint="eastAsia"/>
                <w:b/>
                <w:bCs/>
                <w:color w:val="000000"/>
                <w:sz w:val="20"/>
                <w:szCs w:val="20"/>
              </w:rPr>
              <w:t xml:space="preserve">1、建筑主体结构现浇混凝土应采用预拌混凝土。</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2、混凝土结构中梁、柱纵向受力普通钢筋应采用不低于400Mpa级的热轧带肋钢筋。</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3、砂浆应采用预拌砂浆。</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4、合理采用高强建筑结构材料：混凝土结构竖向承重构件采用强度等级不低于C50的混凝土；钢结构采用Q345及以上高强钢材。</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5、合理采用高耐久性建筑结构材料：混凝土结构采用高耐久性混凝土；钢结构采用耐候结构钢或耐候型防腐涂料。</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6、墙体采用保温与结构一体化技术。</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7、采用清水混凝土饰面。</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2.3给水排水专业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1、应制定水资源利用方案，统筹利用各种水资源。</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2给排水系统</w:t>
            </w:r>
          </w:p>
        </w:tc>
        <w:tc>
          <w:tcPr>
            <w:tcW w:w="5800" w:type="dxa"/>
            <w:shd w:val="clear" w:color="auto" w:fill="auto"/>
            <w:vAlign w:val="center"/>
          </w:tcPr>
          <w:p>
            <w:pPr>
              <w:jc w:val="both"/>
            </w:pPr>
            <w:r>
              <w:rPr>
                <w:rFonts w:ascii="宋体" w:hAnsi="宋体" w:hint="eastAsia"/>
                <w:b/>
                <w:bCs/>
                <w:color w:val="000000"/>
                <w:sz w:val="20"/>
                <w:szCs w:val="20"/>
              </w:rPr>
              <w:t xml:space="preserve">1、给排水系统设置应合理、完善、安全。给水系统的设置应符合现行国家标准《民用建筑节水设计标准》GB50555 的相关要求。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2、给水系统充分利用市政管网水压。</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3、人工景观水体水源不得采用市政自来水和地下井水。</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4、设有集中热水供应系统的建筑，应设置完善的循环系统、保温措施和确保冷热水系统压力平衡的技术措施。</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5、室外排水应雨污分流排放。雨污水收集、处理和排放不应对周围的人和环境产生不良影响。</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6、应按照《建筑给水排水设计规范》GB50015的有关规定设计排水系统和通气系统，避免排水系统产生正、负气压而破坏水封。</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7、给水系统超压用水点应采取减压限流节水措施，用水点处供水压力不应大于0.20MPa，且不小于用水器具要求的最低工作压力。</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8、选用密闭性能好的阀门、设备，使用耐腐蚀、耐久性能好的管材、管件。</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9、室外埋地管道应选择适宜的管道敷设及基础处理方式。</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10、根据水平衡测试的要求安装分级计量水表。</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11、住宅给水系统按 “一户一表”设置。</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12、住宅小区公共设施按用途分别设置水表计量。</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3节水器具与设备</w:t>
            </w:r>
          </w:p>
        </w:tc>
        <w:tc>
          <w:tcPr>
            <w:tcW w:w="5800" w:type="dxa"/>
            <w:shd w:val="clear" w:color="auto" w:fill="auto"/>
            <w:vAlign w:val="center"/>
          </w:tcPr>
          <w:p>
            <w:pPr>
              <w:jc w:val="both"/>
            </w:pPr>
            <w:r>
              <w:rPr>
                <w:rFonts w:ascii="宋体" w:hAnsi="宋体" w:hint="eastAsia"/>
                <w:b/>
                <w:bCs/>
                <w:color w:val="000000"/>
                <w:sz w:val="20"/>
                <w:szCs w:val="20"/>
              </w:rPr>
              <w:t xml:space="preserve">1、卫生器具和设备的选用应满足现行国家标准《节水型卫生洁具》GB/T31436、《节水型生活用水器具》CJ/T 164 和《节水型产品通用技术条件》GB/T18870等的相关规定。</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2、给排水设备采用节水、节能高效产品。卫生器具用水效率等级应达到3级。</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3、二星级以上建筑其卫生器具用水效率等级应达到2级。</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4、绿化灌溉应采用滴灌、渗灌、微喷灌等高效节水灌溉方式。</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5、三星级建筑应设置土壤湿度感应器、雨天关闭装置等节水控制措施。或者种植无需永久灌溉植物。</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6、三星级建筑应有一项除卫生器具、绿化灌溉和冷却塔外的节水措施。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4非传统水源利用</w:t>
            </w:r>
          </w:p>
        </w:tc>
        <w:tc>
          <w:tcPr>
            <w:tcW w:w="5800" w:type="dxa"/>
            <w:shd w:val="clear" w:color="auto" w:fill="auto"/>
            <w:vAlign w:val="center"/>
          </w:tcPr>
          <w:p>
            <w:pPr>
              <w:jc w:val="both"/>
            </w:pPr>
            <w:r>
              <w:rPr>
                <w:rFonts w:ascii="宋体" w:hAnsi="宋体" w:hint="eastAsia"/>
                <w:b/>
                <w:bCs/>
                <w:color w:val="000000"/>
                <w:sz w:val="20"/>
                <w:szCs w:val="20"/>
              </w:rPr>
              <w:t xml:space="preserve">1、非传统水源利用应采取保障用水安全措施，不对人体和周围环境产生不良影响。非传统水源的水质应满足相应用途的水质标准。雨水利用满足现行国家标准《建筑与小区雨水利用工程技术规范》GB50400的相关要求，中水利用满足现行国家标准《建筑中水设计规范》GB50336的相关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2、当灌溉用水采用再生水时，禁止采用喷灌。</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3、采取有效措施，合理控制和利用雨水，新建项目场地年径流总量控制率不应小于70%，改扩建项目场地年径流总量控制率不应小于55%，且不低于当地海绵城市专项规划的要求。</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4、合理使用非传统水源，绿化浇灌、道路冲洗、洗车用水采用非传统水源的用水量占总用水量的比例不低于8%。</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5、三星级项目建筑的非传统水源利用率不应低于30%。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6、结合雨水利用设施进行景观水体设计，景观水体补水利用雨水，并采取控制面源污染的有效措施。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7、利用水生动、植物进行水体净化。</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2.4暖通空调专业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2供暖空调系统</w:t>
            </w:r>
          </w:p>
        </w:tc>
        <w:tc>
          <w:tcPr>
            <w:tcW w:w="5800" w:type="dxa"/>
            <w:shd w:val="clear" w:color="auto" w:fill="auto"/>
            <w:vAlign w:val="center"/>
          </w:tcPr>
          <w:p>
            <w:pPr>
              <w:jc w:val="both"/>
            </w:pPr>
            <w:r>
              <w:rPr>
                <w:rFonts w:ascii="宋体" w:hAnsi="宋体" w:hint="eastAsia"/>
                <w:b/>
                <w:bCs/>
                <w:color w:val="000000"/>
                <w:sz w:val="20"/>
                <w:szCs w:val="20"/>
              </w:rPr>
              <w:t xml:space="preserve">1、除特殊情况以外，不应采用电直接加热设备作为供暖空调系统的供暖热源和空气加湿热源。</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2、采用集中供暖空调系统的建筑，房间内的温度、湿度、最小新风量等设计参数应符合现行国家标准《民用建筑供暖通风与空气调节设计规范》GB50736的规定。</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3、室内公共卫生间应有良好的通风措施。</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集中供暖空调系统时，冷热源效率应符合下列规定：1）电机驱动的蒸气压缩循环冷水（热泵）机组、直燃型溴化锂吸收式冷（温）水机组、单元式空气调节机、风管送风式和屋顶式空调机组能效值应比现行国家标准《公共建筑节能设计标准》GB50189 的能效限定值提高6%，蒸汽型溴化锂机组单位制冷量蒸汽耗量应降低6%；2）多联式空调（热泵）机组IPLV(C)值应比现行国家标准《公共建筑节能设计标准》GB50189的能效限定值提高8%；3）燃煤和燃油燃气锅炉的额定热效率应比现行国家标准《公共建筑节能设计标准》GB50189的能效限定值分别提高3%和2%。房间空气调节器和家用燃气热水炉，其能效等级满足现行有关国家标准的节能评价值要求。</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集中供暖空调系统时，冷热源效率符合下列规定：1）电机驱动的蒸气压缩循环冷水（热泵）机组、直燃型溴化锂吸收式冷（温）水机组、单元式空气调节机、风管送风式和屋顶式空调机组能效值应比现行国家标准《公共建筑节能设计标准》GB50189的能效限定值提高12%，蒸汽型溴化锂机组单位制冷量蒸汽耗量应降低12%；2）多联式空调（热泵）机组IPLV(C)值应比现行国家标准《公共建筑节能设计标准》GB50189的能效限定值提高16%；3）燃煤和燃油燃气锅炉的额定热效率应比现行国家标准《公共建筑节能设计标准》 GB50189 的能效限定值分别提高6%和4%。房间 空气调节器和家用燃气热水炉，其能效等级满足现行有关国家标准的1级要求。</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6、集中供暖系统热水循环泵的耗电输热比和风道系统的单位风量耗功率符合现行国家标准《公共建筑节能设计标准》GB50189等的有关规定。</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7、空调冷热水系统循环水泵的耗电输冷（热）比比现行国家标准《民用建筑供暖通风与空气调节设计规范》GB 50736 规定值低20%。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8、合理选择和优化供暖、通风与空调系统，供暖、通风与空调系统能耗降低幅度不小于5%。</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9、采取措施降低过渡季节供暖、通风与空调系统能耗（采用分散式房间空调器、多联式空调系统、分散式供暖系统直接满足）。</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10、采取措施降低部分负荷、部分空间使用下的供暖、通风与空调系统能耗（采用分散式房间空调器、多联式空调系统、分散式供暖系统直接满足）。</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11、空调室外机位置和进、排风流道等设施布置合理，冷凝水单独有组织排放。</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12、冷却水系统设置水处理措施，采用加大集水盘、设置平衡管或平衡水箱的方式避免冷却水系统停泵溢流或采用无蒸发耗水量的冷却技术。</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13、避免卫生间、餐厅、地下车库等区域的空气和污染物串通到其他空间或室外活动场所。</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14、空调制冷系统合理采用天然冷源（冷却塔直接供冷、地道风等）。</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3能源综合利用</w:t>
            </w:r>
          </w:p>
        </w:tc>
        <w:tc>
          <w:tcPr>
            <w:tcW w:w="5800" w:type="dxa"/>
            <w:shd w:val="clear" w:color="auto" w:fill="auto"/>
            <w:vAlign w:val="center"/>
          </w:tcPr>
          <w:p>
            <w:pPr>
              <w:jc w:val="both"/>
            </w:pPr>
            <w:r>
              <w:rPr>
                <w:rFonts w:ascii="宋体" w:hAnsi="宋体" w:hint="eastAsia"/>
                <w:bCs/>
                <w:color w:val="000000"/>
                <w:sz w:val="20"/>
                <w:szCs w:val="20"/>
              </w:rPr>
              <w:t xml:space="preserve">1、排风能量回收系统设计合理并运行可靠。</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2、合理利用余热废热解决建筑的蒸汽、供暖或生活热水需求。</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合理利用可再生能源，由可再生能源提供的生活用热水或空调用冷量和热量比例不低于20%。地源热泵系统应优先采用地埋管或地表水地源热泵系统，当采用地下水地源热泵系统时，应进行水资源专项论证并取得相应的取水许可。</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4、采用分布式热电冷联供技术，系统全年能源综合利用率不低于70%。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4计量与监控</w:t>
            </w:r>
          </w:p>
        </w:tc>
        <w:tc>
          <w:tcPr>
            <w:tcW w:w="5800" w:type="dxa"/>
            <w:shd w:val="clear" w:color="auto" w:fill="auto"/>
            <w:vAlign w:val="center"/>
          </w:tcPr>
          <w:p>
            <w:pPr>
              <w:jc w:val="both"/>
            </w:pPr>
            <w:r>
              <w:rPr>
                <w:rFonts w:ascii="宋体" w:hAnsi="宋体" w:hint="eastAsia"/>
                <w:bCs/>
                <w:color w:val="000000"/>
                <w:sz w:val="20"/>
                <w:szCs w:val="20"/>
              </w:rPr>
              <w:t xml:space="preserve">1、集中供暖、空调末端装置可独立启停的主要功能房间数量比例达到70%。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2、地下车库设置与排风设备联动的一氧化碳浓度监测装置。</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3、对主要功能房间采取有效的空气监测、处理措施。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4、锅炉房、换热机房和制冷机房等的各项能量计量要求落实到设计文件中。</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2.5电气专业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2供配电系统</w:t>
            </w:r>
          </w:p>
        </w:tc>
        <w:tc>
          <w:tcPr>
            <w:tcW w:w="5800" w:type="dxa"/>
            <w:shd w:val="clear" w:color="auto" w:fill="auto"/>
            <w:vAlign w:val="center"/>
          </w:tcPr>
          <w:p>
            <w:pPr>
              <w:jc w:val="both"/>
            </w:pPr>
            <w:r>
              <w:rPr>
                <w:rFonts w:ascii="宋体" w:hAnsi="宋体" w:hint="eastAsia"/>
                <w:bCs/>
                <w:color w:val="000000"/>
                <w:sz w:val="20"/>
                <w:szCs w:val="20"/>
              </w:rPr>
              <w:t xml:space="preserve">1、说明用电负荷性质及容量，合理选择供电电压等级、供电源容量、变电所位置、变压器台数、容量和负荷率，考虑不同季节负荷变化的节能措施。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3计量</w:t>
            </w:r>
          </w:p>
        </w:tc>
        <w:tc>
          <w:tcPr>
            <w:tcW w:w="5800" w:type="dxa"/>
            <w:shd w:val="clear" w:color="auto" w:fill="auto"/>
            <w:vAlign w:val="center"/>
          </w:tcPr>
          <w:p>
            <w:pPr>
              <w:jc w:val="both"/>
            </w:pPr>
            <w:r>
              <w:rPr>
                <w:rFonts w:ascii="宋体" w:hAnsi="宋体" w:hint="eastAsia"/>
                <w:b/>
                <w:bCs/>
                <w:color w:val="000000"/>
                <w:sz w:val="20"/>
                <w:szCs w:val="20"/>
              </w:rPr>
              <w:t xml:space="preserve">1、分户、分类及分项计量。</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4照明质量</w:t>
            </w:r>
          </w:p>
        </w:tc>
        <w:tc>
          <w:tcPr>
            <w:tcW w:w="5800" w:type="dxa"/>
            <w:shd w:val="clear" w:color="auto" w:fill="auto"/>
            <w:vAlign w:val="center"/>
          </w:tcPr>
          <w:p>
            <w:pPr>
              <w:jc w:val="both"/>
            </w:pPr>
            <w:r>
              <w:rPr>
                <w:rFonts w:ascii="宋体" w:hAnsi="宋体" w:hint="eastAsia"/>
                <w:bCs/>
                <w:color w:val="000000"/>
                <w:sz w:val="20"/>
                <w:szCs w:val="20"/>
              </w:rPr>
              <w:t xml:space="preserve">1、设计说明中所列照度设计值、一般显色指数、统一眩光值应瞒足《建筑照明设计标准》GB50034规定。</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2、人员长期工作或停留的房间或场所，照明光源的显色指数不应小于80。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5照明功率密度值</w:t>
            </w:r>
          </w:p>
        </w:tc>
        <w:tc>
          <w:tcPr>
            <w:tcW w:w="5800" w:type="dxa"/>
            <w:shd w:val="clear" w:color="auto" w:fill="auto"/>
            <w:vAlign w:val="center"/>
          </w:tcPr>
          <w:p>
            <w:pPr>
              <w:jc w:val="both"/>
            </w:pPr>
            <w:r>
              <w:rPr>
                <w:rFonts w:ascii="宋体" w:hAnsi="宋体" w:hint="eastAsia"/>
                <w:b/>
                <w:bCs/>
                <w:color w:val="000000"/>
                <w:sz w:val="20"/>
                <w:szCs w:val="20"/>
              </w:rPr>
              <w:t xml:space="preserve">1、公共区域主要功能房间或场所的照明功率密度值、照度的设计值应满足《建筑照明设计标准》GB50034，且照度值对应的功率密度值应不大于GB50034 规定的现行值。</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6电气设备节能</w:t>
            </w:r>
          </w:p>
        </w:tc>
        <w:tc>
          <w:tcPr>
            <w:tcW w:w="5800" w:type="dxa"/>
            <w:shd w:val="clear" w:color="auto" w:fill="auto"/>
            <w:vAlign w:val="center"/>
          </w:tcPr>
          <w:p>
            <w:pPr>
              <w:jc w:val="both"/>
            </w:pPr>
            <w:r>
              <w:rPr>
                <w:rFonts w:ascii="宋体" w:hAnsi="宋体" w:hint="eastAsia"/>
                <w:bCs/>
                <w:color w:val="000000"/>
                <w:sz w:val="20"/>
                <w:szCs w:val="20"/>
              </w:rPr>
              <w:t xml:space="preserve">1、公共场所采用声控、光控等自动控制的高效照明系统。</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2、采用满足能效限定值标准的变压器、电动机及高效节能光源、高效灯具及其节能附件。</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3、在有条件的地下停车库等处，可采用光导管照明技术，白天利用自然光做照明。</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2.6景观专业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shd w:val="clear" w:color="auto" w:fill="auto"/>
            <w:vAlign w:val="center"/>
          </w:tcPr>
          <w:p>
            <w:pPr>
              <w:jc w:val="center"/>
            </w:pPr>
            <w:r>
              <w:rPr>
                <w:rFonts w:ascii="宋体" w:hAnsi="宋体" w:hint="eastAsia"/>
                <w:bCs/>
                <w:color w:val="000000"/>
                <w:sz w:val="20"/>
                <w:szCs w:val="20"/>
              </w:rPr>
              <w:t xml:space="preserve">1基本要求</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1、不得采用国家和四川省发布的已淘汰的技术、材料和设备，并符合国家的标准、规程、规范。</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2保护利用场地内资源</w:t>
            </w:r>
          </w:p>
        </w:tc>
        <w:tc>
          <w:tcPr>
            <w:tcW w:w="5800" w:type="dxa"/>
            <w:shd w:val="clear" w:color="auto" w:fill="auto"/>
            <w:vAlign w:val="center"/>
          </w:tcPr>
          <w:p>
            <w:pPr>
              <w:jc w:val="both"/>
            </w:pPr>
            <w:r>
              <w:rPr>
                <w:rFonts w:ascii="宋体" w:hAnsi="宋体" w:hint="eastAsia"/>
                <w:b/>
                <w:bCs/>
                <w:color w:val="000000"/>
                <w:sz w:val="20"/>
                <w:szCs w:val="20"/>
              </w:rPr>
              <w:t xml:space="preserve">1、场地内古树名木严禁砍伐或移植，并应采取保护措施。</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2、保护并利用场内原有地形地貌、自然水体、湿地和植被。</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3植物种类与配置</w:t>
            </w:r>
          </w:p>
        </w:tc>
        <w:tc>
          <w:tcPr>
            <w:tcW w:w="5800" w:type="dxa"/>
            <w:shd w:val="clear" w:color="auto" w:fill="auto"/>
            <w:vAlign w:val="center"/>
          </w:tcPr>
          <w:p>
            <w:pPr>
              <w:jc w:val="both"/>
            </w:pPr>
            <w:r>
              <w:rPr>
                <w:rFonts w:ascii="宋体" w:hAnsi="宋体" w:hint="eastAsia"/>
                <w:b/>
                <w:bCs/>
                <w:color w:val="000000"/>
                <w:sz w:val="20"/>
                <w:szCs w:val="20"/>
              </w:rPr>
              <w:t xml:space="preserve">1、种植适应当地本地气候和土壤条件的植物；种植区域覆土深度及排水能力满足植物生长需求。选用少维护、耐候性强、病虫害少、对人体无害的植物。</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2、居住建筑绿地配置乔木不少于3株/100 ㎡。</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3、配置科学合理，采用乔灌草结合的复层绿化。</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4绿地率和人均绿地面积</w:t>
            </w:r>
          </w:p>
        </w:tc>
        <w:tc>
          <w:tcPr>
            <w:tcW w:w="5800" w:type="dxa"/>
            <w:shd w:val="clear" w:color="auto" w:fill="auto"/>
            <w:vAlign w:val="center"/>
          </w:tcPr>
          <w:p>
            <w:pPr>
              <w:jc w:val="both"/>
            </w:pPr>
            <w:r>
              <w:rPr>
                <w:rFonts w:ascii="宋体" w:hAnsi="宋体" w:hint="eastAsia"/>
                <w:b/>
                <w:bCs/>
                <w:color w:val="000000"/>
                <w:sz w:val="20"/>
                <w:szCs w:val="20"/>
              </w:rPr>
              <w:t xml:space="preserve">1、新建住区的绿地率不低于 30%，人均公共绿地面积不低于 1.0 m2。</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2、旧区改建绿地率不低于 25%，人均公共绿地不低于 0.7m2。</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5立体绿化</w:t>
            </w:r>
          </w:p>
        </w:tc>
        <w:tc>
          <w:tcPr>
            <w:tcW w:w="5800" w:type="dxa"/>
            <w:shd w:val="clear" w:color="auto" w:fill="auto"/>
            <w:vAlign w:val="center"/>
          </w:tcPr>
          <w:p>
            <w:pPr>
              <w:jc w:val="both"/>
            </w:pPr>
            <w:r>
              <w:rPr>
                <w:rFonts w:ascii="宋体" w:hAnsi="宋体" w:hint="eastAsia"/>
                <w:bCs/>
                <w:color w:val="000000"/>
                <w:sz w:val="20"/>
                <w:szCs w:val="20"/>
              </w:rPr>
              <w:t xml:space="preserve">1合理采用屋顶绿化、垂直绿化等措施。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6景观铺装</w:t>
            </w:r>
          </w:p>
        </w:tc>
        <w:tc>
          <w:tcPr>
            <w:tcW w:w="5800" w:type="dxa"/>
            <w:shd w:val="clear" w:color="auto" w:fill="auto"/>
            <w:vAlign w:val="center"/>
          </w:tcPr>
          <w:p>
            <w:pPr>
              <w:jc w:val="both"/>
            </w:pPr>
            <w:r>
              <w:rPr>
                <w:rFonts w:ascii="宋体" w:hAnsi="宋体" w:hint="eastAsia"/>
                <w:bCs/>
                <w:color w:val="000000"/>
                <w:sz w:val="20"/>
                <w:szCs w:val="20"/>
              </w:rPr>
              <w:t xml:space="preserve">1、非机动车道路、地面停车场和其他硬质铺地根据当地的土质情况，选择铺装。适宜透水的土质要优先采用透水地面。室外透水地面面积比不小于50%。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2、铺装不宜采用天然石材，尽量使用可循环利用的工业化市政材料。</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7景观用水</w:t>
            </w:r>
          </w:p>
        </w:tc>
        <w:tc>
          <w:tcPr>
            <w:tcW w:w="5800" w:type="dxa"/>
            <w:shd w:val="clear" w:color="auto" w:fill="auto"/>
            <w:vAlign w:val="center"/>
          </w:tcPr>
          <w:p>
            <w:pPr>
              <w:jc w:val="both"/>
            </w:pPr>
            <w:r>
              <w:rPr>
                <w:rFonts w:ascii="宋体" w:hAnsi="宋体" w:hint="eastAsia"/>
                <w:b/>
                <w:bCs/>
                <w:color w:val="000000"/>
                <w:sz w:val="20"/>
                <w:szCs w:val="20"/>
              </w:rPr>
              <w:t xml:space="preserve">1、人工景观水体水源不得采用市政自来水和地下井水。</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2、应结合场地气候条件、地形地貌、水源条件、雨水利用方式、雨水调蓄要求等，综合考虑场地内水量平衡情况，结合雨水收集等设施确定合理的水景规模。</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3、绿化灌溉采用喷灌、微灌等高效节水灌溉方式。</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4、下凹式绿地、雨水花园等有调蓄雨水功能的绿地和水体的面积之和占绿地面积的比例达到30%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5、合理规划地表与屋面雨水径流，对场地雨水实施外排总量控制，其场地年径流总量控制率不低于当地海绵城市专项规划要求。</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6、结合雨水利用设施进行景观水体设计，景观水体补水利用雨水，并采取控制面源污染的有效措施。</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7、利用水生动、植物进行水体净化。</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8景观照明</w:t>
            </w:r>
          </w:p>
        </w:tc>
        <w:tc>
          <w:tcPr>
            <w:tcW w:w="5800" w:type="dxa"/>
            <w:shd w:val="clear" w:color="auto" w:fill="auto"/>
            <w:vAlign w:val="center"/>
          </w:tcPr>
          <w:p>
            <w:pPr>
              <w:jc w:val="both"/>
            </w:pPr>
            <w:r>
              <w:rPr>
                <w:rFonts w:ascii="宋体" w:hAnsi="宋体" w:hint="eastAsia"/>
                <w:bCs/>
                <w:color w:val="000000"/>
                <w:sz w:val="20"/>
                <w:szCs w:val="20"/>
              </w:rPr>
              <w:t xml:space="preserve">1、景观照明应考虑生态和环保的要求，避免长时间照射植物，不应对珍稀名木古树近距离照明，且绿化照明不能影响周围居民。</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jc w:val="center"/>
      </w:pPr>
      <w:r>
        <w:rPr>
          <w:rFonts w:ascii="宋体" w:hAnsi="宋体" w:hint="eastAsia"/>
          <w:bCs/>
          <w:color w:val="000000"/>
          <w:sz w:val="24"/>
          <w:szCs w:val="24"/>
        </w:rPr>
        <w:t xml:space="preserve">2.7室内装修专业</w:t>
      </w:r>
    </w:p>
    <w:tbl>
      <w:tblPr>
        <w:tblStyle w:val="TableNorma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640"/>
        <w:gridCol w:w="5800"/>
        <w:gridCol w:w="640"/>
        <w:gridCol w:w="900"/>
        <w:gridCol w:w="1010"/>
      </w:tblGrid>
      <w:tr>
        <w:trPr/>
        <w:tc>
          <w:tcPr>
            <w:tcW w:w="640" w:type="dxa"/>
            <w:hMerge w:val="restart"/>
            <w:shd w:val="clear" w:color="auto" w:fill="auto"/>
            <w:vAlign w:val="center"/>
          </w:tcPr>
          <w:p>
            <w:pPr>
              <w:jc w:val="center"/>
            </w:pPr>
            <w:r>
              <w:rPr>
                <w:rFonts w:ascii="宋体" w:hAnsi="宋体" w:hint="eastAsia"/>
                <w:bCs/>
                <w:color w:val="000000"/>
                <w:sz w:val="20"/>
                <w:szCs w:val="20"/>
              </w:rPr>
              <w:t xml:space="preserve">条文内容</w:t>
            </w:r>
          </w:p>
        </w:tc>
        <w:tc>
          <w:tcPr>
            <w:tcW w:w="5800" w:type="dxa"/>
            <w:hMerge/>
            <w:shd w:val="clear" w:color="auto" w:fill="auto"/>
            <w:vAlign w:val="center"/>
          </w:tcPr>
          <w:p>
            <w:pPr>
              <w:jc w:val="center"/>
            </w:pPr>
          </w:p>
        </w:tc>
        <w:tc>
          <w:tcPr>
            <w:tcW w:w="640" w:type="dxa"/>
            <w:shd w:val="clear" w:color="auto" w:fill="auto"/>
            <w:vAlign w:val="center"/>
          </w:tcPr>
          <w:p>
            <w:pPr>
              <w:jc w:val="center"/>
            </w:pPr>
            <w:r>
              <w:rPr>
                <w:rFonts w:ascii="宋体" w:hAnsi="宋体" w:hint="eastAsia"/>
                <w:bCs/>
                <w:color w:val="000000"/>
                <w:sz w:val="20"/>
                <w:szCs w:val="20"/>
              </w:rPr>
              <w:t xml:space="preserve">控制项/评分项</w:t>
            </w:r>
          </w:p>
        </w:tc>
        <w:tc>
          <w:tcPr>
            <w:tcW w:w="900" w:type="dxa"/>
            <w:shd w:val="clear" w:color="auto" w:fill="auto"/>
            <w:vAlign w:val="center"/>
          </w:tcPr>
          <w:p>
            <w:pPr>
              <w:jc w:val="center"/>
            </w:pPr>
            <w:r>
              <w:rPr>
                <w:rFonts w:ascii="宋体" w:hAnsi="宋体" w:hint="eastAsia"/>
                <w:bCs/>
                <w:color w:val="000000"/>
                <w:sz w:val="20"/>
                <w:szCs w:val="20"/>
              </w:rPr>
              <w:t xml:space="preserve">达标自评</w:t>
            </w:r>
          </w:p>
        </w:tc>
        <w:tc>
          <w:tcPr>
            <w:tcW w:w="1010" w:type="dxa"/>
            <w:shd w:val="clear" w:color="auto" w:fill="auto"/>
            <w:vAlign w:val="center"/>
          </w:tcPr>
          <w:p>
            <w:pPr>
              <w:jc w:val="center"/>
            </w:pPr>
            <w:r>
              <w:rPr>
                <w:rFonts w:ascii="宋体" w:hAnsi="宋体" w:hint="eastAsia"/>
                <w:bCs/>
                <w:color w:val="000000"/>
                <w:sz w:val="20"/>
                <w:szCs w:val="20"/>
              </w:rPr>
              <w:t xml:space="preserve">项目简述</w:t>
            </w: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1建筑装饰材料及制品</w:t>
            </w:r>
          </w:p>
        </w:tc>
        <w:tc>
          <w:tcPr>
            <w:tcW w:w="5800" w:type="dxa"/>
            <w:shd w:val="clear" w:color="auto" w:fill="auto"/>
            <w:vAlign w:val="center"/>
          </w:tcPr>
          <w:p>
            <w:pPr>
              <w:jc w:val="both"/>
            </w:pPr>
            <w:r>
              <w:rPr>
                <w:rFonts w:ascii="宋体" w:hAnsi="宋体" w:hint="eastAsia"/>
                <w:b/>
                <w:bCs/>
                <w:color w:val="000000"/>
                <w:sz w:val="20"/>
                <w:szCs w:val="20"/>
              </w:rPr>
              <w:t xml:space="preserve">1、不得采用国家和地方禁止和限制使用的建筑材料及制品。</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
                <w:bCs/>
                <w:color w:val="000000"/>
                <w:sz w:val="20"/>
                <w:szCs w:val="20"/>
              </w:rPr>
              <w:t xml:space="preserve">2、应采用节水器具。</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3、采用通过认证的绿色装饰建材。</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4、采用耐久性好、易维护的装饰装修材料。</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2室内环境 染控制</w:t>
            </w:r>
          </w:p>
        </w:tc>
        <w:tc>
          <w:tcPr>
            <w:tcW w:w="5800" w:type="dxa"/>
            <w:shd w:val="clear" w:color="auto" w:fill="auto"/>
            <w:vAlign w:val="center"/>
          </w:tcPr>
          <w:p>
            <w:pPr>
              <w:jc w:val="both"/>
            </w:pPr>
            <w:r>
              <w:rPr>
                <w:rFonts w:ascii="宋体" w:hAnsi="宋体" w:hint="eastAsia"/>
                <w:b/>
                <w:bCs/>
                <w:color w:val="000000"/>
                <w:sz w:val="20"/>
                <w:szCs w:val="20"/>
              </w:rPr>
              <w:t xml:space="preserve">1、所选用建筑材料中的有害物质含量应符合现行国家标准GB18580～GB18588和《建筑材料放射性核素限量》GB6566的要求。</w:t>
            </w:r>
          </w:p>
        </w:tc>
        <w:tc>
          <w:tcPr>
            <w:tcW w:w="770" w:type="dxa"/>
            <w:shd w:val="clear" w:color="auto" w:fill="auto"/>
            <w:vAlign w:val="center"/>
          </w:tcPr>
          <w:p>
            <w:pPr>
              <w:jc w:val="center"/>
            </w:pPr>
            <w:r>
              <w:rPr>
                <w:rFonts w:ascii="宋体" w:hAnsi="宋体" w:hint="eastAsia"/>
                <w:bCs/>
                <w:color w:val="000000"/>
                <w:sz w:val="20"/>
                <w:szCs w:val="20"/>
              </w:rPr>
              <w:t xml:space="preserve">控制项</w:t>
            </w:r>
          </w:p>
        </w:tc>
        <w:tc>
          <w:tcPr>
            <w:tcW w:w="900" w:type="dxa"/>
            <w:shd w:val="clear" w:color="auto" w:fill="auto"/>
            <w:vAlign w:val="center"/>
          </w:tcPr>
          <w:p>
            <w:pPr>
              <w:jc w:val="center"/>
            </w:pPr>
            <w:r>
              <w:rPr>
                <w:rFonts w:ascii="宋体" w:hAnsi="宋体" w:hint="eastAsia"/>
                <w:bCs/>
                <w:color w:val="000000"/>
                <w:sz w:val="20"/>
                <w:szCs w:val="20"/>
              </w:rPr>
              <w:t xml:space="preserve">达标</w:t>
            </w:r>
          </w:p>
        </w:tc>
        <w:tc>
          <w:tcPr>
            <w:tcW w:w="1010" w:type="dxa"/>
            <w:shd w:val="clear" w:color="auto" w:fill="auto"/>
            <w:vAlign w:val="center"/>
          </w:tcPr>
          <w:p>
            <w:pPr>
              <w:jc w:val="center"/>
            </w:pPr>
          </w:p>
        </w:tc>
      </w:tr>
      <w:tr>
        <w:trPr/>
        <w:tc>
          <w:tcPr>
            <w:tcW w:w="640" w:type="dxa"/>
            <w:vMerge w:val="restart"/>
            <w:shd w:val="clear" w:color="auto" w:fill="auto"/>
            <w:vAlign w:val="center"/>
          </w:tcPr>
          <w:p>
            <w:pPr>
              <w:jc w:val="center"/>
            </w:pPr>
            <w:r>
              <w:rPr>
                <w:rFonts w:ascii="宋体" w:hAnsi="宋体" w:hint="eastAsia"/>
                <w:bCs/>
                <w:color w:val="000000"/>
                <w:sz w:val="20"/>
                <w:szCs w:val="20"/>
              </w:rPr>
              <w:t xml:space="preserve">3土建装修一体化</w:t>
            </w:r>
          </w:p>
        </w:tc>
        <w:tc>
          <w:tcPr>
            <w:tcW w:w="5800" w:type="dxa"/>
            <w:shd w:val="clear" w:color="auto" w:fill="auto"/>
            <w:vAlign w:val="center"/>
          </w:tcPr>
          <w:p>
            <w:pPr>
              <w:jc w:val="both"/>
            </w:pPr>
            <w:r>
              <w:rPr>
                <w:rFonts w:ascii="宋体" w:hAnsi="宋体" w:hint="eastAsia"/>
                <w:bCs/>
                <w:color w:val="000000"/>
                <w:sz w:val="20"/>
                <w:szCs w:val="20"/>
              </w:rPr>
              <w:t xml:space="preserve">1、土建与装修一体化设计的户数比例不低于30%。</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vMerge/>
            <w:shd w:val="clear" w:color="auto" w:fill="auto"/>
            <w:vAlign w:val="center"/>
          </w:tcPr>
          <w:p>
            <w:pPr>
              <w:jc w:val="center"/>
            </w:pPr>
          </w:p>
        </w:tc>
        <w:tc>
          <w:tcPr>
            <w:tcW w:w="5800" w:type="dxa"/>
            <w:shd w:val="clear" w:color="auto" w:fill="auto"/>
            <w:vAlign w:val="center"/>
          </w:tcPr>
          <w:p>
            <w:pPr>
              <w:jc w:val="both"/>
            </w:pPr>
            <w:r>
              <w:rPr>
                <w:rFonts w:ascii="宋体" w:hAnsi="宋体" w:hint="eastAsia"/>
                <w:bCs/>
                <w:color w:val="000000"/>
                <w:sz w:val="20"/>
                <w:szCs w:val="20"/>
              </w:rPr>
              <w:t xml:space="preserve">2、采用整体化定型设计的厨房、卫浴间。</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r>
        <w:trPr/>
        <w:tc>
          <w:tcPr>
            <w:tcW w:w="640" w:type="dxa"/>
            <w:shd w:val="clear" w:color="auto" w:fill="auto"/>
            <w:vAlign w:val="center"/>
          </w:tcPr>
          <w:p>
            <w:pPr>
              <w:jc w:val="center"/>
            </w:pPr>
            <w:r>
              <w:rPr>
                <w:rFonts w:ascii="宋体" w:hAnsi="宋体" w:hint="eastAsia"/>
                <w:bCs/>
                <w:color w:val="000000"/>
                <w:sz w:val="20"/>
                <w:szCs w:val="20"/>
              </w:rPr>
              <w:t xml:space="preserve">4室内光环境</w:t>
            </w:r>
          </w:p>
        </w:tc>
        <w:tc>
          <w:tcPr>
            <w:tcW w:w="5800" w:type="dxa"/>
            <w:shd w:val="clear" w:color="auto" w:fill="auto"/>
            <w:vAlign w:val="center"/>
          </w:tcPr>
          <w:p>
            <w:pPr>
              <w:jc w:val="both"/>
            </w:pPr>
            <w:r>
              <w:rPr>
                <w:rFonts w:ascii="宋体" w:hAnsi="宋体" w:hint="eastAsia"/>
                <w:bCs/>
                <w:color w:val="000000"/>
                <w:sz w:val="20"/>
                <w:szCs w:val="20"/>
              </w:rPr>
              <w:t xml:space="preserve">1、符合现行国家标准《建筑照明设计标准》GB50034的相关规定。</w:t>
            </w:r>
          </w:p>
        </w:tc>
        <w:tc>
          <w:tcPr>
            <w:tcW w:w="770" w:type="dxa"/>
            <w:shd w:val="clear" w:color="auto" w:fill="auto"/>
            <w:vAlign w:val="center"/>
          </w:tcPr>
          <w:p>
            <w:pPr>
              <w:jc w:val="center"/>
            </w:pPr>
            <w:r>
              <w:rPr>
                <w:rFonts w:ascii="宋体" w:hAnsi="宋体" w:hint="eastAsia"/>
                <w:bCs/>
                <w:color w:val="000000"/>
                <w:sz w:val="20"/>
                <w:szCs w:val="20"/>
              </w:rPr>
              <w:t xml:space="preserve">评分项</w:t>
            </w:r>
          </w:p>
        </w:tc>
        <w:tc>
          <w:tcPr>
            <w:tcW w:w="900" w:type="dxa"/>
            <w:shd w:val="clear" w:color="auto" w:fill="auto"/>
            <w:vAlign w:val="center"/>
          </w:tcPr>
          <w:p>
            <w:pPr>
              <w:jc w:val="center"/>
            </w:pPr>
            <w:r>
              <w:rPr>
                <w:rFonts w:ascii="宋体" w:hAnsi="宋体" w:hint="eastAsia"/>
                <w:bCs/>
                <w:color w:val="000000"/>
                <w:sz w:val="20"/>
                <w:szCs w:val="20"/>
              </w:rPr>
              <w:t xml:space="preserve">0</w:t>
            </w:r>
          </w:p>
        </w:tc>
        <w:tc>
          <w:tcPr>
            <w:tcW w:w="1010" w:type="dxa"/>
            <w:shd w:val="clear" w:color="auto" w:fill="auto"/>
            <w:vAlign w:val="center"/>
          </w:tcPr>
          <w:p>
            <w:pPr>
              <w:jc w:val="center"/>
            </w:pPr>
          </w:p>
        </w:tc>
      </w:tr>
    </w:tbl>
    <w:p>
      <w:pPr/>
    </w:p>
    <w:sectPr>
      <w:pgSz w:w="24000" w:h="16840" w:orient="landscape" w:code="9"/>
      <w:pgMar w:top="500" w:right="1440" w:bottom="100" w:left="1440" w:header="720" w:footer="720" w:gutter="0"/>
      <w:cols w:num="2" w:space="800">
        <w:col w:w="12000" w:space="800"/>
        <w:col w:w="12000" w:space="800"/>
      </w:cols>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ocumentProtection w:edit="trackedChanges" w:enforcement="0"/>
  <w:defaultTabStop w:val="720"/>
  <w:characterSpacingControl w:val="doNotCompress"/>
  <w:compat>
    <w:useFELayout/>
    <w:compatSetting w:name="overrideTableStyleFontSizeAndJustification" w:uri="http://schemas.microsoft.com/office/word" w:val="1"/>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style>
  <w:style w:type="paragraph" w:styleId="Heading1">
    <w:name w:val="Heading 1"/>
    <w:basedOn w:val="Normal"/>
    <w:next w:val="Normal"/>
    <w:uiPriority w:val="9"/>
    <w:qFormat/>
    <w:rsid w:val="00841CD9"/>
    <w:pPr>
      <w:keepNext/>
      <w:keepLines/>
      <w:spacing w:before="480"/>
      <w:outlineLvl w:val="0"/>
    </w:pPr>
    <w:rPr>
      <w:rFonts w:asciiTheme="majorHAnsi" w:eastAsiaTheme="majorEastAsia" w:hAnsiTheme="majorHAnsi" w:cstheme="majorBidi"/>
      <w:b/>
      <w:bCs/>
      <w:color w:val="44749F" w:themeColor="accent1" w:themeShade="BF"/>
      <w:sz w:val="28"/>
      <w:szCs w:val="28"/>
    </w:rPr>
  </w:style>
  <w:style w:type="paragraph" w:styleId="Heading2">
    <w:name w:val="Heading 2"/>
    <w:basedOn w:val="Normal"/>
    <w:next w:val="Normal"/>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rPr/>
  </w:style>
  <w:style w:type="paragraph" w:styleId="Header">
    <w:name w:val="Header"/>
    <w:basedOn w:val="Normal"/>
    <w:uiPriority w:val="99"/>
    <w:unhideWhenUsed/>
    <w:rsid w:val="00841CD9"/>
    <w:pPr>
      <w:tabs>
        <w:tab w:val="center" w:pos="4680"/>
        <w:tab w:val="right" w:pos="9360"/>
      </w:tabs>
    </w:pPr>
    <w:rPr/>
  </w:style>
  <w:style w:type="character" w:customStyle="1" w:styleId="HeaderChar">
    <w:name w:val="Header Char"/>
    <w:basedOn w:val="DefaultParagraphFont"/>
    <w:uiPriority w:val="99"/>
    <w:rsid w:val="00841CD9"/>
    <w:rPr/>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44749F"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rPr/>
  </w:style>
  <w:style w:type="paragraph" w:styleId="Subtitle">
    <w:name w:val="Subtitle"/>
    <w:basedOn w:val="Normal"/>
    <w:next w:val="Normal"/>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2019-11-27T17:33:13Z</dcterms:created>
  <dcterms:modified xsi:type="dcterms:W3CDTF">2019-11-27T17:33:13Z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terms="http://purl.org/dc/terms/" xmlns:dc="http://purl.org/dc/elements/1.1/"/>
</file>

<file path=customXml/item4.xml><?xml version="1.0" encoding="utf-8"?>
<properties:Properties xmlns:vt="http://schemas.openxmlformats.org/officeDocument/2006/docPropsVTypes" xmlns:properties="http://schemas.openxmlformats.org/officeDocument/2006/extended-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2019-11-27T17:33:13Z</dcterms:created>
  <dcterms:modified xsi:type="dcterms:W3CDTF">2019-11-27T17:33:13Z</dcterms:modified>
</cp:coreProperties>
</file>