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2024年01月10日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32" w:name="_GoBack"/>
      <w:bookmarkEnd w:id="132"/>
      <w:r>
        <w:rPr>
          <w:rFonts w:ascii="宋体" w:hAnsi="宋体"/>
          <w:bCs w:val="0"/>
          <w:caps/>
        </w:rPr>
        <w:fldChar w:fldCharType="begin"/>
      </w:r>
      <w:r>
        <w:rPr>
          <w:rFonts w:ascii="宋体" w:hAnsi="宋体"/>
          <w:bCs w:val="0"/>
          <w:caps/>
        </w:rPr>
        <w:instrText xml:space="preserve"> HYPERLINK \l _Toc11139 </w:instrText>
      </w:r>
      <w:r>
        <w:rPr>
          <w:rFonts w:ascii="宋体" w:hAnsi="宋体"/>
          <w:bCs w:val="0"/>
          <w:caps/>
        </w:rPr>
        <w:fldChar w:fldCharType="separate"/>
      </w:r>
      <w:r>
        <w:rPr>
          <w:rFonts w:hint="eastAsia"/>
        </w:rPr>
        <w:t>1 项目概况</w:t>
      </w:r>
      <w:r>
        <w:tab/>
      </w:r>
      <w:r>
        <w:fldChar w:fldCharType="begin"/>
      </w:r>
      <w:r>
        <w:instrText xml:space="preserve"> PAGEREF _Toc11139 \h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_Toc13056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_Toc13056 \h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_Toc3309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_Toc3309 \h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_Toc31270 </w:instrText>
      </w:r>
      <w:r>
        <w:fldChar w:fldCharType="separate"/>
      </w:r>
      <w:r>
        <w:rPr>
          <w:rFonts w:hint="eastAsia"/>
        </w:rPr>
        <w:t>2 计算</w:t>
      </w:r>
      <w:r>
        <w:t>依据</w:t>
      </w:r>
      <w:r>
        <w:tab/>
      </w:r>
      <w:r>
        <w:fldChar w:fldCharType="begin"/>
      </w:r>
      <w:r>
        <w:instrText xml:space="preserve"> PAGEREF _Toc31270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_Toc7404 </w:instrText>
      </w:r>
      <w:r>
        <w:fldChar w:fldCharType="separate"/>
      </w:r>
      <w:r>
        <w:rPr>
          <w:rFonts w:hint="eastAsia"/>
        </w:rPr>
        <w:t>3 参考</w:t>
      </w:r>
      <w:r>
        <w:t>标准</w:t>
      </w:r>
      <w:r>
        <w:tab/>
      </w:r>
      <w:r>
        <w:fldChar w:fldCharType="begin"/>
      </w:r>
      <w:r>
        <w:instrText xml:space="preserve"> PAGEREF _Toc7404 \h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_Toc8955 </w:instrText>
      </w:r>
      <w:r>
        <w:fldChar w:fldCharType="separate"/>
      </w:r>
      <w:r>
        <w:rPr>
          <w:rFonts w:hint="eastAsia"/>
        </w:rPr>
        <w:t>4 计算原理</w:t>
      </w:r>
      <w:r>
        <w:tab/>
      </w:r>
      <w:r>
        <w:fldChar w:fldCharType="begin"/>
      </w:r>
      <w:r>
        <w:instrText xml:space="preserve"> PAGEREF _Toc8955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_Toc31898 </w:instrText>
      </w:r>
      <w:r>
        <w:fldChar w:fldCharType="separate"/>
      </w:r>
      <w:r>
        <w:rPr>
          <w:rFonts w:hint="eastAsia"/>
          <w:lang w:val="en-GB"/>
        </w:rPr>
        <w:t xml:space="preserve">4.1 </w:t>
      </w:r>
      <w:r>
        <w:rPr>
          <w:rFonts w:hint="eastAsia"/>
        </w:rPr>
        <w:t>风场计算域</w:t>
      </w:r>
      <w:r>
        <w:tab/>
      </w:r>
      <w:r>
        <w:fldChar w:fldCharType="begin"/>
      </w:r>
      <w:r>
        <w:instrText xml:space="preserve"> PAGEREF _Toc31898 \h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_Toc18312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_Toc18312 \h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_Toc19923 </w:instrText>
      </w:r>
      <w:r>
        <w:fldChar w:fldCharType="separate"/>
      </w:r>
      <w:r>
        <w:rPr>
          <w:rFonts w:hint="eastAsia"/>
          <w:lang w:val="en-GB"/>
        </w:rPr>
        <w:t xml:space="preserve">4.2 </w:t>
      </w:r>
      <w:r>
        <w:rPr>
          <w:rFonts w:hint="eastAsia"/>
        </w:rPr>
        <w:t>网格划分</w:t>
      </w:r>
      <w:r>
        <w:tab/>
      </w:r>
      <w:r>
        <w:fldChar w:fldCharType="begin"/>
      </w:r>
      <w:r>
        <w:instrText xml:space="preserve"> PAGEREF _Toc19923 \h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_Toc31329 </w:instrText>
      </w:r>
      <w:r>
        <w:fldChar w:fldCharType="separate"/>
      </w:r>
      <w:r>
        <w:rPr>
          <w:rFonts w:hint="eastAsia"/>
          <w:lang w:val="en-GB"/>
        </w:rPr>
        <w:t xml:space="preserve">4.3 </w:t>
      </w:r>
      <w:r>
        <w:rPr>
          <w:rFonts w:hint="eastAsia"/>
        </w:rPr>
        <w:t>边界条件</w:t>
      </w:r>
      <w:r>
        <w:tab/>
      </w:r>
      <w:r>
        <w:fldChar w:fldCharType="begin"/>
      </w:r>
      <w:r>
        <w:instrText xml:space="preserve"> PAGEREF _Toc31329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_Toc6232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_Toc6232 \h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_Toc28097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_Toc28097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_Toc20749 </w:instrText>
      </w:r>
      <w:r>
        <w:fldChar w:fldCharType="separate"/>
      </w:r>
      <w:r>
        <w:rPr>
          <w:rFonts w:hint="eastAsia"/>
          <w:lang w:val="en-GB"/>
        </w:rPr>
        <w:t xml:space="preserve">4.4 </w:t>
      </w:r>
      <w:r>
        <w:rPr>
          <w:rFonts w:hint="eastAsia"/>
        </w:rPr>
        <w:t>湍流模型</w:t>
      </w:r>
      <w:r>
        <w:tab/>
      </w:r>
      <w:r>
        <w:fldChar w:fldCharType="begin"/>
      </w:r>
      <w:r>
        <w:instrText xml:space="preserve"> PAGEREF _Toc20749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_Toc26691 </w:instrText>
      </w:r>
      <w:r>
        <w:fldChar w:fldCharType="separate"/>
      </w:r>
      <w:r>
        <w:rPr>
          <w:rFonts w:hint="eastAsia"/>
          <w:lang w:val="en-GB"/>
        </w:rPr>
        <w:t xml:space="preserve">4.5 </w:t>
      </w:r>
      <w:r>
        <w:rPr>
          <w:rFonts w:hint="eastAsia"/>
        </w:rPr>
        <w:t>求解计算</w:t>
      </w:r>
      <w:r>
        <w:tab/>
      </w:r>
      <w:r>
        <w:fldChar w:fldCharType="begin"/>
      </w:r>
      <w:r>
        <w:instrText xml:space="preserve"> PAGEREF _Toc26691 \h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_Toc23618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_Toc23618 \h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_Toc27426 </w:instrText>
      </w:r>
      <w:r>
        <w:fldChar w:fldCharType="separate"/>
      </w:r>
      <w:r>
        <w:rPr>
          <w:rFonts w:hint="eastAsia"/>
        </w:rPr>
        <w:t>5 结果</w:t>
      </w:r>
      <w:r>
        <w:t>分析</w:t>
      </w:r>
      <w:r>
        <w:tab/>
      </w:r>
      <w:r>
        <w:fldChar w:fldCharType="begin"/>
      </w:r>
      <w:r>
        <w:instrText xml:space="preserve"> PAGEREF _Toc27426 \h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_Toc25498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_Toc25498 \h </w:instrText>
      </w:r>
      <w:r>
        <w:fldChar w:fldCharType="separate"/>
      </w:r>
      <w:r>
        <w:t>13</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_Toc21950 </w:instrText>
      </w:r>
      <w:r>
        <w:fldChar w:fldCharType="separate"/>
      </w:r>
      <w:r>
        <w:rPr>
          <w:rFonts w:hint="eastAsia"/>
          <w:lang w:val="en-GB"/>
        </w:rPr>
        <w:t xml:space="preserve">5.2 </w:t>
      </w:r>
      <w:r>
        <w:rPr>
          <w:rFonts w:hint="eastAsia"/>
        </w:rPr>
        <w:t>冬季工况</w:t>
      </w:r>
      <w:r>
        <w:tab/>
      </w:r>
      <w:r>
        <w:fldChar w:fldCharType="begin"/>
      </w:r>
      <w:r>
        <w:instrText xml:space="preserve"> PAGEREF _Toc21950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_Toc5340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_Toc5340 \h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_Toc24144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_Toc24144 \h </w:instrText>
      </w:r>
      <w:r>
        <w:fldChar w:fldCharType="separate"/>
      </w:r>
      <w:r>
        <w:t>14</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_Toc22328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_Toc22328 \h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_Toc28581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_Toc28581 \h </w:instrText>
      </w:r>
      <w:r>
        <w:fldChar w:fldCharType="separate"/>
      </w:r>
      <w:r>
        <w:t>15</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_Toc21537 </w:instrText>
      </w:r>
      <w:r>
        <w:fldChar w:fldCharType="separate"/>
      </w:r>
      <w:r>
        <w:rPr>
          <w:rFonts w:hint="eastAsia"/>
          <w:lang w:val="en-GB"/>
        </w:rPr>
        <w:t xml:space="preserve">5.3 </w:t>
      </w:r>
      <w:r>
        <w:rPr>
          <w:rFonts w:hint="eastAsia"/>
        </w:rPr>
        <w:t>结论</w:t>
      </w:r>
      <w:r>
        <w:tab/>
      </w:r>
      <w:r>
        <w:fldChar w:fldCharType="begin"/>
      </w:r>
      <w:r>
        <w:instrText xml:space="preserve"> PAGEREF _Toc21537 \h </w:instrText>
      </w:r>
      <w:r>
        <w:fldChar w:fldCharType="separate"/>
      </w:r>
      <w:r>
        <w:t>17</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_Toc14291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_Toc14291 \h </w:instrText>
      </w:r>
      <w:r>
        <w:fldChar w:fldCharType="separate"/>
      </w:r>
      <w:r>
        <w:t>17</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452108759"/>
      <w:bookmarkStart w:id="9" w:name="_Toc11139"/>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452108760"/>
      <w:bookmarkStart w:id="12" w:name="_Toc13056"/>
      <w:r>
        <w:rPr>
          <w:rFonts w:hint="eastAsia"/>
        </w:rPr>
        <w:t>总</w:t>
      </w:r>
      <w:r>
        <w:t>平面图</w:t>
      </w:r>
      <w:bookmarkEnd w:id="11"/>
      <w:bookmarkEnd w:id="1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3" w:name="总平面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3"/>
    </w:tbl>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5667375" cy="34766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452108761"/>
      <w:bookmarkStart w:id="16" w:name="_Toc3309"/>
      <w:r>
        <w:rPr>
          <w:rFonts w:hint="eastAsia"/>
        </w:rPr>
        <w:t>三</w:t>
      </w:r>
      <w:r>
        <w:t>维视图</w:t>
      </w:r>
      <w:bookmarkEnd w:id="15"/>
      <w:bookmarkEnd w:id="1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993"/>
        <w:gridCol w:w="993"/>
        <w:gridCol w:w="99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4040E7"/>
          </w:tcPr>
          <w:p>
            <w:pPr>
              <w:pStyle w:val="3"/>
              <w:spacing w:line="400" w:lineRule="exact"/>
              <w:ind w:firstLine="0" w:firstLineChars="0"/>
              <w:rPr>
                <w:lang w:val="en-US"/>
              </w:rPr>
            </w:pPr>
            <w:bookmarkStart w:id="17" w:name="三维视图图例表"/>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tc>
        <w:tc>
          <w:tcPr>
            <w:tcW w:w="993" w:type="dxa"/>
            <w:tcBorders>
              <w:top w:val="single" w:color="auto" w:sz="4" w:space="0"/>
              <w:left w:val="single" w:color="auto" w:sz="4" w:space="0"/>
              <w:bottom w:val="single" w:color="auto" w:sz="4" w:space="0"/>
              <w:right w:val="single" w:color="auto" w:sz="4" w:space="0"/>
            </w:tcBorders>
            <w:shd w:val="clear" w:color="auto" w:fill="E6AE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E7"/>
          </w:tcPr>
          <w:p>
            <w:pPr>
              <w:pStyle w:val="3"/>
              <w:spacing w:line="400" w:lineRule="exact"/>
              <w:ind w:firstLine="0" w:firstLineChars="0"/>
              <w:rPr>
                <w:lang w:val="en-US"/>
              </w:rPr>
            </w:pPr>
          </w:p>
        </w:tc>
        <w:tc>
          <w:tcPr>
            <w:tcW w:w="1134"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tc>
        <w:tc>
          <w:tcPr>
            <w:tcW w:w="993" w:type="dxa"/>
            <w:tcBorders>
              <w:top w:val="single" w:color="auto" w:sz="4" w:space="0"/>
              <w:left w:val="single" w:color="auto" w:sz="4" w:space="0"/>
              <w:bottom w:val="single" w:color="auto" w:sz="4" w:space="0"/>
              <w:right w:val="single" w:color="auto" w:sz="4" w:space="0"/>
            </w:tcBorders>
            <w:shd w:val="clear" w:color="auto" w:fill="AECAFF"/>
          </w:tcPr>
          <w:p>
            <w:pPr>
              <w:pStyle w:val="3"/>
              <w:spacing w:line="400" w:lineRule="exact"/>
              <w:ind w:firstLine="0" w:firstLineChars="0"/>
              <w:rPr>
                <w:lang w:val="en-US"/>
              </w:rPr>
            </w:pP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tc>
        <w:tc>
          <w:tcPr>
            <w:tcW w:w="993"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p>
        </w:tc>
        <w:tc>
          <w:tcPr>
            <w:tcW w:w="1412"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tc>
      </w:tr>
      <w:bookmarkEnd w:id="17"/>
    </w:tbl>
    <w:p>
      <w:pPr>
        <w:pStyle w:val="3"/>
        <w:ind w:firstLine="0" w:firstLineChars="0"/>
        <w:jc w:val="center"/>
        <w:rPr>
          <w:lang w:val="en-US"/>
        </w:rPr>
      </w:pPr>
      <w:r>
        <w:rPr>
          <w:rFonts w:hint="eastAsia"/>
          <w:lang w:val="en-US"/>
        </w:rPr>
        <w:t xml:space="preserve"> </w:t>
      </w:r>
      <w:bookmarkStart w:id="18" w:name="三维视图"/>
      <w:bookmarkEnd w:id="18"/>
      <w: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1"/>
                    <a:stretch>
                      <a:fillRect/>
                    </a:stretch>
                  </pic:blipFill>
                  <pic:spPr>
                    <a:xfrm>
                      <a:off x="0" y="0"/>
                      <a:ext cx="5667375" cy="34861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9" w:name="_Toc452108762"/>
      <w:bookmarkStart w:id="20" w:name="TitleFormat"/>
      <w:bookmarkStart w:id="21" w:name="_Toc31270"/>
      <w:r>
        <w:rPr>
          <w:rFonts w:hint="eastAsia"/>
        </w:rPr>
        <w:t>计算</w:t>
      </w:r>
      <w:r>
        <w:t>依据</w:t>
      </w:r>
      <w:bookmarkEnd w:id="19"/>
      <w:bookmarkEnd w:id="20"/>
      <w:bookmarkEnd w:id="21"/>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2" w:name="参考标准名称1"/>
      <w:r>
        <w:rPr>
          <w:rFonts w:hint="eastAsia"/>
          <w:lang w:val="en-US"/>
        </w:rPr>
        <w:t>《绿色建筑评价标准》GB/T50378-2019</w:t>
      </w:r>
      <w:bookmarkEnd w:id="22"/>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3" w:name="_Toc452108763"/>
      <w:bookmarkStart w:id="24" w:name="_Toc7404"/>
      <w:r>
        <w:rPr>
          <w:rFonts w:hint="eastAsia"/>
        </w:rPr>
        <w:t>参考</w:t>
      </w:r>
      <w:r>
        <w:t>标准</w:t>
      </w:r>
      <w:bookmarkEnd w:id="23"/>
      <w:bookmarkEnd w:id="24"/>
    </w:p>
    <w:p>
      <w:pPr>
        <w:pStyle w:val="3"/>
        <w:ind w:firstLine="420"/>
        <w:rPr>
          <w:lang w:val="en-US"/>
        </w:rPr>
      </w:pPr>
      <w:r>
        <w:rPr>
          <w:rFonts w:hint="eastAsia"/>
          <w:lang w:val="en-US"/>
        </w:rPr>
        <w:t>室外风环境评价依据为</w:t>
      </w:r>
      <w:bookmarkStart w:id="25" w:name="参考标准名称2"/>
      <w:r>
        <w:rPr>
          <w:rFonts w:hint="eastAsia"/>
          <w:lang w:val="en-US"/>
        </w:rPr>
        <w:t>《绿色建筑评价标准》GB/T50378-2019</w:t>
      </w:r>
      <w:bookmarkEnd w:id="25"/>
      <w:r>
        <w:rPr>
          <w:rFonts w:hint="eastAsia"/>
          <w:lang w:val="en-US"/>
        </w:rPr>
        <w:t>中有关室外风环境的条目要求。具体要求如下：</w:t>
      </w:r>
    </w:p>
    <w:p>
      <w:pPr>
        <w:pStyle w:val="3"/>
        <w:ind w:firstLine="420"/>
        <w:rPr>
          <w:lang w:val="en-US"/>
        </w:rPr>
      </w:pPr>
      <w:bookmarkStart w:id="26" w:name="_Toc452108764"/>
      <w:bookmarkStart w:id="27" w:name="_Toc451698935"/>
      <w:bookmarkStart w:id="28"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29" w:name="参考标准冬季风速得分"/>
      <w:r>
        <w:rPr>
          <w:lang w:val="en-US"/>
        </w:rPr>
        <w:t>3</w:t>
      </w:r>
      <w:bookmarkEnd w:id="29"/>
      <w:r>
        <w:rPr>
          <w:rFonts w:hint="eastAsia"/>
          <w:lang w:val="en-US"/>
        </w:rPr>
        <w:t>分；除迎风第一排建筑外，建筑迎风面与背风面表面风压差不超过5Pa，得</w:t>
      </w:r>
      <w:bookmarkStart w:id="30" w:name="参考标准冬季风压得分"/>
      <w:r>
        <w:rPr>
          <w:lang w:val="en-US"/>
        </w:rPr>
        <w:t>2</w:t>
      </w:r>
      <w:bookmarkEnd w:id="30"/>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1" w:name="参考标准夏季风速得分"/>
      <w:r>
        <w:rPr>
          <w:lang w:val="en-US"/>
        </w:rPr>
        <w:t>3</w:t>
      </w:r>
      <w:bookmarkEnd w:id="31"/>
      <w:r>
        <w:rPr>
          <w:rFonts w:hint="eastAsia"/>
          <w:lang w:val="en-US"/>
        </w:rPr>
        <w:t>分；50%以上可开启外窗室内外表面的风压差大于0.5Pa，得</w:t>
      </w:r>
      <w:bookmarkStart w:id="32" w:name="参考标准夏季风压得分"/>
      <w:r>
        <w:rPr>
          <w:lang w:val="en-US"/>
        </w:rPr>
        <w:t>2</w:t>
      </w:r>
      <w:bookmarkEnd w:id="32"/>
      <w:r>
        <w:rPr>
          <w:rFonts w:hint="eastAsia"/>
          <w:lang w:val="en-US"/>
        </w:rPr>
        <w:t>分。</w:t>
      </w:r>
    </w:p>
    <w:p>
      <w:pPr>
        <w:pStyle w:val="2"/>
      </w:pPr>
      <w:bookmarkStart w:id="33" w:name="_Toc8955"/>
      <w:r>
        <w:rPr>
          <w:rFonts w:hint="eastAsia"/>
        </w:rPr>
        <w:t>计算原理</w:t>
      </w:r>
      <w:bookmarkEnd w:id="26"/>
      <w:bookmarkEnd w:id="27"/>
      <w:bookmarkEnd w:id="33"/>
    </w:p>
    <w:p>
      <w:pPr>
        <w:pStyle w:val="4"/>
        <w:numPr>
          <w:ilvl w:val="1"/>
          <w:numId w:val="3"/>
        </w:numPr>
      </w:pPr>
      <w:bookmarkStart w:id="34" w:name="_Toc509844740"/>
      <w:bookmarkStart w:id="35" w:name="_Toc31898"/>
      <w:bookmarkStart w:id="36" w:name="_Toc451698937"/>
      <w:bookmarkStart w:id="37" w:name="_Toc452108765"/>
      <w:r>
        <w:rPr>
          <w:rFonts w:hint="eastAsia"/>
        </w:rPr>
        <w:t>风场计算域</w:t>
      </w:r>
      <w:bookmarkEnd w:id="34"/>
      <w:bookmarkEnd w:id="35"/>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8" w:name="季节1"/>
      <w:bookmarkStart w:id="39" w:name="_Toc18312"/>
      <w:r>
        <w:rPr>
          <w:rFonts w:hint="eastAsia"/>
        </w:rPr>
        <w:t>冬季</w:t>
      </w:r>
      <w:bookmarkEnd w:id="38"/>
      <w:r>
        <w:rPr>
          <w:rFonts w:hint="eastAsia"/>
        </w:rPr>
        <w:t>工况风场计算域</w:t>
      </w:r>
      <w:bookmarkEnd w:id="39"/>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0" w:name="季节2"/>
      <w:r>
        <w:rPr>
          <w:rFonts w:hint="eastAsia" w:ascii="黑体" w:hAnsi="黑体" w:eastAsia="黑体"/>
          <w:sz w:val="20"/>
          <w:szCs w:val="20"/>
        </w:rPr>
        <w:t>冬季</w:t>
      </w:r>
      <w:bookmarkEnd w:id="40"/>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1" w:name="冬季风场X尺寸"/>
            <w:r>
              <w:t>365</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2" w:name="冬季风场Y尺寸"/>
            <w:r>
              <w:t>372</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3" w:name="冬季风场Z尺寸"/>
            <w:r>
              <w:t>149</w:t>
            </w:r>
            <w:bookmarkEnd w:id="43"/>
          </w:p>
        </w:tc>
      </w:tr>
    </w:tbl>
    <w:p>
      <w:pPr>
        <w:pStyle w:val="3"/>
        <w:ind w:firstLine="0" w:firstLineChars="0"/>
        <w:jc w:val="center"/>
        <w:rPr>
          <w:lang w:val="en-US"/>
        </w:rPr>
      </w:pPr>
      <w:bookmarkStart w:id="44" w:name="冬季工况风场计算域图示"/>
      <w:bookmarkEnd w:id="44"/>
      <w:r>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w:t>
      </w:r>
      <w:bookmarkStart w:id="45" w:name="季节3"/>
      <w:r>
        <w:rPr>
          <w:rFonts w:hint="eastAsia" w:ascii="黑体" w:hAnsi="黑体"/>
        </w:rPr>
        <w:t>冬季</w:t>
      </w:r>
      <w:bookmarkEnd w:id="45"/>
      <w:r>
        <w:rPr>
          <w:rFonts w:hint="eastAsia"/>
        </w:rPr>
        <w:t>工况风场计算域图示</w:t>
      </w:r>
      <w:r>
        <w:rPr>
          <w:rFonts w:hint="eastAsia"/>
          <w:szCs w:val="21"/>
          <w:lang w:val="en-US"/>
        </w:rPr>
        <w:t xml:space="preserve"> </w:t>
      </w:r>
    </w:p>
    <w:p>
      <w:pPr>
        <w:pStyle w:val="3"/>
        <w:ind w:firstLine="315" w:firstLineChars="150"/>
        <w:rPr>
          <w:lang w:val="en-US"/>
        </w:rPr>
      </w:pPr>
      <w:bookmarkStart w:id="46"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7" w:name="_Toc509844741"/>
      <w:bookmarkStart w:id="48" w:name="_Toc19923"/>
      <w:r>
        <w:rPr>
          <w:rFonts w:hint="eastAsia"/>
        </w:rPr>
        <w:t>网格划分</w:t>
      </w:r>
      <w:bookmarkEnd w:id="47"/>
      <w:bookmarkEnd w:id="48"/>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9" w:name="OLE_LINK277"/>
      <w:bookmarkStart w:id="50" w:name="OLE_LINK276"/>
      <w:r>
        <w:rPr>
          <w:rFonts w:hint="eastAsia"/>
        </w:rPr>
        <w:t>1）普通网格：指除靠近地面和建筑以外的网格，通常不需要特别加密处理</w:t>
      </w:r>
    </w:p>
    <w:p>
      <w:pPr>
        <w:pStyle w:val="12"/>
        <w:numPr>
          <w:ilvl w:val="0"/>
          <w:numId w:val="4"/>
        </w:numPr>
        <w:spacing w:before="156"/>
      </w:pPr>
      <w:bookmarkStart w:id="51" w:name="OLE_LINK15"/>
      <w:r>
        <w:rPr>
          <w:rFonts w:hint="eastAsia"/>
        </w:rPr>
        <w:t>分弧精度：对于有圆弧特征的建筑局部，把圆弧分解为线段时，弦到弧的最大距离；</w:t>
      </w:r>
    </w:p>
    <w:bookmarkEnd w:id="51"/>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9"/>
      <w:bookmarkEnd w:id="50"/>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2" w:name="冬季网格总数"/>
            <w:r>
              <w:t>398160</w:t>
            </w:r>
            <w:bookmarkEnd w:id="52"/>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3" w:name="冬季分弧精度"/>
            <w:r>
              <w:t>0.24</w:t>
            </w:r>
            <w:bookmarkEnd w:id="5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4" w:name="冬季初始网格"/>
            <w:r>
              <w:t>8.0</w:t>
            </w:r>
            <w:bookmarkEnd w:id="5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最小细分级数"/>
            <w:r>
              <w:t>1</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最大细分级数"/>
            <w:r>
              <w:t>2</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远场细分级数"/>
            <w:r>
              <w:t>1</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近场细分级数"/>
            <w:r>
              <w:t>2</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地面附面层数"/>
            <w:r>
              <w:t>2</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建筑附面层数"/>
            <w:r>
              <w:t>0</w:t>
            </w:r>
            <w:bookmarkEnd w:id="60"/>
          </w:p>
        </w:tc>
      </w:tr>
      <w:bookmarkEnd w:id="0"/>
      <w:bookmarkEnd w:id="1"/>
      <w:bookmarkEnd w:id="2"/>
    </w:tbl>
    <w:p>
      <w:pPr>
        <w:rPr>
          <w:szCs w:val="21"/>
          <w:lang w:val="en-US"/>
        </w:rPr>
      </w:pPr>
    </w:p>
    <w:p>
      <w:pPr>
        <w:jc w:val="center"/>
      </w:pPr>
      <w:bookmarkStart w:id="61" w:name="网格图"/>
      <w:bookmarkEnd w:id="61"/>
      <w:r>
        <w:drawing>
          <wp:inline distT="0" distB="0" distL="0" distR="0">
            <wp:extent cx="5667375" cy="33718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5667375" cy="3371850"/>
                    </a:xfrm>
                    <a:prstGeom prst="rect">
                      <a:avLst/>
                    </a:prstGeom>
                  </pic:spPr>
                </pic:pic>
              </a:graphicData>
            </a:graphic>
          </wp:inline>
        </w:drawing>
      </w:r>
    </w:p>
    <w:p>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2" w:name="季节"/>
      <w:r>
        <w:rPr>
          <w:rFonts w:hint="eastAsia" w:ascii="黑体" w:hAnsi="黑体" w:eastAsia="黑体"/>
          <w:sz w:val="20"/>
          <w:szCs w:val="20"/>
        </w:rPr>
        <w:t>冬季</w:t>
      </w:r>
      <w:bookmarkEnd w:id="62"/>
    </w:p>
    <w:p>
      <w:pPr>
        <w:pStyle w:val="3"/>
        <w:ind w:firstLine="630" w:firstLineChars="300"/>
        <w:rPr>
          <w:rFonts w:ascii="黑体" w:hAnsi="黑体" w:eastAsia="黑体"/>
          <w:szCs w:val="20"/>
          <w:lang w:val="en-US"/>
        </w:rPr>
      </w:pPr>
      <w:bookmarkStart w:id="63" w:name="网格划分信息"/>
      <w:bookmarkEnd w:id="63"/>
      <w:r>
        <w:rPr>
          <w:rFonts w:hint="eastAsia" w:ascii="黑体" w:hAnsi="黑体" w:eastAsia="黑体"/>
          <w:szCs w:val="20"/>
          <w:lang w:val="en-US"/>
        </w:rPr>
        <w:t>注：前述计算域随风向不同，所以相同的网格方案会产生不同的网格数量。</w:t>
      </w:r>
    </w:p>
    <w:bookmarkEnd w:id="46"/>
    <w:p>
      <w:pPr>
        <w:pStyle w:val="3"/>
        <w:ind w:firstLine="0" w:firstLineChars="0"/>
        <w:rPr>
          <w:rFonts w:ascii="黑体" w:hAnsi="黑体" w:eastAsia="黑体"/>
          <w:szCs w:val="20"/>
          <w:lang w:val="en-US"/>
        </w:rPr>
      </w:pPr>
    </w:p>
    <w:p>
      <w:pPr>
        <w:pStyle w:val="4"/>
        <w:numPr>
          <w:ilvl w:val="1"/>
          <w:numId w:val="3"/>
        </w:numPr>
      </w:pPr>
      <w:bookmarkStart w:id="64" w:name="_Toc509844742"/>
      <w:bookmarkStart w:id="65" w:name="_Toc31329"/>
      <w:r>
        <w:rPr>
          <w:rFonts w:hint="eastAsia"/>
        </w:rPr>
        <w:t>边界条件</w:t>
      </w:r>
      <w:bookmarkEnd w:id="64"/>
      <w:bookmarkEnd w:id="65"/>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6" w:name="_Toc509844743"/>
      <w:bookmarkStart w:id="67" w:name="_Toc6232"/>
      <w:r>
        <w:rPr>
          <w:rFonts w:hint="eastAsia"/>
        </w:rPr>
        <w:t>入口与出口边界条件</w:t>
      </w:r>
      <w:bookmarkEnd w:id="66"/>
      <w:bookmarkEnd w:id="67"/>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8" w:name="地面粗糙度指数2"/>
      <w:r>
        <w:rPr>
          <w:rFonts w:hint="eastAsia"/>
          <w:lang w:val="en-US"/>
        </w:rPr>
        <w:t>0.28</w:t>
      </w:r>
      <w:bookmarkEnd w:id="68"/>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69" w:name="_Toc509844744"/>
      <w:bookmarkStart w:id="70" w:name="_Toc28097"/>
      <w:r>
        <w:rPr>
          <w:rFonts w:hint="eastAsia"/>
        </w:rPr>
        <w:t>壁面边界条件</w:t>
      </w:r>
      <w:bookmarkEnd w:id="69"/>
      <w:bookmarkEnd w:id="70"/>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1" w:name="_Toc20749"/>
      <w:r>
        <w:rPr>
          <w:rFonts w:hint="eastAsia"/>
        </w:rPr>
        <w:t>湍流模型</w:t>
      </w:r>
      <w:bookmarkEnd w:id="36"/>
      <w:bookmarkEnd w:id="37"/>
      <w:bookmarkEnd w:id="71"/>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2" w:name="_Toc451698939"/>
      <w:bookmarkStart w:id="73" w:name="_Toc452108767"/>
      <w:bookmarkStart w:id="74" w:name="_Toc26691"/>
      <w:r>
        <w:rPr>
          <w:rFonts w:hint="eastAsia"/>
        </w:rPr>
        <w:t>求解计算</w:t>
      </w:r>
      <w:bookmarkEnd w:id="72"/>
      <w:bookmarkEnd w:id="73"/>
      <w:bookmarkEnd w:id="74"/>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5"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5"/>
      <w:r>
        <w:rPr>
          <w:rFonts w:hint="eastAsia" w:ascii="黑体" w:hAnsi="黑体" w:eastAsia="黑体"/>
          <w:sz w:val="20"/>
          <w:szCs w:val="20"/>
        </w:rPr>
        <w:t xml:space="preserve"> </w:t>
      </w:r>
      <w:bookmarkStart w:id="76" w:name="_Ref225175618"/>
      <w:r>
        <w:rPr>
          <w:rFonts w:hint="eastAsia" w:ascii="黑体" w:hAnsi="黑体" w:eastAsia="黑体"/>
          <w:sz w:val="20"/>
          <w:szCs w:val="20"/>
        </w:rPr>
        <w:t>计算流体力学的控制方程</w:t>
      </w:r>
      <w:bookmarkEnd w:id="76"/>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8"/>
    </w:p>
    <w:p>
      <w:pPr>
        <w:pStyle w:val="4"/>
      </w:pPr>
      <w:bookmarkStart w:id="77" w:name="_Toc509844747"/>
      <w:bookmarkStart w:id="78" w:name="_Toc23618"/>
      <w:r>
        <w:rPr>
          <w:rFonts w:hint="eastAsia"/>
        </w:rPr>
        <w:t>风速放大系数计算</w:t>
      </w:r>
      <w:bookmarkEnd w:id="77"/>
      <w:bookmarkEnd w:id="78"/>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79" w:name="地面粗糙度指数"/>
      <w:r>
        <w:rPr>
          <w:rFonts w:hint="eastAsia"/>
          <w:lang w:val="en-US"/>
        </w:rPr>
        <w:t>0.28</w:t>
      </w:r>
      <w:bookmarkEnd w:id="79"/>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0" w:name="_Toc452108768"/>
      <w:bookmarkStart w:id="81" w:name="_Toc27426"/>
      <w:r>
        <w:rPr>
          <w:rFonts w:hint="eastAsia"/>
        </w:rPr>
        <w:t>结果</w:t>
      </w:r>
      <w:r>
        <w:t>分析</w:t>
      </w:r>
      <w:bookmarkEnd w:id="80"/>
      <w:bookmarkEnd w:id="81"/>
    </w:p>
    <w:p>
      <w:pPr>
        <w:pStyle w:val="4"/>
        <w:rPr>
          <w:szCs w:val="21"/>
        </w:rPr>
      </w:pPr>
      <w:bookmarkStart w:id="82" w:name="_Toc25498"/>
      <w:r>
        <w:rPr>
          <w:rFonts w:hint="eastAsia"/>
          <w:szCs w:val="21"/>
        </w:rPr>
        <w:t>工况</w:t>
      </w:r>
      <w:r>
        <w:rPr>
          <w:szCs w:val="21"/>
        </w:rPr>
        <w:t>表</w:t>
      </w:r>
      <w:bookmarkEnd w:id="82"/>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3"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4.70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90.0</w:t>
            </w:r>
          </w:p>
        </w:tc>
      </w:tr>
      <w:bookmarkEnd w:id="83"/>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84" w:name="_Toc509844750"/>
      <w:bookmarkStart w:id="85" w:name="_Toc21950"/>
      <w:r>
        <w:rPr>
          <w:rFonts w:hint="eastAsia"/>
        </w:rPr>
        <w:t>冬季工况</w:t>
      </w:r>
      <w:bookmarkEnd w:id="84"/>
      <w:bookmarkEnd w:id="85"/>
    </w:p>
    <w:p>
      <w:pPr>
        <w:ind w:firstLine="420" w:firstLineChars="200"/>
        <w:jc w:val="both"/>
      </w:pPr>
      <w:r>
        <w:rPr>
          <w:rFonts w:hint="eastAsia"/>
          <w:lang w:val="en-US"/>
        </w:rPr>
        <w:t>本项目冬季工况的入口边界风速为</w:t>
      </w:r>
      <w:bookmarkStart w:id="86" w:name="冬季入口边界风速"/>
      <w:r>
        <w:rPr>
          <w:rFonts w:hint="eastAsia" w:ascii="Calibri" w:hAnsi="Calibri"/>
          <w:szCs w:val="21"/>
        </w:rPr>
        <w:t>4.70</w:t>
      </w:r>
      <w:bookmarkEnd w:id="86"/>
      <w:r>
        <w:rPr>
          <w:rFonts w:ascii="Calibri" w:hAnsi="Calibri"/>
          <w:szCs w:val="21"/>
        </w:rPr>
        <w:t>m/s</w:t>
      </w:r>
      <w:r>
        <w:rPr>
          <w:rFonts w:hint="eastAsia" w:ascii="Calibri" w:hAnsi="Calibri"/>
          <w:szCs w:val="21"/>
        </w:rPr>
        <w:t>，风向为</w:t>
      </w:r>
      <w:bookmarkStart w:id="87" w:name="冬季入口边界风向"/>
      <w:r>
        <w:rPr>
          <w:szCs w:val="21"/>
        </w:rPr>
        <w:t>N</w:t>
      </w:r>
      <w:bookmarkEnd w:id="87"/>
      <w:r>
        <w:rPr>
          <w:rFonts w:hint="eastAsia"/>
          <w:szCs w:val="21"/>
        </w:rPr>
        <w:t>。</w:t>
      </w:r>
    </w:p>
    <w:p>
      <w:pPr>
        <w:pStyle w:val="5"/>
      </w:pPr>
      <w:bookmarkStart w:id="88" w:name="_Toc509844751"/>
      <w:bookmarkStart w:id="89" w:name="_Toc5340"/>
      <w:r>
        <w:rPr>
          <w:rFonts w:hint="eastAsia"/>
        </w:rPr>
        <w:t>风速达标分析</w:t>
      </w:r>
      <w:bookmarkEnd w:id="88"/>
      <w:bookmarkEnd w:id="89"/>
      <w:r>
        <w:rPr>
          <w:rFonts w:hint="eastAsia"/>
        </w:rPr>
        <w:t xml:space="preserve"> </w:t>
      </w:r>
    </w:p>
    <w:p>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pPr>
        <w:pStyle w:val="3"/>
        <w:ind w:firstLine="420"/>
        <w:rPr>
          <w:lang w:val="en-US"/>
        </w:rPr>
      </w:pPr>
      <w:r>
        <w:rPr>
          <w:rFonts w:hint="eastAsia"/>
          <w:lang w:val="en-US"/>
        </w:rPr>
        <w:t>分析下列图数据，</w:t>
      </w:r>
      <w:bookmarkStart w:id="90" w:name="冬季工况人行区风速分析结论"/>
      <w:bookmarkEnd w:id="90"/>
      <w:r>
        <w:rPr>
          <w:lang w:val="en-US"/>
        </w:rPr>
        <w:t>未标示出超标区域，可知人行区域风速小于5m/s，</w:t>
      </w:r>
      <w:r>
        <w:rPr>
          <w:color w:val="0000FF"/>
          <w:lang w:val="en-US"/>
        </w:rPr>
        <w:t>满足</w:t>
      </w:r>
      <w:r>
        <w:rPr>
          <w:lang w:val="en-US"/>
        </w:rPr>
        <w:t>绿标要求。</w:t>
      </w:r>
    </w:p>
    <w:p>
      <w:pPr>
        <w:pStyle w:val="3"/>
        <w:ind w:left="-6" w:leftChars="-3" w:firstLine="4" w:firstLineChars="2"/>
        <w:jc w:val="center"/>
        <w:rPr>
          <w:rFonts w:ascii="Calibri Light" w:hAnsi="Calibri Light" w:eastAsia="黑体"/>
          <w:sz w:val="20"/>
          <w:szCs w:val="20"/>
        </w:rPr>
      </w:pPr>
      <w:bookmarkStart w:id="91" w:name="冬季工况人行区风速云图"/>
      <w:bookmarkEnd w:id="91"/>
      <w:r>
        <w:drawing>
          <wp:inline distT="0" distB="0" distL="0" distR="0">
            <wp:extent cx="5667375" cy="2952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0"/>
                    <a:stretch>
                      <a:fillRect/>
                    </a:stretch>
                  </pic:blipFill>
                  <pic:spPr>
                    <a:xfrm>
                      <a:off x="0" y="0"/>
                      <a:ext cx="5667375" cy="29527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pPr>
        <w:pStyle w:val="3"/>
        <w:ind w:firstLine="420"/>
        <w:rPr>
          <w:lang w:val="en-US"/>
        </w:rPr>
      </w:pPr>
    </w:p>
    <w:p>
      <w:pPr>
        <w:pStyle w:val="5"/>
      </w:pPr>
      <w:bookmarkStart w:id="92" w:name="_Toc509844752"/>
      <w:bookmarkStart w:id="93" w:name="_Toc24144"/>
      <w:r>
        <w:rPr>
          <w:rFonts w:hint="eastAsia"/>
        </w:rPr>
        <w:t>风速放大系数达标分析</w:t>
      </w:r>
      <w:bookmarkEnd w:id="92"/>
      <w:bookmarkEnd w:id="93"/>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4" w:name="冬季工况人行区风速放大系数分析结论"/>
      <w:bookmarkEnd w:id="94"/>
      <w:r>
        <w:rPr>
          <w:lang w:val="en-US"/>
        </w:rPr>
        <w:t>图中未标示出风速放大系数超标区域，因此可知人行区域风速放大系数小于2，</w:t>
      </w:r>
      <w:r>
        <w:rPr>
          <w:color w:val="0000FF"/>
          <w:lang w:val="en-US"/>
        </w:rPr>
        <w:t>满足</w:t>
      </w:r>
      <w:r>
        <w:rPr>
          <w:lang w:val="en-US"/>
        </w:rPr>
        <w:t>绿标要求。</w:t>
      </w:r>
    </w:p>
    <w:p>
      <w:pPr>
        <w:pStyle w:val="13"/>
        <w:jc w:val="center"/>
      </w:pPr>
      <w:bookmarkStart w:id="95" w:name="冬季工况人行区风速放大系数云图"/>
      <w:bookmarkEnd w:id="95"/>
      <w:r>
        <w:drawing>
          <wp:inline distT="0" distB="0" distL="0" distR="0">
            <wp:extent cx="5667375" cy="29146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1"/>
                    <a:stretch>
                      <a:fillRect/>
                    </a:stretch>
                  </pic:blipFill>
                  <pic:spPr>
                    <a:xfrm>
                      <a:off x="0" y="0"/>
                      <a:ext cx="5667375" cy="291465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rPr>
        <w:t>计算域内-1.5米高处风速放大系数云图</w:t>
      </w:r>
    </w:p>
    <w:p>
      <w:pPr>
        <w:pStyle w:val="3"/>
        <w:ind w:firstLine="420"/>
        <w:rPr>
          <w:rFonts w:hint="eastAsia"/>
          <w:lang w:val="en-US"/>
        </w:rPr>
      </w:pP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96" w:name="_Toc509844754"/>
      <w:bookmarkEnd w:id="96"/>
      <w:bookmarkStart w:id="97" w:name="_Toc509844755"/>
      <w:bookmarkEnd w:id="97"/>
      <w:bookmarkStart w:id="98" w:name="_Toc509844756"/>
      <w:bookmarkEnd w:id="98"/>
      <w:bookmarkStart w:id="99" w:name="_Toc509844757"/>
      <w:bookmarkEnd w:id="99"/>
    </w:p>
    <w:p>
      <w:pPr>
        <w:pStyle w:val="3"/>
        <w:ind w:firstLine="420"/>
        <w:rPr>
          <w:lang w:val="en-US"/>
        </w:rPr>
      </w:pPr>
    </w:p>
    <w:p>
      <w:pPr>
        <w:pStyle w:val="5"/>
      </w:pPr>
      <w:bookmarkStart w:id="100" w:name="_Toc509844753"/>
      <w:bookmarkStart w:id="101" w:name="_Toc22328"/>
      <w:r>
        <w:rPr>
          <w:rFonts w:hint="eastAsia"/>
        </w:rPr>
        <w:t>冬季工况风速/风速放大系数达标</w:t>
      </w:r>
      <w:bookmarkEnd w:id="100"/>
      <w:r>
        <w:rPr>
          <w:rFonts w:hint="eastAsia"/>
        </w:rPr>
        <w:t>结果汇总</w:t>
      </w:r>
      <w:bookmarkEnd w:id="101"/>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2" w:name="冬季工况风速是否有超限区域"/>
            <w:r>
              <w:rPr>
                <w:rFonts w:hint="eastAsia" w:ascii="宋体" w:hAnsi="宋体" w:cs="宋体"/>
                <w:color w:val="000000"/>
                <w:sz w:val="22"/>
                <w:szCs w:val="22"/>
                <w:lang w:val="en-US"/>
              </w:rPr>
              <w:t>否</w:t>
            </w:r>
            <w:bookmarkEnd w:id="102"/>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3" w:name="冬季工况风速达标判断"/>
            <w:r>
              <w:rPr>
                <w:rFonts w:hint="eastAsia" w:ascii="宋体" w:hAnsi="宋体" w:cs="宋体"/>
                <w:color w:val="000000"/>
                <w:sz w:val="22"/>
                <w:szCs w:val="22"/>
                <w:lang w:val="en-US"/>
              </w:rPr>
              <w:t>是</w:t>
            </w:r>
            <w:bookmarkEnd w:id="103"/>
          </w:p>
        </w:tc>
      </w:tr>
      <w:tr>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ind w:firstLine="220" w:firstLineChars="100"/>
              <w:rPr>
                <w:rFonts w:ascii="宋体" w:hAnsi="宋体" w:cs="宋体"/>
                <w:color w:val="000000"/>
                <w:sz w:val="22"/>
                <w:szCs w:val="22"/>
                <w:lang w:val="en-US"/>
              </w:rPr>
            </w:pPr>
            <w:bookmarkStart w:id="104" w:name="冬季工况风速放大系数是否有超限区域"/>
            <w:r>
              <w:rPr>
                <w:rFonts w:hint="eastAsia" w:ascii="宋体" w:hAnsi="宋体" w:cs="宋体"/>
                <w:color w:val="000000"/>
                <w:sz w:val="22"/>
                <w:szCs w:val="22"/>
                <w:lang w:val="en-US"/>
              </w:rPr>
              <w:t>否</w:t>
            </w:r>
            <w:bookmarkEnd w:id="104"/>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105" w:name="冬季工况风速放大系数达标判断"/>
            <w:r>
              <w:rPr>
                <w:rFonts w:hint="eastAsia" w:ascii="宋体" w:hAnsi="宋体" w:cs="宋体"/>
                <w:color w:val="000000"/>
                <w:sz w:val="22"/>
                <w:szCs w:val="22"/>
                <w:lang w:val="en-US"/>
              </w:rPr>
              <w:t>是</w:t>
            </w:r>
            <w:bookmarkEnd w:id="105"/>
          </w:p>
        </w:tc>
      </w:tr>
    </w:tbl>
    <w:p/>
    <w:p>
      <w:pPr>
        <w:pStyle w:val="5"/>
      </w:pPr>
      <w:bookmarkStart w:id="106" w:name="_Toc28581"/>
      <w:r>
        <w:rPr>
          <w:rFonts w:hint="eastAsia"/>
        </w:rPr>
        <w:t>建筑迎风面和背风面风压分析</w:t>
      </w:r>
      <w:bookmarkEnd w:id="14"/>
      <w:bookmarkEnd w:id="106"/>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
                    <pic:cNvPicPr>
                      <a:picLocks noChangeAspect="1" noChangeArrowheads="1"/>
                    </pic:cNvPicPr>
                  </pic:nvPicPr>
                  <pic:blipFill>
                    <a:blip r:embed="rId72">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1.1</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107" w:name="冬季工况建筑迎风面风压云图"/>
      <w:bookmarkEnd w:id="107"/>
      <w:r>
        <w:drawing>
          <wp:inline distT="0" distB="0" distL="0" distR="0">
            <wp:extent cx="5667375" cy="31051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73"/>
                    <a:stretch>
                      <a:fillRect/>
                    </a:stretch>
                  </pic:blipFill>
                  <pic:spPr>
                    <a:xfrm>
                      <a:off x="0" y="0"/>
                      <a:ext cx="5667375" cy="3105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108" w:name="冬季工况建筑背风面风压云图"/>
      <w:bookmarkEnd w:id="108"/>
      <w:r>
        <w:drawing>
          <wp:inline distT="0" distB="0" distL="0" distR="0">
            <wp:extent cx="5667375" cy="31432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4"/>
                    <a:stretch>
                      <a:fillRect/>
                    </a:stretch>
                  </pic:blipFill>
                  <pic:spPr>
                    <a:xfrm>
                      <a:off x="0" y="0"/>
                      <a:ext cx="5667375" cy="31432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jc w:val="center"/>
        <w:rPr>
          <w:rFonts w:ascii="Cambria" w:hAnsi="Cambria" w:eastAsia="黑体"/>
          <w:sz w:val="20"/>
        </w:rPr>
      </w:pPr>
      <w:bookmarkStart w:id="109" w:name="建筑迎背风面风压差表_新增"/>
      <w:bookmarkEnd w:id="109"/>
      <w:bookmarkStart w:id="110" w:name="建筑迎背风面风压差表"/>
    </w:p>
    <w:bookmarkEnd w:id="110"/>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1.1</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1</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111"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3.73</w:t>
            </w:r>
          </w:p>
        </w:tc>
        <w:tc>
          <w:tcPr>
            <w:tcW w:w="1276" w:type="dxa"/>
            <w:shd w:val="clear" w:color="auto" w:fill="auto"/>
            <w:vAlign w:val="center"/>
          </w:tcPr>
          <w:p>
            <w:pPr>
              <w:jc w:val="center"/>
              <w:rPr>
                <w:lang w:val="en-US"/>
              </w:rPr>
            </w:pPr>
            <w:r>
              <w:rPr>
                <w:lang w:val="en-US"/>
              </w:rPr>
              <w:t>-9.58</w:t>
            </w:r>
          </w:p>
        </w:tc>
        <w:tc>
          <w:tcPr>
            <w:tcW w:w="1701" w:type="dxa"/>
            <w:shd w:val="clear" w:color="auto" w:fill="auto"/>
            <w:vAlign w:val="center"/>
          </w:tcPr>
          <w:p>
            <w:pPr>
              <w:jc w:val="center"/>
              <w:rPr>
                <w:lang w:val="en-US"/>
              </w:rPr>
            </w:pPr>
            <w:r>
              <w:rPr>
                <w:color w:val="FF0000"/>
                <w:lang w:val="en-US"/>
              </w:rPr>
              <w:t>13.31</w:t>
            </w:r>
          </w:p>
        </w:tc>
        <w:tc>
          <w:tcPr>
            <w:tcW w:w="973" w:type="dxa"/>
            <w:shd w:val="clear" w:color="auto" w:fill="auto"/>
            <w:vAlign w:val="center"/>
          </w:tcPr>
          <w:p>
            <w:pPr>
              <w:jc w:val="center"/>
              <w:rPr>
                <w:lang w:val="en-US"/>
              </w:rPr>
            </w:pPr>
            <w:r>
              <w:rPr>
                <w:color w:val="FF0000"/>
                <w:lang w:val="en-US"/>
              </w:rP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未命名(5EFF1)</w:t>
            </w:r>
          </w:p>
        </w:tc>
        <w:tc>
          <w:tcPr>
            <w:tcW w:w="1276" w:type="dxa"/>
            <w:shd w:val="clear" w:color="auto" w:fill="auto"/>
            <w:vAlign w:val="center"/>
          </w:tcPr>
          <w:p>
            <w:pPr>
              <w:jc w:val="center"/>
              <w:rPr>
                <w:lang w:val="en-US"/>
              </w:rPr>
            </w:pPr>
            <w:r>
              <w:rPr>
                <w:lang w:val="en-US"/>
              </w:rPr>
              <w:t>-11.34</w:t>
            </w:r>
          </w:p>
        </w:tc>
        <w:tc>
          <w:tcPr>
            <w:tcW w:w="1276" w:type="dxa"/>
            <w:shd w:val="clear" w:color="auto" w:fill="auto"/>
            <w:vAlign w:val="center"/>
          </w:tcPr>
          <w:p>
            <w:pPr>
              <w:jc w:val="center"/>
              <w:rPr>
                <w:lang w:val="en-US"/>
              </w:rPr>
            </w:pPr>
            <w:r>
              <w:rPr>
                <w:lang w:val="en-US"/>
              </w:rPr>
              <w:t>-10.44</w:t>
            </w:r>
          </w:p>
        </w:tc>
        <w:tc>
          <w:tcPr>
            <w:tcW w:w="1701" w:type="dxa"/>
            <w:shd w:val="clear" w:color="auto" w:fill="auto"/>
            <w:vAlign w:val="center"/>
          </w:tcPr>
          <w:p>
            <w:pPr>
              <w:jc w:val="center"/>
              <w:rPr>
                <w:lang w:val="en-US"/>
              </w:rPr>
            </w:pPr>
            <w:r>
              <w:rPr>
                <w:lang w:val="en-US"/>
              </w:rPr>
              <w:t>-0.89</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未命名(5EFF4)</w:t>
            </w:r>
          </w:p>
        </w:tc>
        <w:tc>
          <w:tcPr>
            <w:tcW w:w="1276" w:type="dxa"/>
            <w:shd w:val="clear" w:color="auto" w:fill="auto"/>
            <w:vAlign w:val="center"/>
          </w:tcPr>
          <w:p>
            <w:pPr>
              <w:jc w:val="center"/>
              <w:rPr>
                <w:lang w:val="en-US"/>
              </w:rPr>
            </w:pPr>
            <w:r>
              <w:rPr>
                <w:lang w:val="en-US"/>
              </w:rPr>
              <w:t>-10.44</w:t>
            </w:r>
          </w:p>
        </w:tc>
        <w:tc>
          <w:tcPr>
            <w:tcW w:w="1276" w:type="dxa"/>
            <w:shd w:val="clear" w:color="auto" w:fill="auto"/>
            <w:vAlign w:val="center"/>
          </w:tcPr>
          <w:p>
            <w:pPr>
              <w:jc w:val="center"/>
              <w:rPr>
                <w:lang w:val="en-US"/>
              </w:rPr>
            </w:pPr>
            <w:r>
              <w:rPr>
                <w:lang w:val="en-US"/>
              </w:rPr>
              <w:t>-12.62</w:t>
            </w:r>
          </w:p>
        </w:tc>
        <w:tc>
          <w:tcPr>
            <w:tcW w:w="1701" w:type="dxa"/>
            <w:shd w:val="clear" w:color="auto" w:fill="auto"/>
            <w:vAlign w:val="center"/>
          </w:tcPr>
          <w:p>
            <w:pPr>
              <w:jc w:val="center"/>
              <w:rPr>
                <w:lang w:val="en-US"/>
              </w:rPr>
            </w:pPr>
            <w:r>
              <w:rPr>
                <w:lang w:val="en-US"/>
              </w:rPr>
              <w:t>2.18</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未命名(5EFF7)</w:t>
            </w:r>
          </w:p>
        </w:tc>
        <w:tc>
          <w:tcPr>
            <w:tcW w:w="1276" w:type="dxa"/>
            <w:shd w:val="clear" w:color="auto" w:fill="auto"/>
            <w:vAlign w:val="center"/>
          </w:tcPr>
          <w:p>
            <w:pPr>
              <w:jc w:val="center"/>
              <w:rPr>
                <w:lang w:val="en-US"/>
              </w:rPr>
            </w:pPr>
            <w:r>
              <w:rPr>
                <w:lang w:val="en-US"/>
              </w:rPr>
              <w:t>-11.36</w:t>
            </w:r>
          </w:p>
        </w:tc>
        <w:tc>
          <w:tcPr>
            <w:tcW w:w="1276" w:type="dxa"/>
            <w:shd w:val="clear" w:color="auto" w:fill="auto"/>
            <w:vAlign w:val="center"/>
          </w:tcPr>
          <w:p>
            <w:pPr>
              <w:jc w:val="center"/>
              <w:rPr>
                <w:lang w:val="en-US"/>
              </w:rPr>
            </w:pPr>
            <w:r>
              <w:rPr>
                <w:lang w:val="en-US"/>
              </w:rPr>
              <w:t>-10.37</w:t>
            </w:r>
          </w:p>
        </w:tc>
        <w:tc>
          <w:tcPr>
            <w:tcW w:w="1701" w:type="dxa"/>
            <w:shd w:val="clear" w:color="auto" w:fill="auto"/>
            <w:vAlign w:val="center"/>
          </w:tcPr>
          <w:p>
            <w:pPr>
              <w:jc w:val="center"/>
              <w:rPr>
                <w:lang w:val="en-US"/>
              </w:rPr>
            </w:pPr>
            <w:r>
              <w:rPr>
                <w:lang w:val="en-US"/>
              </w:rPr>
              <w:t>-0.99</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未命名(5EFFA)</w:t>
            </w:r>
          </w:p>
        </w:tc>
        <w:tc>
          <w:tcPr>
            <w:tcW w:w="1276" w:type="dxa"/>
            <w:shd w:val="clear" w:color="auto" w:fill="auto"/>
            <w:vAlign w:val="center"/>
          </w:tcPr>
          <w:p>
            <w:pPr>
              <w:jc w:val="center"/>
              <w:rPr>
                <w:lang w:val="en-US"/>
              </w:rPr>
            </w:pPr>
            <w:r>
              <w:rPr>
                <w:lang w:val="en-US"/>
              </w:rPr>
              <w:t>-10.20</w:t>
            </w:r>
          </w:p>
        </w:tc>
        <w:tc>
          <w:tcPr>
            <w:tcW w:w="1276" w:type="dxa"/>
            <w:shd w:val="clear" w:color="auto" w:fill="auto"/>
            <w:vAlign w:val="center"/>
          </w:tcPr>
          <w:p>
            <w:pPr>
              <w:jc w:val="center"/>
              <w:rPr>
                <w:lang w:val="en-US"/>
              </w:rPr>
            </w:pPr>
            <w:r>
              <w:rPr>
                <w:lang w:val="en-US"/>
              </w:rPr>
              <w:t>-9.01</w:t>
            </w:r>
          </w:p>
        </w:tc>
        <w:tc>
          <w:tcPr>
            <w:tcW w:w="1701" w:type="dxa"/>
            <w:shd w:val="clear" w:color="auto" w:fill="auto"/>
            <w:vAlign w:val="center"/>
          </w:tcPr>
          <w:p>
            <w:pPr>
              <w:jc w:val="center"/>
              <w:rPr>
                <w:lang w:val="en-US"/>
              </w:rPr>
            </w:pPr>
            <w:r>
              <w:rPr>
                <w:lang w:val="en-US"/>
              </w:rPr>
              <w:t>-1.19</w:t>
            </w:r>
          </w:p>
        </w:tc>
        <w:tc>
          <w:tcPr>
            <w:tcW w:w="973" w:type="dxa"/>
            <w:shd w:val="clear" w:color="auto" w:fill="auto"/>
            <w:vAlign w:val="center"/>
          </w:tcPr>
          <w:p>
            <w:pPr>
              <w:jc w:val="center"/>
              <w:rPr>
                <w:lang w:val="en-US"/>
              </w:rPr>
            </w:pPr>
            <w:r>
              <w:rPr>
                <w:lang w:val="en-US"/>
              </w:rPr>
              <w:t>是</w:t>
            </w:r>
          </w:p>
        </w:tc>
      </w:tr>
      <w:bookmarkEnd w:id="111"/>
    </w:tbl>
    <w:p>
      <w:pPr>
        <w:rPr>
          <w:lang w:val="en-US"/>
        </w:rPr>
      </w:pPr>
      <w:bookmarkStart w:id="112" w:name="建筑迎风和背风面风压差结论汇总结论"/>
      <w:bookmarkEnd w:id="112"/>
      <w:r>
        <w:rPr>
          <w:lang w:val="en-US"/>
        </w:rPr>
        <w:t>结论：本项目中参评建筑&lt;未命名&gt;迎背风压差</w:t>
      </w:r>
      <w:r>
        <w:rPr>
          <w:b/>
          <w:color w:val="FF0000"/>
          <w:lang w:val="en-US"/>
        </w:rPr>
        <w:t>超过</w:t>
      </w:r>
      <w:r>
        <w:rPr>
          <w:lang w:val="en-US"/>
        </w:rPr>
        <w:t>5Pa，</w:t>
      </w:r>
      <w:r>
        <w:rPr>
          <w:b/>
          <w:color w:val="FF0000"/>
          <w:lang w:val="en-US"/>
        </w:rPr>
        <w:t>未满足</w:t>
      </w:r>
      <w:r>
        <w:rPr>
          <w:lang w:val="en-US"/>
        </w:rPr>
        <w:t>“除迎风第一排建筑外，建筑迎风面与背风面表面风压差不超过5Pa”的要求，该条不得分。</w:t>
      </w:r>
    </w:p>
    <w:p>
      <w:pPr>
        <w:rPr>
          <w:lang w:val="en-US"/>
        </w:rPr>
      </w:pPr>
      <w:bookmarkStart w:id="113" w:name="冬季工况"/>
      <w:bookmarkEnd w:id="113"/>
      <w:r>
        <w:rPr>
          <w:rFonts w:hint="eastAsia"/>
          <w:lang w:val="en-US"/>
        </w:rPr>
        <w:t xml:space="preserve"> </w:t>
      </w:r>
    </w:p>
    <w:p>
      <w:pPr>
        <w:rPr>
          <w:lang w:val="en-US"/>
        </w:rPr>
      </w:pPr>
      <w:bookmarkStart w:id="114" w:name="其他工况"/>
      <w:bookmarkEnd w:id="114"/>
      <w:r>
        <w:rPr>
          <w:rFonts w:hint="eastAsia"/>
          <w:lang w:val="en-US"/>
        </w:rPr>
        <w:t xml:space="preserve"> </w:t>
      </w:r>
    </w:p>
    <w:p>
      <w:pPr>
        <w:pStyle w:val="4"/>
      </w:pPr>
      <w:bookmarkStart w:id="115" w:name="_Toc509844764"/>
      <w:bookmarkStart w:id="116" w:name="_Toc21537"/>
      <w:r>
        <w:rPr>
          <w:rFonts w:hint="eastAsia"/>
        </w:rPr>
        <w:t>结论</w:t>
      </w:r>
      <w:bookmarkEnd w:id="115"/>
      <w:bookmarkEnd w:id="116"/>
    </w:p>
    <w:p>
      <w:pPr>
        <w:pStyle w:val="5"/>
      </w:pPr>
      <w:bookmarkStart w:id="117" w:name="_Toc509844765"/>
      <w:bookmarkStart w:id="118" w:name="_Toc14291"/>
      <w:r>
        <w:rPr>
          <w:rFonts w:hint="eastAsia"/>
        </w:rPr>
        <w:t>冬季工况达标判断</w:t>
      </w:r>
      <w:bookmarkEnd w:id="117"/>
      <w:bookmarkEnd w:id="118"/>
      <w:bookmarkStart w:id="119" w:name="_Toc509844766"/>
      <w:bookmarkEnd w:id="11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b/>
          <w:bCs/>
          <w:sz w:val="20"/>
          <w:szCs w:val="20"/>
        </w:rPr>
        <w:t>错误!文档中没有指定样式的文字。</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w:t>
            </w:r>
            <w:bookmarkStart w:id="120" w:name="标准要求冬季风速得分"/>
            <w:r>
              <w:rPr>
                <w:rFonts w:hint="eastAsia"/>
                <w:lang w:val="en-US"/>
              </w:rPr>
              <w:t>3</w:t>
            </w:r>
            <w:bookmarkEnd w:id="120"/>
            <w:r>
              <w:rPr>
                <w:rFonts w:hint="eastAsia"/>
                <w:lang w:val="en-US"/>
              </w:rPr>
              <w:t>分；</w:t>
            </w:r>
          </w:p>
        </w:tc>
        <w:tc>
          <w:tcPr>
            <w:tcW w:w="1985" w:type="dxa"/>
            <w:tcBorders>
              <w:top w:val="single" w:color="auto" w:sz="4" w:space="0"/>
            </w:tcBorders>
            <w:shd w:val="clear" w:color="auto" w:fill="auto"/>
            <w:vAlign w:val="center"/>
          </w:tcPr>
          <w:p>
            <w:pPr>
              <w:jc w:val="center"/>
              <w:rPr>
                <w:lang w:val="en-US"/>
              </w:rPr>
            </w:pPr>
            <w:r>
              <w:rPr>
                <w:rFonts w:hint="eastAsia"/>
                <w:lang w:val="en-US"/>
              </w:rPr>
              <w:t>计算域</w:t>
            </w:r>
            <w:bookmarkStart w:id="121" w:name="冬季风速结果计算域"/>
            <w:r>
              <w:t>没有出现</w:t>
            </w:r>
            <w:bookmarkEnd w:id="121"/>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pPr>
              <w:jc w:val="center"/>
              <w:rPr>
                <w:b/>
                <w:lang w:val="en-US"/>
              </w:rPr>
            </w:pPr>
            <w:bookmarkStart w:id="122" w:name="冬季风速达标判定"/>
            <w:r>
              <w:rPr>
                <w:rFonts w:hint="eastAsia"/>
                <w:b/>
                <w:lang w:val="en-US"/>
              </w:rPr>
              <w:t>达标</w:t>
            </w:r>
            <w:bookmarkEnd w:id="122"/>
          </w:p>
        </w:tc>
        <w:tc>
          <w:tcPr>
            <w:tcW w:w="1416" w:type="dxa"/>
            <w:vMerge w:val="restart"/>
            <w:tcBorders>
              <w:top w:val="single" w:color="auto" w:sz="4" w:space="0"/>
            </w:tcBorders>
            <w:shd w:val="clear" w:color="auto" w:fill="auto"/>
            <w:vAlign w:val="center"/>
          </w:tcPr>
          <w:p>
            <w:pPr>
              <w:jc w:val="center"/>
              <w:rPr>
                <w:lang w:val="en-US"/>
              </w:rPr>
            </w:pPr>
            <w:bookmarkStart w:id="123" w:name="冬季风速得分"/>
            <w:r>
              <w:rPr>
                <w:rFonts w:hint="eastAsia"/>
                <w:lang w:val="en-US"/>
              </w:rPr>
              <w:t>3</w:t>
            </w:r>
            <w:bookmarkEnd w:id="123"/>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计算域</w:t>
            </w:r>
            <w:bookmarkStart w:id="124" w:name="冬季风速放大系数结果计算域"/>
            <w:r>
              <w:t>没有出现</w:t>
            </w:r>
            <w:bookmarkEnd w:id="124"/>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w:t>
            </w:r>
            <w:bookmarkStart w:id="125" w:name="标准要求冬季风压得分"/>
            <w:r>
              <w:rPr>
                <w:rFonts w:hint="eastAsia"/>
                <w:lang w:val="en-US"/>
              </w:rPr>
              <w:t>2</w:t>
            </w:r>
            <w:bookmarkEnd w:id="125"/>
            <w:r>
              <w:rPr>
                <w:rFonts w:hint="eastAsia"/>
                <w:lang w:val="en-US"/>
              </w:rPr>
              <w:t>分</w:t>
            </w:r>
            <w:r>
              <w:rPr>
                <w:lang w:val="en-US"/>
              </w:rPr>
              <w:t>未出现风速超标区域</w:t>
            </w:r>
          </w:p>
        </w:tc>
        <w:tc>
          <w:tcPr>
            <w:tcW w:w="1985" w:type="dxa"/>
            <w:shd w:val="clear" w:color="auto" w:fill="auto"/>
            <w:vAlign w:val="center"/>
          </w:tcPr>
          <w:p>
            <w:pPr>
              <w:jc w:val="center"/>
              <w:rPr>
                <w:lang w:val="en-US"/>
              </w:rPr>
            </w:pPr>
            <w:r>
              <w:rPr>
                <w:rFonts w:hint="eastAsia"/>
                <w:lang w:val="en-US"/>
              </w:rPr>
              <w:t>本项目</w:t>
            </w:r>
            <w:bookmarkStart w:id="126" w:name="冬季迎背风面结果"/>
            <w:r>
              <w:rPr>
                <w:color w:val="FF0000"/>
              </w:rPr>
              <w:t>出现</w:t>
            </w:r>
            <w:bookmarkEnd w:id="126"/>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27" w:name="冬季迎背风面达标判定"/>
            <w:r>
              <w:rPr>
                <w:rFonts w:hint="eastAsia"/>
                <w:b/>
                <w:color w:val="FF0000"/>
                <w:lang w:val="en-US"/>
              </w:rPr>
              <w:t>不达标</w:t>
            </w:r>
            <w:bookmarkEnd w:id="127"/>
          </w:p>
        </w:tc>
        <w:tc>
          <w:tcPr>
            <w:tcW w:w="1416" w:type="dxa"/>
            <w:shd w:val="clear" w:color="auto" w:fill="auto"/>
            <w:vAlign w:val="center"/>
          </w:tcPr>
          <w:p>
            <w:pPr>
              <w:jc w:val="center"/>
              <w:rPr>
                <w:lang w:val="en-US"/>
              </w:rPr>
            </w:pPr>
            <w:bookmarkStart w:id="128" w:name="冬季迎背风面得分"/>
            <w:r>
              <w:rPr>
                <w:rFonts w:hint="eastAsia"/>
                <w:lang w:val="en-US"/>
              </w:rPr>
              <w:t>0</w:t>
            </w:r>
            <w:bookmarkEnd w:id="128"/>
            <w:r>
              <w:rPr>
                <w:rFonts w:hint="eastAsia"/>
                <w:lang w:val="en-US"/>
              </w:rPr>
              <w:t>分</w:t>
            </w:r>
          </w:p>
        </w:tc>
      </w:tr>
    </w:tbl>
    <w:p>
      <w:pPr>
        <w:rPr>
          <w:szCs w:val="21"/>
          <w:lang w:val="en-US"/>
        </w:rPr>
      </w:pPr>
      <w:bookmarkStart w:id="129" w:name="_Toc509844767"/>
      <w:bookmarkEnd w:id="129"/>
      <w:bookmarkStart w:id="130" w:name="_Toc509844768"/>
      <w:bookmarkEnd w:id="130"/>
    </w:p>
    <w:p>
      <w:pPr>
        <w:pStyle w:val="3"/>
        <w:ind w:firstLine="0" w:firstLineChars="0"/>
        <w:rPr>
          <w:lang w:val="en-US"/>
        </w:rPr>
      </w:pPr>
      <w:r>
        <w:rPr>
          <w:rFonts w:hint="eastAsia"/>
          <w:lang w:val="en-US"/>
        </w:rPr>
        <w:t>综合上述达标判断详表的信息，可知本项目得分为</w:t>
      </w:r>
      <w:bookmarkStart w:id="131" w:name="总得分"/>
      <w:r>
        <w:rPr>
          <w:rFonts w:hint="eastAsia"/>
          <w:lang w:val="en-US"/>
        </w:rPr>
        <w:t>3</w:t>
      </w:r>
      <w:bookmarkEnd w:id="131"/>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ZGQ1MTQ1NzNmYzI2MWNhYjkxNTgyMzRmM2E1YWMifQ=="/>
  </w:docVars>
  <w:rsids>
    <w:rsidRoot w:val="70EE5CB3"/>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70EE5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numbering" Target="numbering.xml"/><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D1D4-53B0-4689-ABF5-7E3C00284559}">
  <ds:schemaRefs/>
</ds:datastoreItem>
</file>

<file path=docProps/app.xml><?xml version="1.0" encoding="utf-8"?>
<Properties xmlns="http://schemas.openxmlformats.org/officeDocument/2006/extended-properties" xmlns:vt="http://schemas.openxmlformats.org/officeDocument/2006/docPropsVTypes">
  <Template>tmp1.dotx</Template>
  <Pages>17</Pages>
  <Words>4631</Words>
  <Characters>5254</Characters>
  <Lines>40</Lines>
  <Paragraphs>11</Paragraphs>
  <TotalTime>0</TotalTime>
  <ScaleCrop>false</ScaleCrop>
  <LinksUpToDate>false</LinksUpToDate>
  <CharactersWithSpaces>5442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2024-01-09T20:14:00Z</dcterms:created>
  <dc:creator>litwodog</dc:creator>
  <cp:lastModifiedBy>litwodog</cp:lastModifiedBy>
  <dcterms:modified xsi:type="dcterms:W3CDTF">2024-01-09T20:14:28Z</dcterms:modified>
  <dc:title>室外风环境模拟分析报告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E580E4DAB6F84986B4A9FD3395672704_11</vt:lpwstr>
  </property>
  <property fmtid="{D5CDD505-2E9C-101B-9397-08002B2CF9AE}" pid="3" name="KSOProductBuildVer">
    <vt:lpwstr>2052-12.1.0.16120</vt:lpwstr>
  </property>
</Properties>
</file>