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室内舒适温度达标比例</w:t>
      </w: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</w:p>
    <w:tbl>
      <w:tblPr>
        <w:tblStyle w:val="2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0" w:type="dxa"/>
          </w:tcPr>
          <w:p>
            <w:pPr>
              <w:pStyle w:val="17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山西-阳泉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2024年01月10日</w:t>
            </w:r>
            <w:bookmarkEnd w:id="6"/>
          </w:p>
        </w:tc>
      </w:tr>
    </w:tbl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drawing>
          <wp:inline distT="0" distB="0" distL="0" distR="0">
            <wp:extent cx="1628775" cy="162877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Style w:val="21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1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室内热舒适评价ITES202</w:t>
            </w:r>
            <w:r>
              <w:rPr>
                <w:rFonts w:ascii="宋体" w:hAnsi="宋体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软件版本</w:t>
            </w:r>
          </w:p>
        </w:tc>
        <w:tc>
          <w:tcPr>
            <w:tcW w:w="4139" w:type="dxa"/>
            <w:tcBorders>
              <w:bottom w:val="single" w:color="auto" w:sz="4" w:space="0"/>
            </w:tcBorders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>
              <w:rPr>
                <w:rFonts w:ascii="宋体" w:hAnsi="宋体"/>
              </w:rPr>
              <w:t>20220808（SP1）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研发单位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北京绿建软件</w:t>
            </w:r>
            <w:r>
              <w:rPr>
                <w:rFonts w:hint="eastAsia" w:ascii="宋体" w:hAnsi="宋体"/>
              </w:rPr>
              <w:t>股份</w:t>
            </w:r>
            <w:r>
              <w:rPr>
                <w:rFonts w:ascii="宋体" w:hAnsi="宋体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正版授权码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T13513590990</w:t>
            </w:r>
            <w:bookmarkEnd w:id="9"/>
          </w:p>
        </w:tc>
      </w:tr>
    </w:tbl>
    <w:p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24"/>
          <w:szCs w:val="32"/>
        </w:rPr>
        <w:t>目  录</w:t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bookmarkStart w:id="10" w:name="目录"/>
      <w:bookmarkStart w:id="61" w:name="_GoBack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_Toc7793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项目概况</w:t>
      </w:r>
      <w:r>
        <w:tab/>
      </w:r>
      <w:r>
        <w:fldChar w:fldCharType="begin"/>
      </w:r>
      <w:r>
        <w:instrText xml:space="preserve"> PAGEREF _Toc7793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_Toc28734 </w:instrText>
      </w:r>
      <w:r>
        <w:fldChar w:fldCharType="separate"/>
      </w:r>
      <w:r>
        <w:rPr>
          <w:rFonts w:hint="eastAsia"/>
          <w:lang w:val="en-GB"/>
        </w:rPr>
        <w:t xml:space="preserve">1.1 </w:t>
      </w:r>
      <w:r>
        <w:t>平面图</w:t>
      </w:r>
      <w:r>
        <w:tab/>
      </w:r>
      <w:r>
        <w:fldChar w:fldCharType="begin"/>
      </w:r>
      <w:r>
        <w:instrText xml:space="preserve"> PAGEREF _Toc28734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_Toc1709 </w:instrText>
      </w:r>
      <w:r>
        <w:fldChar w:fldCharType="separate"/>
      </w:r>
      <w:r>
        <w:rPr>
          <w:rFonts w:hint="eastAsia"/>
          <w:lang w:val="en-GB"/>
        </w:rPr>
        <w:t xml:space="preserve">1.2 </w:t>
      </w:r>
      <w:r>
        <w:rPr>
          <w:rFonts w:hint="eastAsia"/>
        </w:rPr>
        <w:t>三</w:t>
      </w:r>
      <w:r>
        <w:t>维视图</w:t>
      </w:r>
      <w:r>
        <w:tab/>
      </w:r>
      <w:r>
        <w:fldChar w:fldCharType="begin"/>
      </w:r>
      <w:r>
        <w:instrText xml:space="preserve"> PAGEREF _Toc1709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_Toc24011 </w:instrText>
      </w:r>
      <w:r>
        <w:fldChar w:fldCharType="separate"/>
      </w:r>
      <w:r>
        <w:rPr>
          <w:rFonts w:hint="eastAsia"/>
        </w:rPr>
        <w:t>2 计算</w:t>
      </w:r>
      <w:r>
        <w:t>依据</w:t>
      </w:r>
      <w:r>
        <w:tab/>
      </w:r>
      <w:r>
        <w:fldChar w:fldCharType="begin"/>
      </w:r>
      <w:r>
        <w:instrText xml:space="preserve"> PAGEREF _Toc24011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_Toc3933 </w:instrText>
      </w:r>
      <w:r>
        <w:fldChar w:fldCharType="separate"/>
      </w:r>
      <w:r>
        <w:rPr>
          <w:rFonts w:hint="eastAsia"/>
        </w:rPr>
        <w:t>3 参考</w:t>
      </w:r>
      <w:r>
        <w:t>标准</w:t>
      </w:r>
      <w:r>
        <w:tab/>
      </w:r>
      <w:r>
        <w:fldChar w:fldCharType="begin"/>
      </w:r>
      <w:r>
        <w:instrText xml:space="preserve"> PAGEREF _Toc3933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_Toc850 </w:instrText>
      </w:r>
      <w:r>
        <w:fldChar w:fldCharType="separate"/>
      </w:r>
      <w:r>
        <w:rPr>
          <w:rFonts w:hint="eastAsia"/>
        </w:rPr>
        <w:t>4 计算方法</w:t>
      </w:r>
      <w:r>
        <w:tab/>
      </w:r>
      <w:r>
        <w:fldChar w:fldCharType="begin"/>
      </w:r>
      <w:r>
        <w:instrText xml:space="preserve"> PAGEREF _Toc850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_Toc17702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参数定义</w:t>
      </w:r>
      <w:r>
        <w:tab/>
      </w:r>
      <w:r>
        <w:fldChar w:fldCharType="begin"/>
      </w:r>
      <w:r>
        <w:instrText xml:space="preserve"> PAGEREF _Toc17702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_Toc16261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计算流程</w:t>
      </w:r>
      <w:r>
        <w:tab/>
      </w:r>
      <w:r>
        <w:fldChar w:fldCharType="begin"/>
      </w:r>
      <w:r>
        <w:instrText xml:space="preserve"> PAGEREF _Toc16261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_Toc1542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_Toc1542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_Toc29210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rFonts w:hint="eastAsia"/>
        </w:rPr>
        <w:t>室外月平均温度</w:t>
      </w:r>
      <w:r>
        <w:tab/>
      </w:r>
      <w:r>
        <w:fldChar w:fldCharType="begin"/>
      </w:r>
      <w:r>
        <w:instrText xml:space="preserve"> PAGEREF _Toc29210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_Toc3526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4.3.2 </w:t>
      </w:r>
      <w:r>
        <w:rPr>
          <w:rFonts w:hint="eastAsia"/>
        </w:rPr>
        <w:t>室内热舒适温度</w:t>
      </w:r>
      <w:r>
        <w:tab/>
      </w:r>
      <w:r>
        <w:fldChar w:fldCharType="begin"/>
      </w:r>
      <w:r>
        <w:instrText xml:space="preserve"> PAGEREF _Toc3526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_Toc32505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4.3.3 </w:t>
      </w:r>
      <w:r>
        <w:rPr>
          <w:rFonts w:hint="eastAsia"/>
        </w:rPr>
        <w:t>参评时间</w:t>
      </w:r>
      <w:r>
        <w:t>段</w:t>
      </w:r>
      <w:r>
        <w:tab/>
      </w:r>
      <w:r>
        <w:fldChar w:fldCharType="begin"/>
      </w:r>
      <w:r>
        <w:instrText xml:space="preserve"> PAGEREF _Toc32505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_Toc29419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4.3.4 </w:t>
      </w:r>
      <w:r>
        <w:rPr>
          <w:rFonts w:hint="eastAsia"/>
        </w:rPr>
        <w:t>围护结构热工性能参数</w:t>
      </w:r>
      <w:r>
        <w:tab/>
      </w:r>
      <w:r>
        <w:fldChar w:fldCharType="begin"/>
      </w:r>
      <w:r>
        <w:instrText xml:space="preserve"> PAGEREF _Toc29419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_Toc17383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4.3.5 </w:t>
      </w:r>
      <w:r>
        <w:rPr>
          <w:rFonts w:hint="eastAsia"/>
        </w:rPr>
        <w:t>房间类型参数</w:t>
      </w:r>
      <w:r>
        <w:tab/>
      </w:r>
      <w:r>
        <w:fldChar w:fldCharType="begin"/>
      </w:r>
      <w:r>
        <w:instrText xml:space="preserve"> PAGEREF _Toc17383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_Toc45 </w:instrText>
      </w:r>
      <w:r>
        <w:fldChar w:fldCharType="separate"/>
      </w:r>
      <w:r>
        <w:rPr>
          <w:rFonts w:hint="eastAsia"/>
        </w:rPr>
        <w:t>5 结果</w:t>
      </w:r>
      <w:r>
        <w:t>分析</w:t>
      </w:r>
      <w:r>
        <w:tab/>
      </w:r>
      <w:r>
        <w:fldChar w:fldCharType="begin"/>
      </w:r>
      <w:r>
        <w:instrText xml:space="preserve"> PAGEREF _Toc45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_Toc23705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室内适应性热舒适温度达标比例统计</w:t>
      </w:r>
      <w:r>
        <w:tab/>
      </w:r>
      <w:r>
        <w:fldChar w:fldCharType="begin"/>
      </w:r>
      <w:r>
        <w:instrText xml:space="preserve"> PAGEREF _Toc23705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_Toc30408 </w:instrText>
      </w:r>
      <w:r>
        <w:fldChar w:fldCharType="separate"/>
      </w:r>
      <w:r>
        <w:rPr>
          <w:rFonts w:hint="eastAsia"/>
        </w:rPr>
        <w:t>6 结论</w:t>
      </w:r>
      <w:r>
        <w:tab/>
      </w:r>
      <w:r>
        <w:fldChar w:fldCharType="begin"/>
      </w:r>
      <w:r>
        <w:instrText xml:space="preserve"> PAGEREF _Toc30408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9"/>
        <w:spacing w:line="240" w:lineRule="auto"/>
      </w:pPr>
      <w:r>
        <w:fldChar w:fldCharType="end"/>
      </w:r>
      <w:bookmarkEnd w:id="61"/>
      <w:bookmarkEnd w:id="10"/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>
      <w:pPr>
        <w:tabs>
          <w:tab w:val="left" w:pos="8137"/>
        </w:tabs>
        <w:rPr>
          <w:lang w:val="en-US"/>
        </w:rPr>
        <w:sectPr>
          <w:footerReference r:id="rId7" w:type="first"/>
          <w:headerReference r:id="rId5" w:type="default"/>
          <w:footerReference r:id="rId6" w:type="default"/>
          <w:pgSz w:w="11906" w:h="16838"/>
          <w:pgMar w:top="1440" w:right="1558" w:bottom="1440" w:left="1418" w:header="850" w:footer="170" w:gutter="0"/>
          <w:cols w:space="425" w:num="1"/>
          <w:titlePg/>
          <w:docGrid w:type="lines" w:linePitch="312" w:charSpace="0"/>
        </w:sectPr>
      </w:pPr>
      <w:r>
        <w:rPr>
          <w:lang w:val="en-US"/>
        </w:rPr>
        <w:tab/>
      </w:r>
    </w:p>
    <w:p>
      <w:pPr>
        <w:pStyle w:val="2"/>
      </w:pPr>
      <w:bookmarkStart w:id="11" w:name="_Toc452108759"/>
      <w:bookmarkStart w:id="12" w:name="_Toc7793"/>
      <w:r>
        <w:rPr>
          <w:rFonts w:hint="eastAsia"/>
        </w:rPr>
        <w:t>项目概况</w:t>
      </w:r>
      <w:bookmarkEnd w:id="11"/>
      <w:bookmarkEnd w:id="12"/>
    </w:p>
    <w:p>
      <w:pPr>
        <w:pStyle w:val="3"/>
        <w:ind w:firstLine="420"/>
        <w:rPr>
          <w:lang w:val="en-US"/>
        </w:rPr>
      </w:pPr>
      <w:bookmarkStart w:id="13" w:name="项目概况"/>
      <w:bookmarkEnd w:id="13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  <w:sectPr>
          <w:pgSz w:w="11906" w:h="16838"/>
          <w:pgMar w:top="822" w:right="1134" w:bottom="992" w:left="709" w:header="283" w:footer="170" w:gutter="0"/>
          <w:cols w:space="720" w:num="1"/>
          <w:docGrid w:type="linesAndChars" w:linePitch="312" w:charSpace="0"/>
        </w:sectPr>
      </w:pPr>
    </w:p>
    <w:p>
      <w:pPr>
        <w:pStyle w:val="4"/>
      </w:pPr>
      <w:bookmarkStart w:id="14" w:name="_Toc452108760"/>
      <w:bookmarkStart w:id="15" w:name="_Toc28734"/>
      <w:r>
        <w:t>平面图</w:t>
      </w:r>
      <w:bookmarkEnd w:id="14"/>
      <w:bookmarkEnd w:id="15"/>
    </w:p>
    <w:p>
      <w:pPr>
        <w:pStyle w:val="3"/>
        <w:ind w:firstLine="0" w:firstLineChars="0"/>
        <w:jc w:val="center"/>
        <w:rPr>
          <w:lang w:val="en-US"/>
        </w:rPr>
      </w:pPr>
      <w:bookmarkStart w:id="16" w:name="平面图"/>
      <w:bookmarkEnd w:id="16"/>
      <w:r>
        <w:drawing>
          <wp:inline distT="0" distB="0" distL="0" distR="0">
            <wp:extent cx="5629275" cy="8010525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1层平面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4191000" cy="801052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2层平面</w:t>
      </w:r>
    </w:p>
    <w:p>
      <w:pPr>
        <w:pStyle w:val="3"/>
        <w:ind w:firstLine="0" w:firstLineChars="0"/>
        <w:jc w:val="center"/>
        <w:rPr>
          <w:lang w:val="en-US"/>
        </w:rPr>
      </w:pPr>
    </w:p>
    <w:p>
      <w:pPr>
        <w:pStyle w:val="3"/>
        <w:ind w:firstLine="42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4"/>
      </w:pPr>
      <w:bookmarkStart w:id="17" w:name="_Toc452108761"/>
      <w:bookmarkStart w:id="18" w:name="_Toc1709"/>
      <w:r>
        <w:rPr>
          <w:rFonts w:hint="eastAsia"/>
        </w:rPr>
        <w:t>三</w:t>
      </w:r>
      <w:r>
        <w:t>维视图</w:t>
      </w:r>
      <w:bookmarkEnd w:id="17"/>
      <w:bookmarkEnd w:id="18"/>
    </w:p>
    <w:p>
      <w:pPr>
        <w:pStyle w:val="3"/>
        <w:ind w:firstLine="0" w:firstLineChars="0"/>
        <w:jc w:val="center"/>
        <w:rPr>
          <w:lang w:val="en-US"/>
        </w:rPr>
      </w:pPr>
      <w:bookmarkStart w:id="19" w:name="模型观察"/>
      <w:r>
        <w:t>请先在【模型观察】命令中保存图片</w:t>
      </w:r>
      <w:bookmarkEnd w:id="19"/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1.2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三</w:t>
      </w:r>
      <w:r>
        <w:rPr>
          <w:rFonts w:ascii="微软雅黑" w:hAnsi="微软雅黑" w:eastAsia="微软雅黑"/>
          <w:b/>
          <w:sz w:val="18"/>
          <w:szCs w:val="21"/>
        </w:rPr>
        <w:t>维</w:t>
      </w:r>
      <w:r>
        <w:rPr>
          <w:rFonts w:hint="eastAsia" w:ascii="微软雅黑" w:hAnsi="微软雅黑" w:eastAsia="微软雅黑"/>
          <w:b/>
          <w:sz w:val="18"/>
          <w:szCs w:val="21"/>
        </w:rPr>
        <w:t>视图</w:t>
      </w:r>
    </w:p>
    <w:p>
      <w:pPr>
        <w:pStyle w:val="3"/>
        <w:ind w:firstLine="0" w:firstLineChars="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2"/>
      </w:pPr>
      <w:bookmarkStart w:id="20" w:name="_Toc452108762"/>
      <w:bookmarkStart w:id="21" w:name="TitleFormat"/>
      <w:bookmarkStart w:id="22" w:name="_Toc24011"/>
      <w:r>
        <w:rPr>
          <w:rFonts w:hint="eastAsia"/>
        </w:rPr>
        <w:t>计算</w:t>
      </w:r>
      <w:r>
        <w:t>依据</w:t>
      </w:r>
      <w:bookmarkEnd w:id="20"/>
      <w:bookmarkEnd w:id="21"/>
      <w:bookmarkEnd w:id="22"/>
    </w:p>
    <w:p>
      <w:pPr>
        <w:pStyle w:val="3"/>
        <w:ind w:firstLine="199" w:firstLineChars="95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4" w:name="参考标准名称1"/>
      <w:r>
        <w:rPr>
          <w:rFonts w:hint="eastAsia"/>
          <w:lang w:val="en-US"/>
        </w:rPr>
        <w:t>《绿色建筑评价标准》GB/T50378-2019</w:t>
      </w:r>
      <w:bookmarkEnd w:id="24"/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5" w:name="_Hlk13496340"/>
      <w:r>
        <w:rPr>
          <w:rFonts w:hint="eastAsia"/>
          <w:lang w:val="en-US"/>
        </w:rPr>
        <w:t>《民用建筑室内热湿环境评价标准》</w:t>
      </w:r>
      <w:r>
        <w:rPr>
          <w:lang w:val="en-US"/>
        </w:rPr>
        <w:t>GB/T 50785-2012</w:t>
      </w:r>
      <w:bookmarkEnd w:id="25"/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《民用建筑热工设计规范》</w:t>
      </w:r>
      <w:r>
        <w:rPr>
          <w:lang w:val="en-US"/>
        </w:rPr>
        <w:t>GB 50176-2016</w:t>
      </w:r>
      <w:bookmarkStart w:id="26" w:name="_Hlk13516321"/>
    </w:p>
    <w:bookmarkEnd w:id="26"/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《中国建筑热环境分析专用气象数据集</w:t>
      </w:r>
      <w:r>
        <w:rPr>
          <w:rFonts w:hint="eastAsia"/>
        </w:rPr>
        <w:t>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委托方提供的总平面图、建筑专业设计图纸、设计效果图等图纸资料</w:t>
      </w:r>
    </w:p>
    <w:p>
      <w:pPr>
        <w:pStyle w:val="2"/>
      </w:pPr>
      <w:bookmarkStart w:id="27" w:name="_Toc3933"/>
      <w:r>
        <w:rPr>
          <w:rFonts w:hint="eastAsia"/>
        </w:rPr>
        <w:t>参考</w:t>
      </w:r>
      <w:r>
        <w:t>标准</w:t>
      </w:r>
      <w:bookmarkEnd w:id="23"/>
      <w:bookmarkEnd w:id="27"/>
    </w:p>
    <w:p>
      <w:pPr>
        <w:pStyle w:val="3"/>
        <w:ind w:firstLine="420"/>
        <w:rPr>
          <w:lang w:val="en-US"/>
        </w:rPr>
      </w:pPr>
      <w:bookmarkStart w:id="28" w:name="_Toc452108764"/>
      <w:bookmarkStart w:id="29" w:name="_Toc451698935"/>
      <w:r>
        <w:rPr>
          <w:rFonts w:hint="eastAsia"/>
          <w:lang w:val="en-US"/>
        </w:rPr>
        <w:t>室内热舒适评价的主要依据为</w:t>
      </w:r>
      <w:bookmarkStart w:id="30" w:name="参考标准名称2"/>
      <w:r>
        <w:rPr>
          <w:rFonts w:hint="eastAsia"/>
          <w:lang w:val="en-US"/>
        </w:rPr>
        <w:t>《绿色建筑评价标准》GB/T50378-2019</w:t>
      </w:r>
      <w:bookmarkEnd w:id="30"/>
      <w:r>
        <w:rPr>
          <w:rFonts w:hint="eastAsia"/>
          <w:lang w:val="en-US"/>
        </w:rPr>
        <w:t>中有关室内热湿环境5.2.9条第</w:t>
      </w:r>
      <w:r>
        <w:rPr>
          <w:rFonts w:hint="eastAsia"/>
          <w:b/>
          <w:bCs/>
          <w:lang w:val="en-US"/>
        </w:rPr>
        <w:t>1</w:t>
      </w:r>
      <w:r>
        <w:rPr>
          <w:rFonts w:hint="eastAsia"/>
          <w:lang w:val="en-US"/>
        </w:rPr>
        <w:t>款的要求，具体评分规则如下：</w:t>
      </w:r>
    </w:p>
    <w:p>
      <w:pPr>
        <w:pStyle w:val="3"/>
        <w:ind w:firstLine="422"/>
        <w:rPr>
          <w:lang w:val="en-US"/>
        </w:rPr>
      </w:pPr>
      <w:r>
        <w:rPr>
          <w:rFonts w:hint="eastAsia"/>
          <w:b/>
          <w:bCs/>
          <w:lang w:val="en-US"/>
        </w:rPr>
        <w:t>1.采用自然通风或复合通风的建筑，建筑主要功能房间室内热环境参数在适应性热舒适区域的时间比例，达到30%, 得2分；每再增加10%, 再得1 分，最高得8分</w:t>
      </w:r>
      <w:r>
        <w:rPr>
          <w:rFonts w:hint="eastAsia"/>
          <w:lang w:val="en-US"/>
        </w:rPr>
        <w:t>；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2.采用人工冷热源的建筑，主要功能房间达到现行国家标准《民用建筑室内热湿环境评价标准》GB/T50785规定的室内人工冷热源热湿环境整体评价</w:t>
      </w:r>
      <w:r>
        <w:rPr>
          <w:lang w:val="en-US"/>
        </w:rPr>
        <w:fldChar w:fldCharType="begin"/>
      </w:r>
      <w:r>
        <w:rPr>
          <w:lang w:val="en-US"/>
        </w:rPr>
        <w:instrText xml:space="preserve"> </w:instrText>
      </w:r>
      <w:r>
        <w:rPr>
          <w:rFonts w:hint="eastAsia"/>
          <w:lang w:val="en-US"/>
        </w:rPr>
        <w:instrText xml:space="preserve">= 2 \* ROMAN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lang w:val="en-US"/>
        </w:rPr>
        <w:t>II</w:t>
      </w:r>
      <w:r>
        <w:rPr>
          <w:lang w:val="en-US"/>
        </w:rPr>
        <w:fldChar w:fldCharType="end"/>
      </w:r>
      <w:r>
        <w:rPr>
          <w:rFonts w:hint="eastAsia"/>
          <w:lang w:val="en-US"/>
        </w:rPr>
        <w:t>级的面积比例，达到60%, 得5分；每再增加10%, 再得1 分，最高得8分。</w:t>
      </w:r>
    </w:p>
    <w:p>
      <w:pPr>
        <w:pStyle w:val="2"/>
      </w:pPr>
      <w:bookmarkStart w:id="31" w:name="_Toc850"/>
      <w:r>
        <w:rPr>
          <w:rFonts w:hint="eastAsia"/>
        </w:rPr>
        <w:t>计算</w:t>
      </w:r>
      <w:bookmarkEnd w:id="28"/>
      <w:bookmarkEnd w:id="29"/>
      <w:r>
        <w:rPr>
          <w:rFonts w:hint="eastAsia"/>
        </w:rPr>
        <w:t>方法</w:t>
      </w:r>
      <w:bookmarkEnd w:id="31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工况，涉及的热环境参数定义和计算方法均依据《绿色建筑评价标准》及其对应的绿色建筑评价技术细则，详见下列小节：</w:t>
      </w:r>
    </w:p>
    <w:p>
      <w:pPr>
        <w:pStyle w:val="4"/>
      </w:pPr>
      <w:bookmarkStart w:id="32" w:name="_Toc17702"/>
      <w:r>
        <w:rPr>
          <w:rFonts w:hint="eastAsia"/>
        </w:rPr>
        <w:t>参数定义</w:t>
      </w:r>
      <w:bookmarkEnd w:id="32"/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：自然通风和机械通风两种通风方式的</w:t>
      </w:r>
      <w:r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>
        <w:rPr>
          <w:rFonts w:hint="eastAsia"/>
          <w:b/>
          <w:bCs/>
          <w:lang w:val="en-US"/>
        </w:rPr>
        <w:t>切换</w:t>
      </w:r>
      <w:r>
        <w:rPr>
          <w:rFonts w:hint="eastAsia"/>
          <w:lang w:val="en-US"/>
        </w:rPr>
        <w:t>；</w:t>
      </w:r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：采用自然通风或者复合通风时对应的室内热环境参数。</w:t>
      </w:r>
    </w:p>
    <w:p>
      <w:pPr>
        <w:pStyle w:val="4"/>
      </w:pPr>
      <w:bookmarkStart w:id="33" w:name="_Toc16261"/>
      <w:r>
        <w:rPr>
          <w:rFonts w:hint="eastAsia"/>
        </w:rPr>
        <w:t>计算流程</w:t>
      </w:r>
      <w:bookmarkEnd w:id="33"/>
    </w:p>
    <w:p>
      <w:pPr>
        <w:pStyle w:val="30"/>
        <w:ind w:firstLine="42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  <w:u w:val="single"/>
        </w:rPr>
        <w:t>依据绿标细则所述，对于自然通风和复合通风，</w:t>
      </w:r>
      <w:r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>
      <w:pPr>
        <w:tabs>
          <w:tab w:val="left" w:pos="180"/>
        </w:tabs>
        <w:spacing w:line="400" w:lineRule="atLeast"/>
        <w:ind w:left="-19" w:leftChars="-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根据上述计算方法，本项目采用一下计算步骤：</w:t>
      </w:r>
    </w:p>
    <w:p>
      <w:pPr>
        <w:pStyle w:val="32"/>
        <w:numPr>
          <w:ilvl w:val="0"/>
          <w:numId w:val="4"/>
        </w:numPr>
        <w:tabs>
          <w:tab w:val="left" w:pos="180"/>
        </w:tabs>
        <w:spacing w:before="156" w:line="400" w:lineRule="atLeast"/>
        <w:ind w:left="567" w:hanging="425" w:firstLineChars="0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依据标准细则，按照下述规则确定室内舒适温度区间。</w:t>
      </w:r>
    </w:p>
    <w:p>
      <w:pPr>
        <w:adjustRightInd w:val="0"/>
        <w:spacing w:line="360" w:lineRule="auto"/>
        <w:ind w:left="128" w:leftChars="61"/>
        <w:rPr>
          <w:rFonts w:eastAsia="楷体"/>
          <w:szCs w:val="21"/>
        </w:rPr>
      </w:pPr>
      <w:r>
        <w:rPr>
          <w:rFonts w:hint="eastAsia"/>
          <w:szCs w:val="21"/>
        </w:rPr>
        <w:t>1）当</w:t>
      </w:r>
      <w:r>
        <w:rPr>
          <w:szCs w:val="21"/>
        </w:rPr>
        <w:t>室内平均气流速度va≤0.3m/s时，</w:t>
      </w:r>
      <w:r>
        <w:rPr>
          <w:rFonts w:hint="eastAsia"/>
          <w:szCs w:val="21"/>
        </w:rPr>
        <w:t>室内没有个性化送风装置，</w:t>
      </w:r>
      <w:r>
        <w:rPr>
          <w:szCs w:val="21"/>
        </w:rPr>
        <w:t>舒适温度为</w:t>
      </w:r>
      <w:r>
        <w:rPr>
          <w:rFonts w:hint="eastAsia"/>
          <w:szCs w:val="21"/>
        </w:rPr>
        <w:t>下图</w:t>
      </w:r>
      <w:r>
        <w:rPr>
          <w:szCs w:val="21"/>
        </w:rPr>
        <w:t>中的阴影区间</w:t>
      </w:r>
      <w:r>
        <w:rPr>
          <w:rFonts w:hint="eastAsia"/>
          <w:szCs w:val="21"/>
        </w:rPr>
        <w:t>：</w:t>
      </w:r>
    </w:p>
    <w:p>
      <w:pPr>
        <w:pStyle w:val="36"/>
        <w:spacing w:line="360" w:lineRule="auto"/>
        <w:ind w:firstLine="2100" w:firstLineChars="1000"/>
        <w:rPr>
          <w:szCs w:val="21"/>
        </w:rPr>
      </w:pPr>
      <w:r>
        <w:rPr>
          <w:rFonts w:eastAsia="楷体"/>
          <w:szCs w:val="21"/>
          <w:lang w:val="en-US"/>
        </w:rPr>
        <w:drawing>
          <wp:inline distT="0" distB="0" distL="0" distR="0">
            <wp:extent cx="3865880" cy="232537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>
                      <a:fillRect/>
                    </a:stretch>
                  </pic:blipFill>
                  <pic:spPr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6"/>
        <w:spacing w:line="360" w:lineRule="auto"/>
        <w:ind w:firstLine="3242" w:firstLineChars="1800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图 </w:t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ascii="微软雅黑" w:hAnsi="微软雅黑" w:eastAsia="微软雅黑"/>
          <w:b/>
          <w:sz w:val="18"/>
          <w:szCs w:val="18"/>
        </w:rPr>
        <w:t>4.2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ascii="微软雅黑" w:hAnsi="微软雅黑" w:eastAsia="微软雅黑"/>
          <w:b/>
          <w:sz w:val="18"/>
          <w:szCs w:val="18"/>
        </w:rPr>
        <w:noBreakHyphen/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ascii="微软雅黑" w:hAnsi="微软雅黑" w:eastAsia="微软雅黑"/>
          <w:b/>
          <w:sz w:val="18"/>
          <w:szCs w:val="18"/>
        </w:rPr>
        <w:t>1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hint="eastAsia" w:ascii="微软雅黑" w:hAnsi="微软雅黑" w:eastAsia="微软雅黑"/>
          <w:b/>
        </w:rPr>
        <w:t xml:space="preserve">  </w:t>
      </w:r>
      <w:r>
        <w:rPr>
          <w:rFonts w:ascii="微软雅黑" w:hAnsi="微软雅黑" w:eastAsia="微软雅黑"/>
          <w:b/>
          <w:sz w:val="18"/>
          <w:szCs w:val="21"/>
        </w:rPr>
        <w:t>自然通风或复合通风建筑室内舒适温度范围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其中，室外月平均温度依据室外气象数据，本项目采用《中国建筑热环境分析专用气象数据集</w:t>
      </w:r>
      <w:r>
        <w:rPr>
          <w:rFonts w:hint="eastAsia"/>
          <w:szCs w:val="21"/>
        </w:rPr>
        <w:t xml:space="preserve">》。   </w:t>
      </w:r>
    </w:p>
    <w:p>
      <w:pPr>
        <w:pStyle w:val="36"/>
        <w:tabs>
          <w:tab w:val="left" w:pos="426"/>
        </w:tabs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2）当</w:t>
      </w:r>
      <w:r>
        <w:rPr>
          <w:szCs w:val="21"/>
        </w:rPr>
        <w:t>室内气流平均速度va</w:t>
      </w:r>
      <w:r>
        <w:rPr>
          <w:rFonts w:hint="eastAsia"/>
          <w:szCs w:val="21"/>
        </w:rPr>
        <w:t>&gt;</w:t>
      </w:r>
      <w:r>
        <w:rPr>
          <w:szCs w:val="21"/>
        </w:rPr>
        <w:t>0.3m/s</w:t>
      </w:r>
      <w:r>
        <w:rPr>
          <w:rFonts w:hint="eastAsia"/>
          <w:szCs w:val="21"/>
        </w:rPr>
        <w:t>时，室内有风扇等个性化送风装置，采用下列方法调整室内舒适温度区间：</w:t>
      </w:r>
    </w:p>
    <w:p>
      <w:pPr>
        <w:pStyle w:val="36"/>
        <w:ind w:left="359" w:leftChars="171" w:firstLine="2507" w:firstLineChars="1392"/>
        <w:rPr>
          <w:rFonts w:ascii="微软雅黑" w:hAnsi="微软雅黑" w:eastAsia="微软雅黑"/>
          <w:b/>
          <w:sz w:val="18"/>
          <w:szCs w:val="21"/>
        </w:rPr>
      </w:pPr>
      <w:r>
        <w:rPr>
          <w:rFonts w:ascii="微软雅黑" w:hAnsi="微软雅黑" w:eastAsia="微软雅黑"/>
          <w:b/>
          <w:sz w:val="18"/>
          <w:szCs w:val="21"/>
        </w:rPr>
        <w:t>表4.</w:t>
      </w:r>
      <w:r>
        <w:rPr>
          <w:rFonts w:hint="eastAsia" w:ascii="微软雅黑" w:hAnsi="微软雅黑" w:eastAsia="微软雅黑"/>
          <w:b/>
          <w:sz w:val="18"/>
          <w:szCs w:val="21"/>
        </w:rPr>
        <w:t>2-1</w:t>
      </w:r>
      <w:r>
        <w:rPr>
          <w:rFonts w:ascii="微软雅黑" w:hAnsi="微软雅黑" w:eastAsia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Style w:val="21"/>
        <w:tblW w:w="45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889"/>
        <w:gridCol w:w="2034"/>
        <w:gridCol w:w="1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室内气流平均速度v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（m/s）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0.3＜v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0.6＜v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0.9＜v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舒适温度上限提高幅度Δt（℃）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</w:tr>
    </w:tbl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当室内温度高于25</w:t>
      </w:r>
      <w:r>
        <w:rPr>
          <w:rFonts w:hint="eastAsia"/>
          <w:szCs w:val="21"/>
        </w:rPr>
        <w:t>℃</w:t>
      </w:r>
      <w:r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>
        <w:rPr>
          <w:szCs w:val="21"/>
        </w:rPr>
        <w:t>表所示。</w:t>
      </w:r>
    </w:p>
    <w:p>
      <w:pPr>
        <w:adjustRightInd w:val="0"/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在本项目中，对于未使用个性化送风装置的房间采用方法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）确定室内舒适温度范围，使用该装置的房间采用方法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>
      <w:pPr>
        <w:pStyle w:val="32"/>
        <w:numPr>
          <w:ilvl w:val="0"/>
          <w:numId w:val="4"/>
        </w:numPr>
        <w:spacing w:before="156"/>
        <w:ind w:firstLineChars="0"/>
        <w:rPr>
          <w:b/>
        </w:rPr>
      </w:pPr>
      <w:r>
        <w:rPr>
          <w:rFonts w:hint="eastAsia"/>
          <w:b/>
          <w:szCs w:val="21"/>
        </w:rPr>
        <w:t>计算室内温度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本项目通过D</w:t>
      </w:r>
      <w:r>
        <w:rPr>
          <w:szCs w:val="21"/>
        </w:rPr>
        <w:t>eST3.0</w:t>
      </w:r>
      <w:r>
        <w:rPr>
          <w:rFonts w:hint="eastAsia"/>
          <w:szCs w:val="21"/>
        </w:rPr>
        <w:t>，求解自然通风复合通风工况下的室内温度。</w:t>
      </w:r>
    </w:p>
    <w:p>
      <w:pPr>
        <w:pStyle w:val="32"/>
        <w:numPr>
          <w:ilvl w:val="0"/>
          <w:numId w:val="4"/>
        </w:numPr>
        <w:spacing w:before="156"/>
        <w:ind w:firstLineChars="0"/>
      </w:pPr>
      <w:r>
        <w:rPr>
          <w:rFonts w:hint="eastAsia"/>
          <w:b/>
          <w:szCs w:val="21"/>
        </w:rPr>
        <w:t>计算室内适应性舒适温度时间比例</w:t>
      </w:r>
    </w:p>
    <w:p>
      <w:pPr>
        <w:adjustRightInd w:val="0"/>
        <w:spacing w:line="360" w:lineRule="auto"/>
        <w:ind w:firstLine="420" w:firstLineChars="200"/>
        <w:rPr>
          <w:sz w:val="28"/>
        </w:rPr>
      </w:pPr>
      <w:bookmarkStart w:id="34" w:name="_Hlk36153165"/>
      <w:r>
        <w:rPr>
          <w:rFonts w:hint="eastAsia"/>
          <w:szCs w:val="21"/>
        </w:rPr>
        <w:t>室内适应性舒适温度时间比例</w:t>
      </w:r>
      <w:bookmarkEnd w:id="34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室内温度</m:t>
            </m:r>
            <m:r>
              <m:rPr>
                <m:sty m:val="b"/>
              </m:rPr>
              <w:rPr>
                <w:rFonts w:hint="eastAsia" w:ascii="Cambria Math" w:hAnsi="Cambria Math" w:eastAsiaTheme="minor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hAnsi="Cambria Math" w:eastAsiaTheme="minorEastAsia"/>
                <w:sz w:val="28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的时间</m:t>
            </m:r>
            <m:ctrlPr>
              <w:rPr>
                <w:rFonts w:ascii="Cambria Math" w:hAnsi="Cambria Math" w:eastAsiaTheme="minorEastAsia"/>
                <w:sz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建筑全年运行小时数</m:t>
            </m:r>
            <m:ctrlPr>
              <w:rPr>
                <w:rFonts w:ascii="Cambria Math" w:hAnsi="Cambria Math" w:eastAsiaTheme="minorEastAsia"/>
                <w:sz w:val="28"/>
              </w:rPr>
            </m:ctrlPr>
          </m:den>
        </m:f>
      </m:oMath>
    </w:p>
    <w:p>
      <w:pPr>
        <w:adjustRightInd w:val="0"/>
        <w:spacing w:line="360" w:lineRule="auto"/>
        <w:ind w:firstLine="420" w:firstLineChars="200"/>
      </w:pPr>
      <w:r>
        <w:rPr>
          <w:rFonts w:hint="eastAsia"/>
        </w:rPr>
        <w:t>具体计算结果详见本报告书第5章。</w:t>
      </w:r>
    </w:p>
    <w:p>
      <w:pPr>
        <w:pStyle w:val="4"/>
      </w:pPr>
      <w:bookmarkStart w:id="35" w:name="_Toc1542"/>
      <w:r>
        <w:rPr>
          <w:rFonts w:hint="eastAsia"/>
        </w:rPr>
        <w:t>计算参数</w:t>
      </w:r>
      <w:bookmarkEnd w:id="35"/>
    </w:p>
    <w:p>
      <w:pPr>
        <w:pStyle w:val="5"/>
      </w:pPr>
      <w:bookmarkStart w:id="36" w:name="_Toc29210"/>
      <w:r>
        <w:rPr>
          <w:rFonts w:hint="eastAsia"/>
        </w:rPr>
        <w:t>室外月平均温度</w:t>
      </w:r>
      <w:bookmarkEnd w:id="36"/>
    </w:p>
    <w:p>
      <w:pPr>
        <w:adjustRightInd w:val="0"/>
        <w:spacing w:line="360" w:lineRule="auto"/>
        <w:ind w:firstLine="420" w:firstLineChars="200"/>
        <w:rPr>
          <w:rFonts w:ascii="Calibri" w:hAnsi="Calibri"/>
          <w:b/>
          <w:kern w:val="2"/>
          <w:lang w:val="en-US"/>
        </w:rPr>
      </w:pPr>
      <w:r>
        <w:rPr>
          <w:rFonts w:hint="eastAsia" w:ascii="Calibri" w:hAnsi="Calibri"/>
          <w:kern w:val="2"/>
          <w:lang w:val="en-US"/>
        </w:rPr>
        <w:t>本项目取</w:t>
      </w:r>
      <w:r>
        <w:rPr>
          <w:rFonts w:hint="eastAsia" w:ascii="Calibri" w:hAnsi="Calibri"/>
          <w:b/>
          <w:kern w:val="2"/>
          <w:lang w:val="en-US"/>
        </w:rPr>
        <w:t>《中国建筑热环境分析专用气象数据集》</w:t>
      </w:r>
      <w:r>
        <w:rPr>
          <w:rFonts w:hint="eastAsia" w:ascii="Calibri" w:hAnsi="Calibri"/>
          <w:kern w:val="2"/>
          <w:lang w:val="en-US"/>
        </w:rPr>
        <w:t>中</w:t>
      </w:r>
      <w:bookmarkStart w:id="37" w:name="站台城市"/>
      <w:r>
        <w:rPr>
          <w:rFonts w:hint="eastAsia" w:ascii="Calibri" w:hAnsi="Calibri"/>
          <w:kern w:val="2"/>
          <w:lang w:val="en-US"/>
        </w:rPr>
        <w:t>太原</w:t>
      </w:r>
      <w:bookmarkEnd w:id="37"/>
      <w:r>
        <w:rPr>
          <w:rFonts w:hint="eastAsia" w:ascii="Calibri" w:hAnsi="Calibri"/>
          <w:kern w:val="2"/>
          <w:lang w:val="en-US"/>
        </w:rPr>
        <w:t>的气象数据</w:t>
      </w:r>
      <w:r>
        <w:rPr>
          <w:rFonts w:hint="eastAsia" w:ascii="Calibri" w:hAnsi="Calibri"/>
          <w:b/>
          <w:kern w:val="2"/>
          <w:lang w:val="en-US"/>
        </w:rPr>
        <w:t>。</w:t>
      </w:r>
    </w:p>
    <w:p>
      <w:pPr>
        <w:pStyle w:val="3"/>
        <w:ind w:left="779" w:leftChars="371" w:firstLine="105" w:firstLineChars="50"/>
        <w:jc w:val="center"/>
        <w:rPr>
          <w:rFonts w:ascii="Calibri" w:hAnsi="Calibri"/>
          <w:b/>
          <w:kern w:val="2"/>
          <w:lang w:val="en-US"/>
        </w:rPr>
      </w:pPr>
      <w:bookmarkStart w:id="38" w:name="月平均温度图"/>
      <w:r>
        <w:rPr>
          <w:rFonts w:hint="eastAsia" w:ascii="Calibri" w:hAnsi="Calibri"/>
          <w:b/>
          <w:kern w:val="2"/>
          <w:lang w:val="en-US"/>
        </w:rPr>
        <w:t xml:space="preserve"> </w:t>
      </w:r>
      <w:bookmarkEnd w:id="38"/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4.3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  室外月平均温度</w:t>
      </w:r>
    </w:p>
    <w:p>
      <w:pPr>
        <w:pStyle w:val="5"/>
      </w:pPr>
      <w:bookmarkStart w:id="39" w:name="_Toc3526"/>
      <w:r>
        <w:rPr>
          <w:rFonts w:hint="eastAsia"/>
        </w:rPr>
        <w:t>室内热舒适温度</w:t>
      </w:r>
      <w:bookmarkEnd w:id="39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Style w:val="21"/>
        <w:tblW w:w="9501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402"/>
        <w:gridCol w:w="42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61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</w:tcPr>
          <w:p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bookmarkStart w:id="40" w:name="室内热舒适温度表"/>
            <w:r>
              <w:rPr>
                <w:rFonts w:hint="eastAsia"/>
              </w:rPr>
              <w:t>室外月平均温度</w:t>
            </w:r>
            <w:bookmarkEnd w:id="40"/>
            <w:r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室内热舒适温度范围（℃）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1" w:type="dxa"/>
            <w:tcBorders>
              <w:top w:val="single" w:color="auto" w:sz="2" w:space="0"/>
            </w:tcBorders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-4.3</w:t>
            </w:r>
          </w:p>
        </w:tc>
        <w:tc>
          <w:tcPr>
            <w:tcW w:w="4238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-0.5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6.1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12.6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18.2~25.2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18.7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20.1~27.1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21.0~28.0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24.0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21.7~28.7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21.2~28.2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17.7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19.8~26.8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10.1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3.3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-2.2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>
      <w:pPr>
        <w:pStyle w:val="5"/>
      </w:pPr>
      <w:bookmarkStart w:id="41" w:name="_Toc32505"/>
      <w:r>
        <w:rPr>
          <w:rFonts w:hint="eastAsia"/>
        </w:rPr>
        <w:t>参评时间</w:t>
      </w:r>
      <w:r>
        <w:t>段</w:t>
      </w:r>
      <w:bookmarkEnd w:id="41"/>
    </w:p>
    <w:p>
      <w:pPr>
        <w:pStyle w:val="3"/>
        <w:ind w:firstLine="420"/>
        <w:rPr>
          <w:lang w:val="en-US"/>
        </w:rPr>
      </w:pPr>
      <w:bookmarkStart w:id="42" w:name="参评时间段"/>
      <w:r>
        <w:rPr>
          <w:rFonts w:hint="eastAsia"/>
          <w:lang w:val="en-US"/>
        </w:rPr>
        <w:t>1月1日至12月31日。</w:t>
      </w:r>
      <w:bookmarkEnd w:id="42"/>
    </w:p>
    <w:p>
      <w:pPr>
        <w:pStyle w:val="5"/>
      </w:pPr>
      <w:bookmarkStart w:id="43" w:name="_Toc29419"/>
      <w:r>
        <w:rPr>
          <w:rFonts w:hint="eastAsia"/>
        </w:rPr>
        <w:t>围护结构热工性能参数</w:t>
      </w:r>
      <w:bookmarkEnd w:id="43"/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</w:t>
      </w:r>
      <w:bookmarkStart w:id="44" w:name="表名"/>
      <w:r>
        <w:rPr>
          <w:rFonts w:hint="eastAsia"/>
        </w:rPr>
        <w:t>屋顶构造一</w:t>
      </w:r>
      <w:bookmarkEnd w:id="44"/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bookmarkStart w:id="45" w:name="表"/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水泥砂浆卧铺地砖</w:t>
            </w:r>
          </w:p>
        </w:tc>
        <w:tc>
          <w:tcPr>
            <w:tcW w:w="849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11.720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0.043</w:t>
            </w:r>
          </w:p>
        </w:tc>
        <w:tc>
          <w:tcPr>
            <w:tcW w:w="1064" w:type="dxa"/>
            <w:vAlign w:val="center"/>
          </w:tcPr>
          <w:p>
            <w:r>
              <w:t>0.504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水泥砂浆找平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钢筋混凝土（1）</w:t>
            </w:r>
          </w:p>
        </w:tc>
        <w:tc>
          <w:tcPr>
            <w:tcW w:w="849" w:type="dxa"/>
            <w:vAlign w:val="center"/>
          </w:tcPr>
          <w:p>
            <w:r>
              <w:t>350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0.201</w:t>
            </w:r>
          </w:p>
        </w:tc>
        <w:tc>
          <w:tcPr>
            <w:tcW w:w="1064" w:type="dxa"/>
            <w:vAlign w:val="center"/>
          </w:tcPr>
          <w:p>
            <w:r>
              <w:t>3.432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土层</w:t>
            </w:r>
          </w:p>
        </w:tc>
        <w:tc>
          <w:tcPr>
            <w:tcW w:w="849" w:type="dxa"/>
            <w:vAlign w:val="center"/>
          </w:tcPr>
          <w:p>
            <w:r>
              <w:t>1000</w:t>
            </w:r>
          </w:p>
        </w:tc>
        <w:tc>
          <w:tcPr>
            <w:tcW w:w="1075" w:type="dxa"/>
            <w:vAlign w:val="center"/>
          </w:tcPr>
          <w:p>
            <w:r>
              <w:t>0.800</w:t>
            </w:r>
          </w:p>
        </w:tc>
        <w:tc>
          <w:tcPr>
            <w:tcW w:w="1075" w:type="dxa"/>
            <w:vAlign w:val="center"/>
          </w:tcPr>
          <w:p>
            <w:r>
              <w:t>19.817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1.250</w:t>
            </w:r>
          </w:p>
        </w:tc>
        <w:tc>
          <w:tcPr>
            <w:tcW w:w="1064" w:type="dxa"/>
            <w:vAlign w:val="center"/>
          </w:tcPr>
          <w:p>
            <w:r>
              <w:t>24.771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白灰焦渣找坡层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0.290</w:t>
            </w:r>
          </w:p>
        </w:tc>
        <w:tc>
          <w:tcPr>
            <w:tcW w:w="1075" w:type="dxa"/>
            <w:vAlign w:val="center"/>
          </w:tcPr>
          <w:p>
            <w:r>
              <w:t>3.950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0.272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fs水泥粉煤灰板</w:t>
            </w:r>
          </w:p>
        </w:tc>
        <w:tc>
          <w:tcPr>
            <w:tcW w:w="849" w:type="dxa"/>
            <w:vAlign w:val="center"/>
          </w:tcPr>
          <w:p>
            <w:r>
              <w:t>150</w:t>
            </w:r>
          </w:p>
        </w:tc>
        <w:tc>
          <w:tcPr>
            <w:tcW w:w="1075" w:type="dxa"/>
            <w:vAlign w:val="center"/>
          </w:tcPr>
          <w:p>
            <w:r>
              <w:t>0.070</w:t>
            </w:r>
          </w:p>
        </w:tc>
        <w:tc>
          <w:tcPr>
            <w:tcW w:w="1075" w:type="dxa"/>
            <w:vAlign w:val="center"/>
          </w:tcPr>
          <w:p>
            <w:r>
              <w:t>0.365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2.143</w:t>
            </w:r>
          </w:p>
        </w:tc>
        <w:tc>
          <w:tcPr>
            <w:tcW w:w="1064" w:type="dxa"/>
            <w:vAlign w:val="center"/>
          </w:tcPr>
          <w:p>
            <w:r>
              <w:t>0.782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防水层</w:t>
            </w:r>
          </w:p>
        </w:tc>
        <w:tc>
          <w:tcPr>
            <w:tcW w:w="849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0.170</w:t>
            </w:r>
          </w:p>
        </w:tc>
        <w:tc>
          <w:tcPr>
            <w:tcW w:w="1075" w:type="dxa"/>
            <w:vAlign w:val="center"/>
          </w:tcPr>
          <w:p>
            <w:r>
              <w:t>0.111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0.059</w:t>
            </w:r>
          </w:p>
        </w:tc>
        <w:tc>
          <w:tcPr>
            <w:tcW w:w="1064" w:type="dxa"/>
            <w:vAlign w:val="center"/>
          </w:tcPr>
          <w:p>
            <w:r>
              <w:t>0.007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粉煤灰青砖</w:t>
            </w:r>
          </w:p>
        </w:tc>
        <w:tc>
          <w:tcPr>
            <w:tcW w:w="849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0.500</w:t>
            </w:r>
          </w:p>
        </w:tc>
        <w:tc>
          <w:tcPr>
            <w:tcW w:w="1075" w:type="dxa"/>
            <w:vAlign w:val="center"/>
          </w:tcPr>
          <w:p>
            <w:r>
              <w:t>7.820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0.060</w:t>
            </w:r>
          </w:p>
        </w:tc>
        <w:tc>
          <w:tcPr>
            <w:tcW w:w="1064" w:type="dxa"/>
            <w:vAlign w:val="center"/>
          </w:tcPr>
          <w:p>
            <w:r>
              <w:t>0.469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1620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3.846</w:t>
            </w:r>
          </w:p>
        </w:tc>
        <w:tc>
          <w:tcPr>
            <w:tcW w:w="1064" w:type="dxa"/>
            <w:vAlign w:val="center"/>
          </w:tcPr>
          <w:p>
            <w:r>
              <w:t>30.480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0.25</w:t>
            </w:r>
          </w:p>
        </w:tc>
      </w:tr>
      <w:bookmarkEnd w:id="45"/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外墙构造一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土层</w:t>
            </w:r>
          </w:p>
        </w:tc>
        <w:tc>
          <w:tcPr>
            <w:tcW w:w="849" w:type="dxa"/>
            <w:vAlign w:val="center"/>
          </w:tcPr>
          <w:p>
            <w:r>
              <w:t>1000</w:t>
            </w:r>
          </w:p>
        </w:tc>
        <w:tc>
          <w:tcPr>
            <w:tcW w:w="1075" w:type="dxa"/>
            <w:vAlign w:val="center"/>
          </w:tcPr>
          <w:p>
            <w:r>
              <w:t>0.800</w:t>
            </w:r>
          </w:p>
        </w:tc>
        <w:tc>
          <w:tcPr>
            <w:tcW w:w="1075" w:type="dxa"/>
            <w:vAlign w:val="center"/>
          </w:tcPr>
          <w:p>
            <w:r>
              <w:t>19.817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1.250</w:t>
            </w:r>
          </w:p>
        </w:tc>
        <w:tc>
          <w:tcPr>
            <w:tcW w:w="1064" w:type="dxa"/>
            <w:vAlign w:val="center"/>
          </w:tcPr>
          <w:p>
            <w:r>
              <w:t>24.771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水泥砂浆（2）</w:t>
            </w:r>
          </w:p>
        </w:tc>
        <w:tc>
          <w:tcPr>
            <w:tcW w:w="849" w:type="dxa"/>
            <w:vAlign w:val="center"/>
          </w:tcPr>
          <w:p>
            <w:r>
              <w:t>12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0.013</w:t>
            </w:r>
          </w:p>
        </w:tc>
        <w:tc>
          <w:tcPr>
            <w:tcW w:w="1064" w:type="dxa"/>
            <w:vAlign w:val="center"/>
          </w:tcPr>
          <w:p>
            <w:r>
              <w:t>0.147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钢筋混凝土（1）</w:t>
            </w:r>
          </w:p>
        </w:tc>
        <w:tc>
          <w:tcPr>
            <w:tcW w:w="849" w:type="dxa"/>
            <w:vAlign w:val="center"/>
          </w:tcPr>
          <w:p>
            <w:r>
              <w:t>350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0.201</w:t>
            </w:r>
          </w:p>
        </w:tc>
        <w:tc>
          <w:tcPr>
            <w:tcW w:w="1064" w:type="dxa"/>
            <w:vAlign w:val="center"/>
          </w:tcPr>
          <w:p>
            <w:r>
              <w:t>3.432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fs水泥粉煤灰板</w:t>
            </w:r>
          </w:p>
        </w:tc>
        <w:tc>
          <w:tcPr>
            <w:tcW w:w="849" w:type="dxa"/>
            <w:vAlign w:val="center"/>
          </w:tcPr>
          <w:p>
            <w:r>
              <w:t>53</w:t>
            </w:r>
          </w:p>
        </w:tc>
        <w:tc>
          <w:tcPr>
            <w:tcW w:w="1075" w:type="dxa"/>
            <w:vAlign w:val="center"/>
          </w:tcPr>
          <w:p>
            <w:r>
              <w:t>0.070</w:t>
            </w:r>
          </w:p>
        </w:tc>
        <w:tc>
          <w:tcPr>
            <w:tcW w:w="1075" w:type="dxa"/>
            <w:vAlign w:val="center"/>
          </w:tcPr>
          <w:p>
            <w:r>
              <w:t>0.365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0.757</w:t>
            </w:r>
          </w:p>
        </w:tc>
        <w:tc>
          <w:tcPr>
            <w:tcW w:w="1064" w:type="dxa"/>
            <w:vAlign w:val="center"/>
          </w:tcPr>
          <w:p>
            <w:r>
              <w:t>0.276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粉煤灰青砖</w:t>
            </w:r>
          </w:p>
        </w:tc>
        <w:tc>
          <w:tcPr>
            <w:tcW w:w="849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0.500</w:t>
            </w:r>
          </w:p>
        </w:tc>
        <w:tc>
          <w:tcPr>
            <w:tcW w:w="1075" w:type="dxa"/>
            <w:vAlign w:val="center"/>
          </w:tcPr>
          <w:p>
            <w:r>
              <w:t>7.820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0.060</w:t>
            </w:r>
          </w:p>
        </w:tc>
        <w:tc>
          <w:tcPr>
            <w:tcW w:w="1064" w:type="dxa"/>
            <w:vAlign w:val="center"/>
          </w:tcPr>
          <w:p>
            <w:r>
              <w:t>0.469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1445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2.281</w:t>
            </w:r>
          </w:p>
        </w:tc>
        <w:tc>
          <w:tcPr>
            <w:tcW w:w="1064" w:type="dxa"/>
            <w:vAlign w:val="center"/>
          </w:tcPr>
          <w:p>
            <w:r>
              <w:t>29.095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0.41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挑空楼板构造一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现浇钢筋砼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0.689</w:t>
            </w:r>
          </w:p>
        </w:tc>
        <w:tc>
          <w:tcPr>
            <w:tcW w:w="1064" w:type="dxa"/>
            <w:vAlign w:val="center"/>
          </w:tcPr>
          <w:p>
            <w:r>
              <w:t>2.146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1.19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控温房间隔墙构造一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1075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0.253</w:t>
            </w:r>
          </w:p>
        </w:tc>
        <w:tc>
          <w:tcPr>
            <w:tcW w:w="1064" w:type="dxa"/>
            <w:vAlign w:val="center"/>
          </w:tcPr>
          <w:p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粉煤灰青砖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0.500</w:t>
            </w:r>
          </w:p>
        </w:tc>
        <w:tc>
          <w:tcPr>
            <w:tcW w:w="1075" w:type="dxa"/>
            <w:vAlign w:val="center"/>
          </w:tcPr>
          <w:p>
            <w:r>
              <w:t>7.820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0.040</w:t>
            </w:r>
          </w:p>
        </w:tc>
        <w:tc>
          <w:tcPr>
            <w:tcW w:w="1064" w:type="dxa"/>
            <w:vAlign w:val="center"/>
          </w:tcPr>
          <w:p>
            <w:r>
              <w:t>0.313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0.315</w:t>
            </w:r>
          </w:p>
        </w:tc>
        <w:tc>
          <w:tcPr>
            <w:tcW w:w="1064" w:type="dxa"/>
            <w:vAlign w:val="center"/>
          </w:tcPr>
          <w:p>
            <w:r>
              <w:t>2.455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1.87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控温房间楼板构造一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现浇钢筋砼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粉煤灰青砖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0.500</w:t>
            </w:r>
          </w:p>
        </w:tc>
        <w:tc>
          <w:tcPr>
            <w:tcW w:w="1075" w:type="dxa"/>
            <w:vAlign w:val="center"/>
          </w:tcPr>
          <w:p>
            <w:r>
              <w:t>7.820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0.040</w:t>
            </w:r>
          </w:p>
        </w:tc>
        <w:tc>
          <w:tcPr>
            <w:tcW w:w="1064" w:type="dxa"/>
            <w:vAlign w:val="center"/>
          </w:tcPr>
          <w:p>
            <w:r>
              <w:t>0.313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160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0.130</w:t>
            </w:r>
          </w:p>
        </w:tc>
        <w:tc>
          <w:tcPr>
            <w:tcW w:w="1064" w:type="dxa"/>
            <w:vAlign w:val="center"/>
          </w:tcPr>
          <w:p>
            <w:r>
              <w:t>1.744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2.85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塑料+6Low-E+12A+6mm白透中空玻璃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0.000</w:t>
            </w:r>
          </w:p>
        </w:tc>
        <w:tc>
          <w:tcPr>
            <w:tcW w:w="1064" w:type="dxa"/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/>
        </w:tc>
        <w:tc>
          <w:tcPr>
            <w:tcW w:w="5986" w:type="dxa"/>
            <w:gridSpan w:val="6"/>
          </w:tcPr>
          <w:p>
            <w:pPr>
              <w:jc w:val="center"/>
            </w:pP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外门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钢板-硬质聚氨酯泡沫塑料15-钢板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1.16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内门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内门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3.00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bookmarkStart w:id="46" w:name="_Toc36538848"/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外窗</w:t>
      </w:r>
      <w:bookmarkEnd w:id="46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塑料+6Low-E+12A+6mm白透中空玻璃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1.90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0.31</w:t>
            </w:r>
          </w:p>
        </w:tc>
      </w:tr>
    </w:tbl>
    <w:p>
      <w:pPr>
        <w:pStyle w:val="3"/>
        <w:ind w:firstLine="578" w:firstLineChars="241"/>
        <w:rPr>
          <w:sz w:val="24"/>
          <w:szCs w:val="24"/>
          <w:lang w:val="en-US"/>
        </w:rPr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内窗</w:t>
      </w:r>
      <w:bookmarkEnd w:id="4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塑料+6Low-E+12A+6mm白透中空玻璃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1.90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0.31</w:t>
            </w:r>
          </w:p>
        </w:tc>
      </w:tr>
      <w:bookmarkEnd w:id="1"/>
      <w:bookmarkEnd w:id="2"/>
      <w:bookmarkEnd w:id="3"/>
      <w:bookmarkEnd w:id="5"/>
    </w:tbl>
    <w:p>
      <w:pPr>
        <w:pStyle w:val="3"/>
        <w:ind w:firstLine="578" w:firstLineChars="241"/>
        <w:rPr>
          <w:sz w:val="24"/>
          <w:szCs w:val="24"/>
          <w:lang w:val="en-US"/>
        </w:rPr>
      </w:pPr>
    </w:p>
    <w:p>
      <w:pPr>
        <w:ind w:firstLine="420" w:firstLineChars="200"/>
      </w:pPr>
      <w:bookmarkStart w:id="47" w:name="围护结构"/>
      <w:r>
        <w:rPr>
          <w:rFonts w:hint="eastAsia"/>
        </w:rPr>
        <w:t xml:space="preserve"> </w:t>
      </w:r>
      <w:bookmarkEnd w:id="47"/>
    </w:p>
    <w:p>
      <w:pPr>
        <w:pStyle w:val="5"/>
      </w:pPr>
      <w:bookmarkStart w:id="48" w:name="_Toc17383"/>
      <w:r>
        <w:rPr>
          <w:rFonts w:hint="eastAsia"/>
        </w:rPr>
        <w:t>房间类型参数</w:t>
      </w:r>
      <w:bookmarkEnd w:id="48"/>
    </w:p>
    <w:tbl>
      <w:tblPr>
        <w:tblStyle w:val="21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137"/>
        <w:gridCol w:w="1137"/>
        <w:gridCol w:w="1137"/>
        <w:gridCol w:w="1262"/>
        <w:gridCol w:w="1262"/>
        <w:gridCol w:w="1262"/>
        <w:gridCol w:w="12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过渡季新风量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平均风速(m/s)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</w:tbl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bookmarkStart w:id="49" w:name="标题"/>
      <w:r>
        <w:rPr>
          <w:lang w:val="en-US"/>
        </w:rPr>
        <w:t>工作日/节假日人员逐时在室率(%)</w:t>
      </w:r>
      <w:bookmarkEnd w:id="49"/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工作日/节假日照明开关时间表(%)</w:t>
      </w:r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工作日/节假日设备逐时使用率(%)</w:t>
      </w:r>
      <w:bookmarkEnd w:id="0"/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3"/>
        <w:ind w:firstLine="0" w:firstLineChars="0"/>
        <w:rPr>
          <w:b/>
          <w:lang w:val="en-US"/>
        </w:rPr>
      </w:pPr>
      <w:bookmarkStart w:id="50" w:name="房间类型"/>
      <w:bookmarkEnd w:id="50"/>
    </w:p>
    <w:p>
      <w:pPr>
        <w:pStyle w:val="2"/>
      </w:pPr>
      <w:bookmarkStart w:id="51" w:name="_Toc3745"/>
      <w:bookmarkStart w:id="52" w:name="_Toc452108768"/>
      <w:bookmarkStart w:id="53" w:name="_Toc45"/>
      <w:r>
        <w:rPr>
          <w:rFonts w:hint="eastAsia"/>
        </w:rPr>
        <w:t>结果</w:t>
      </w:r>
      <w:r>
        <w:t>分析</w:t>
      </w:r>
      <w:bookmarkEnd w:id="51"/>
      <w:bookmarkEnd w:id="52"/>
      <w:bookmarkEnd w:id="53"/>
    </w:p>
    <w:p>
      <w:pPr>
        <w:pStyle w:val="4"/>
      </w:pPr>
      <w:bookmarkStart w:id="54" w:name="_Toc23705"/>
      <w:r>
        <w:rPr>
          <w:rFonts w:hint="eastAsia"/>
        </w:rPr>
        <w:t>室内适应性热舒适温度达标比例统计</w:t>
      </w:r>
      <w:bookmarkEnd w:id="54"/>
      <w:bookmarkStart w:id="55" w:name="_Hlk14199391"/>
    </w:p>
    <w:tbl>
      <w:tblPr>
        <w:tblStyle w:val="21"/>
        <w:tblW w:w="103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92"/>
        <w:gridCol w:w="3186"/>
        <w:gridCol w:w="1075"/>
        <w:gridCol w:w="33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层号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满足热舒适区间的时间比例(%)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1001</w:t>
            </w:r>
          </w:p>
        </w:tc>
        <w:tc>
          <w:tcPr>
            <w:vAlign w:val="center"/>
          </w:tcPr>
          <w:p>
            <w:r>
              <w:t>起居室</w:t>
            </w:r>
          </w:p>
        </w:tc>
        <w:tc>
          <w:tcPr>
            <w:vAlign w:val="center"/>
          </w:tcPr>
          <w:p>
            <w:r>
              <w:t>20.4</w:t>
            </w:r>
          </w:p>
        </w:tc>
        <w:tc>
          <w:tcPr>
            <w:vAlign w:val="center"/>
          </w:tcPr>
          <w:p>
            <w:r>
              <w:t>39.74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1002</w:t>
            </w:r>
          </w:p>
        </w:tc>
        <w:tc>
          <w:tcPr>
            <w:vAlign w:val="center"/>
          </w:tcPr>
          <w:p>
            <w:r>
              <w:t>起居室</w:t>
            </w:r>
          </w:p>
        </w:tc>
        <w:tc>
          <w:tcPr>
            <w:vAlign w:val="center"/>
          </w:tcPr>
          <w:p>
            <w:r>
              <w:t>20.4</w:t>
            </w:r>
          </w:p>
        </w:tc>
        <w:tc>
          <w:tcPr>
            <w:vAlign w:val="center"/>
          </w:tcPr>
          <w:p>
            <w:r>
              <w:t>42.02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1003</w:t>
            </w:r>
          </w:p>
        </w:tc>
        <w:tc>
          <w:tcPr>
            <w:vAlign w:val="center"/>
          </w:tcPr>
          <w:p>
            <w:r>
              <w:t>起居室</w:t>
            </w:r>
          </w:p>
        </w:tc>
        <w:tc>
          <w:tcPr>
            <w:vAlign w:val="center"/>
          </w:tcPr>
          <w:p>
            <w:r>
              <w:t>20.4</w:t>
            </w:r>
          </w:p>
        </w:tc>
        <w:tc>
          <w:tcPr>
            <w:vAlign w:val="center"/>
          </w:tcPr>
          <w:p>
            <w:r>
              <w:t>40.81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1006</w:t>
            </w:r>
          </w:p>
        </w:tc>
        <w:tc>
          <w:tcPr>
            <w:vAlign w:val="center"/>
          </w:tcPr>
          <w:p>
            <w:r>
              <w:t>展厅（单层及顶层）</w:t>
            </w:r>
          </w:p>
        </w:tc>
        <w:tc>
          <w:tcPr>
            <w:vAlign w:val="center"/>
          </w:tcPr>
          <w:p>
            <w:r>
              <w:t>23.5</w:t>
            </w:r>
          </w:p>
        </w:tc>
        <w:tc>
          <w:tcPr>
            <w:vAlign w:val="center"/>
          </w:tcPr>
          <w:p>
            <w:r>
              <w:t>39.36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1007</w:t>
            </w:r>
          </w:p>
        </w:tc>
        <w:tc>
          <w:tcPr>
            <w:vAlign w:val="center"/>
          </w:tcPr>
          <w:p>
            <w:r>
              <w:t>展厅（单层及顶层）</w:t>
            </w:r>
          </w:p>
        </w:tc>
        <w:tc>
          <w:tcPr>
            <w:vAlign w:val="center"/>
          </w:tcPr>
          <w:p>
            <w:r>
              <w:t>23.7</w:t>
            </w:r>
          </w:p>
        </w:tc>
        <w:tc>
          <w:tcPr>
            <w:vAlign w:val="center"/>
          </w:tcPr>
          <w:p>
            <w:r>
              <w:t>40.59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1008</w:t>
            </w:r>
          </w:p>
        </w:tc>
        <w:tc>
          <w:tcPr>
            <w:vAlign w:val="center"/>
          </w:tcPr>
          <w:p>
            <w:r>
              <w:t>展厅（单层及顶层）</w:t>
            </w:r>
          </w:p>
        </w:tc>
        <w:tc>
          <w:tcPr>
            <w:vAlign w:val="center"/>
          </w:tcPr>
          <w:p>
            <w:r>
              <w:t>23.7</w:t>
            </w:r>
          </w:p>
        </w:tc>
        <w:tc>
          <w:tcPr>
            <w:vAlign w:val="center"/>
          </w:tcPr>
          <w:p>
            <w:r>
              <w:t>39.55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1009</w:t>
            </w:r>
          </w:p>
        </w:tc>
        <w:tc>
          <w:tcPr>
            <w:vAlign w:val="center"/>
          </w:tcPr>
          <w:p>
            <w:r>
              <w:t>登录厅</w:t>
            </w:r>
          </w:p>
        </w:tc>
        <w:tc>
          <w:tcPr>
            <w:vAlign w:val="center"/>
          </w:tcPr>
          <w:p>
            <w:r>
              <w:t>27.7</w:t>
            </w:r>
          </w:p>
        </w:tc>
        <w:tc>
          <w:tcPr>
            <w:vAlign w:val="center"/>
          </w:tcPr>
          <w:p>
            <w:r>
              <w:t>42.67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1010</w:t>
            </w:r>
          </w:p>
        </w:tc>
        <w:tc>
          <w:tcPr>
            <w:vAlign w:val="center"/>
          </w:tcPr>
          <w:p>
            <w:r>
              <w:t>登录厅</w:t>
            </w:r>
          </w:p>
        </w:tc>
        <w:tc>
          <w:tcPr>
            <w:vAlign w:val="center"/>
          </w:tcPr>
          <w:p>
            <w:r>
              <w:t>28.6</w:t>
            </w:r>
          </w:p>
        </w:tc>
        <w:tc>
          <w:tcPr>
            <w:vAlign w:val="center"/>
          </w:tcPr>
          <w:p>
            <w:r>
              <w:t>45.95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1011</w:t>
            </w:r>
          </w:p>
        </w:tc>
        <w:tc>
          <w:tcPr>
            <w:vAlign w:val="center"/>
          </w:tcPr>
          <w:p>
            <w:r>
              <w:t>登录厅</w:t>
            </w:r>
          </w:p>
        </w:tc>
        <w:tc>
          <w:tcPr>
            <w:vAlign w:val="center"/>
          </w:tcPr>
          <w:p>
            <w:r>
              <w:t>28.6</w:t>
            </w:r>
          </w:p>
        </w:tc>
        <w:tc>
          <w:tcPr>
            <w:vAlign w:val="center"/>
          </w:tcPr>
          <w:p>
            <w:r>
              <w:t>46.68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1012</w:t>
            </w:r>
          </w:p>
        </w:tc>
        <w:tc>
          <w:tcPr>
            <w:vAlign w:val="center"/>
          </w:tcPr>
          <w:p>
            <w:r>
              <w:t>登录厅</w:t>
            </w:r>
          </w:p>
        </w:tc>
        <w:tc>
          <w:tcPr>
            <w:vAlign w:val="center"/>
          </w:tcPr>
          <w:p>
            <w:r>
              <w:t>29.3</w:t>
            </w:r>
          </w:p>
        </w:tc>
        <w:tc>
          <w:tcPr>
            <w:vAlign w:val="center"/>
          </w:tcPr>
          <w:p>
            <w:r>
              <w:t>42.93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1015</w:t>
            </w:r>
          </w:p>
        </w:tc>
        <w:tc>
          <w:tcPr>
            <w:vAlign w:val="center"/>
          </w:tcPr>
          <w:p>
            <w:r>
              <w:t>库房</w:t>
            </w:r>
          </w:p>
        </w:tc>
        <w:tc>
          <w:tcPr>
            <w:vAlign w:val="center"/>
          </w:tcPr>
          <w:p>
            <w:r>
              <w:t>24.5</w:t>
            </w:r>
          </w:p>
        </w:tc>
        <w:tc>
          <w:tcPr>
            <w:vAlign w:val="center"/>
          </w:tcPr>
          <w:p>
            <w:r>
              <w:t>41.79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1016</w:t>
            </w:r>
          </w:p>
        </w:tc>
        <w:tc>
          <w:tcPr>
            <w:vAlign w:val="center"/>
          </w:tcPr>
          <w:p>
            <w:r>
              <w:t>库房</w:t>
            </w:r>
          </w:p>
        </w:tc>
        <w:tc>
          <w:tcPr>
            <w:vAlign w:val="center"/>
          </w:tcPr>
          <w:p>
            <w:r>
              <w:t>24.5</w:t>
            </w:r>
          </w:p>
        </w:tc>
        <w:tc>
          <w:tcPr>
            <w:vAlign w:val="center"/>
          </w:tcPr>
          <w:p>
            <w:r>
              <w:t>42.65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1017</w:t>
            </w:r>
          </w:p>
        </w:tc>
        <w:tc>
          <w:tcPr>
            <w:vAlign w:val="center"/>
          </w:tcPr>
          <w:p>
            <w:r>
              <w:t>库房</w:t>
            </w:r>
          </w:p>
        </w:tc>
        <w:tc>
          <w:tcPr>
            <w:vAlign w:val="center"/>
          </w:tcPr>
          <w:p>
            <w:r>
              <w:t>24.5</w:t>
            </w:r>
          </w:p>
        </w:tc>
        <w:tc>
          <w:tcPr>
            <w:vAlign w:val="center"/>
          </w:tcPr>
          <w:p>
            <w:r>
              <w:t>42.34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1018</w:t>
            </w:r>
          </w:p>
        </w:tc>
        <w:tc>
          <w:tcPr>
            <w:vAlign w:val="center"/>
          </w:tcPr>
          <w:p>
            <w:r>
              <w:t>库房</w:t>
            </w:r>
          </w:p>
        </w:tc>
        <w:tc>
          <w:tcPr>
            <w:vAlign w:val="center"/>
          </w:tcPr>
          <w:p>
            <w:r>
              <w:t>24.5</w:t>
            </w:r>
          </w:p>
        </w:tc>
        <w:tc>
          <w:tcPr>
            <w:vAlign w:val="center"/>
          </w:tcPr>
          <w:p>
            <w:r>
              <w:t>41.56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2001</w:t>
            </w:r>
          </w:p>
        </w:tc>
        <w:tc>
          <w:tcPr>
            <w:vAlign w:val="center"/>
          </w:tcPr>
          <w:p>
            <w:r>
              <w:t>展厅（单层及顶层）</w:t>
            </w:r>
          </w:p>
        </w:tc>
        <w:tc>
          <w:tcPr>
            <w:vAlign w:val="center"/>
          </w:tcPr>
          <w:p>
            <w:r>
              <w:t>32.0</w:t>
            </w:r>
          </w:p>
        </w:tc>
        <w:tc>
          <w:tcPr>
            <w:vAlign w:val="center"/>
          </w:tcPr>
          <w:p>
            <w:r>
              <w:t>41.39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2002</w:t>
            </w:r>
          </w:p>
        </w:tc>
        <w:tc>
          <w:tcPr>
            <w:vAlign w:val="center"/>
          </w:tcPr>
          <w:p>
            <w:r>
              <w:t>展厅（单层及顶层）</w:t>
            </w:r>
          </w:p>
        </w:tc>
        <w:tc>
          <w:tcPr>
            <w:vAlign w:val="center"/>
          </w:tcPr>
          <w:p>
            <w:r>
              <w:t>12.4</w:t>
            </w:r>
          </w:p>
        </w:tc>
        <w:tc>
          <w:tcPr>
            <w:vAlign w:val="center"/>
          </w:tcPr>
          <w:p>
            <w:r>
              <w:t>32.91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2003</w:t>
            </w:r>
          </w:p>
        </w:tc>
        <w:tc>
          <w:tcPr>
            <w:vAlign w:val="center"/>
          </w:tcPr>
          <w:p>
            <w:r>
              <w:t>展厅（单层及顶层）</w:t>
            </w:r>
          </w:p>
        </w:tc>
        <w:tc>
          <w:tcPr>
            <w:vAlign w:val="center"/>
          </w:tcPr>
          <w:p>
            <w:r>
              <w:t>14.8</w:t>
            </w:r>
          </w:p>
        </w:tc>
        <w:tc>
          <w:tcPr>
            <w:vAlign w:val="center"/>
          </w:tcPr>
          <w:p>
            <w:r>
              <w:t>33.60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X002</w:t>
            </w:r>
          </w:p>
        </w:tc>
        <w:tc>
          <w:tcPr>
            <w:vAlign w:val="center"/>
          </w:tcPr>
          <w:p>
            <w:r>
              <w:t>展厅（单层及顶层）</w:t>
            </w:r>
          </w:p>
        </w:tc>
        <w:tc>
          <w:tcPr>
            <w:vAlign w:val="center"/>
          </w:tcPr>
          <w:p>
            <w:r>
              <w:t>62.7</w:t>
            </w:r>
          </w:p>
        </w:tc>
        <w:tc>
          <w:tcPr>
            <w:vAlign w:val="center"/>
          </w:tcPr>
          <w:p>
            <w:r>
              <w:t>44.02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X003</w:t>
            </w:r>
          </w:p>
        </w:tc>
        <w:tc>
          <w:tcPr>
            <w:vAlign w:val="center"/>
          </w:tcPr>
          <w:p>
            <w:r>
              <w:t>展厅（单层及顶层）</w:t>
            </w:r>
          </w:p>
        </w:tc>
        <w:tc>
          <w:tcPr>
            <w:vAlign w:val="center"/>
          </w:tcPr>
          <w:p>
            <w:r>
              <w:t>16.2</w:t>
            </w:r>
          </w:p>
        </w:tc>
        <w:tc>
          <w:tcPr>
            <w:vAlign w:val="center"/>
          </w:tcPr>
          <w:p>
            <w:r>
              <w:t>43.73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X004</w:t>
            </w:r>
          </w:p>
        </w:tc>
        <w:tc>
          <w:tcPr>
            <w:vAlign w:val="center"/>
          </w:tcPr>
          <w:p>
            <w:r>
              <w:t>展厅（单层及顶层）</w:t>
            </w:r>
          </w:p>
        </w:tc>
        <w:tc>
          <w:tcPr>
            <w:vAlign w:val="center"/>
          </w:tcPr>
          <w:p>
            <w:r>
              <w:t>74.3</w:t>
            </w:r>
          </w:p>
        </w:tc>
        <w:tc>
          <w:tcPr>
            <w:vAlign w:val="center"/>
          </w:tcPr>
          <w:p>
            <w:r>
              <w:t>44.69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X005</w:t>
            </w:r>
          </w:p>
        </w:tc>
        <w:tc>
          <w:tcPr>
            <w:vAlign w:val="center"/>
          </w:tcPr>
          <w:p>
            <w:r>
              <w:t>展厅（单层及顶层）</w:t>
            </w:r>
          </w:p>
        </w:tc>
        <w:tc>
          <w:tcPr>
            <w:vAlign w:val="center"/>
          </w:tcPr>
          <w:p>
            <w:r>
              <w:t>74.0</w:t>
            </w:r>
          </w:p>
        </w:tc>
        <w:tc>
          <w:tcPr>
            <w:vAlign w:val="center"/>
          </w:tcPr>
          <w:p>
            <w:r>
              <w:t>44.65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X006</w:t>
            </w:r>
          </w:p>
        </w:tc>
        <w:tc>
          <w:tcPr>
            <w:vAlign w:val="center"/>
          </w:tcPr>
          <w:p>
            <w:r>
              <w:t>前台</w:t>
            </w:r>
          </w:p>
        </w:tc>
        <w:tc>
          <w:tcPr>
            <w:vAlign w:val="center"/>
          </w:tcPr>
          <w:p>
            <w:r>
              <w:t>14.2</w:t>
            </w:r>
          </w:p>
        </w:tc>
        <w:tc>
          <w:tcPr>
            <w:vAlign w:val="center"/>
          </w:tcPr>
          <w:p>
            <w:r>
              <w:t>43.77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建筑满足热舒适区间的时间达标比例(%)</w:t>
            </w:r>
          </w:p>
        </w:tc>
        <w:tc>
          <w:tcPr>
            <w:vAlign w:val="center"/>
          </w:tcPr>
          <w:p>
            <w:r>
              <w:t>42.61%</w:t>
            </w:r>
          </w:p>
        </w:tc>
      </w:tr>
      <w:bookmarkEnd w:id="55"/>
    </w:tbl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bookmarkStart w:id="56" w:name="达标比例统计表"/>
      <w:bookmarkEnd w:id="56"/>
    </w:p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说明：建筑整体的室内热舒适区间</w:t>
      </w:r>
      <w:r>
        <w:rPr>
          <w:rFonts w:ascii="微软雅黑" w:hAnsi="微软雅黑" w:eastAsia="微软雅黑"/>
          <w:sz w:val="18"/>
          <w:szCs w:val="18"/>
        </w:rPr>
        <w:t>的时间</w:t>
      </w:r>
      <w:r>
        <w:rPr>
          <w:rFonts w:hint="eastAsia" w:ascii="微软雅黑" w:hAnsi="微软雅黑" w:eastAsia="微软雅黑"/>
          <w:sz w:val="18"/>
          <w:szCs w:val="18"/>
        </w:rPr>
        <w:t>达标比例按照建筑各主要功能房间的计算值进行面积加权平均得出。</w:t>
      </w:r>
    </w:p>
    <w:p>
      <w:pPr>
        <w:pStyle w:val="2"/>
      </w:pPr>
      <w:bookmarkStart w:id="57" w:name="_Toc30408"/>
      <w:r>
        <w:rPr>
          <w:rFonts w:hint="eastAsia"/>
        </w:rPr>
        <w:t>结论</w:t>
      </w:r>
      <w:bookmarkEnd w:id="57"/>
    </w:p>
    <w:p>
      <w:pPr>
        <w:adjustRightInd w:val="0"/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/>
        </w:rPr>
        <w:t>该建筑主要功能房间满足热舒适区间的时间达标比例为</w:t>
      </w:r>
      <w:bookmarkStart w:id="58" w:name="达标百分比"/>
      <w:r>
        <w:rPr>
          <w:rFonts w:hint="eastAsia"/>
          <w:lang w:val="en-US"/>
        </w:rPr>
        <w:t>42.61%</w:t>
      </w:r>
      <w:bookmarkEnd w:id="58"/>
      <w:r>
        <w:rPr>
          <w:rFonts w:hint="eastAsia"/>
          <w:lang w:val="en-US"/>
        </w:rPr>
        <w:t>，根据绿标5.2.9的第1条，应得</w:t>
      </w:r>
      <w:bookmarkStart w:id="59" w:name="得分"/>
      <w:r>
        <w:rPr>
          <w:rFonts w:hint="eastAsia"/>
          <w:lang w:val="en-US"/>
        </w:rPr>
        <w:t>3</w:t>
      </w:r>
      <w:bookmarkEnd w:id="59"/>
      <w:r>
        <w:rPr>
          <w:rFonts w:hint="eastAsia"/>
          <w:lang w:val="en-US"/>
        </w:rPr>
        <w:t>分。</w:t>
      </w:r>
    </w:p>
    <w:p>
      <w:pPr>
        <w:spacing w:line="240" w:lineRule="auto"/>
        <w:rPr>
          <w:szCs w:val="21"/>
          <w:lang w:val="en-US"/>
        </w:rPr>
      </w:pPr>
      <w:r>
        <w:rPr>
          <w:lang w:val="en-US"/>
        </w:rPr>
        <w:br w:type="page"/>
      </w:r>
    </w:p>
    <w:p>
      <w:pPr>
        <w:pStyle w:val="3"/>
        <w:ind w:firstLine="199" w:firstLineChars="95"/>
        <w:rPr>
          <w:lang w:val="en-US"/>
        </w:rPr>
      </w:pPr>
      <w:bookmarkStart w:id="60" w:name="房间逐时温度图"/>
      <w:bookmarkEnd w:id="60"/>
    </w:p>
    <w:sectPr>
      <w:pgSz w:w="11906" w:h="16838"/>
      <w:pgMar w:top="1440" w:right="849" w:bottom="993" w:left="1134" w:header="794" w:footer="17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aunPenh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2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3020"/>
      <w:gridCol w:w="302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</w:tcPr>
        <w:p>
          <w:pPr>
            <w:pStyle w:val="17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3020" w:type="dxa"/>
        </w:tcPr>
        <w:p>
          <w:pPr>
            <w:pStyle w:val="17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3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9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>
          <w:pPr>
            <w:pStyle w:val="17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asciiTheme="minorEastAsia" w:hAnsiTheme="minorEastAsia" w:eastAsiaTheme="minorEastAsia"/>
              <w:sz w:val="20"/>
              <w:szCs w:val="21"/>
            </w:rPr>
            <w:t>ITES20</w:t>
          </w:r>
          <w:r>
            <w:rPr>
              <w:rFonts w:hint="eastAsia" w:asciiTheme="minorEastAsia" w:hAnsiTheme="minorEastAsia" w:eastAsiaTheme="minorEastAsia"/>
              <w:sz w:val="20"/>
              <w:szCs w:val="21"/>
            </w:rPr>
            <w:t>2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2</w:t>
          </w:r>
        </w:p>
      </w:tc>
    </w:tr>
  </w:tbl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Fonts w:asciiTheme="minorEastAsia" w:hAnsiTheme="minorEastAsia" w:eastAsiaTheme="minorEastAsia"/>
        <w:szCs w:val="21"/>
      </w:rPr>
    </w:pPr>
  </w:p>
  <w:p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0"/>
      </w:pBdr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室内温度达标比例报告书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E3257E5"/>
    <w:multiLevelType w:val="multilevel"/>
    <w:tmpl w:val="0E3257E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3E4C29"/>
    <w:multiLevelType w:val="multilevel"/>
    <w:tmpl w:val="173E4C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7734B"/>
    <w:multiLevelType w:val="multilevel"/>
    <w:tmpl w:val="6397734B"/>
    <w:lvl w:ilvl="0" w:tentative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ZGQ1MTQ1NzNmYzI2MWNhYjkxNTgyMzRmM2E1YWMifQ=="/>
  </w:docVars>
  <w:rsids>
    <w:rsidRoot w:val="512C131D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  <w:rsid w:val="512C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nhideWhenUsed="0" w:uiPriority="0" w:semiHidden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unhideWhenUsed="0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tLeast"/>
    </w:pPr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7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8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7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38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39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40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4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42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Normal Indent"/>
    <w:basedOn w:val="1"/>
    <w:link w:val="31"/>
    <w:uiPriority w:val="0"/>
    <w:pPr>
      <w:adjustRightInd w:val="0"/>
      <w:spacing w:before="50" w:beforeLines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13">
    <w:name w:val="caption"/>
    <w:basedOn w:val="1"/>
    <w:next w:val="1"/>
    <w:unhideWhenUsed/>
    <w:qFormat/>
    <w:uiPriority w:val="0"/>
    <w:rPr>
      <w:rFonts w:ascii="Cambria" w:hAnsi="Cambria" w:eastAsia="黑体"/>
      <w:sz w:val="20"/>
    </w:rPr>
  </w:style>
  <w:style w:type="paragraph" w:styleId="14">
    <w:name w:val="Document Map"/>
    <w:basedOn w:val="1"/>
    <w:link w:val="44"/>
    <w:semiHidden/>
    <w:uiPriority w:val="0"/>
    <w:pPr>
      <w:shd w:val="clear" w:color="auto" w:fill="000080"/>
    </w:pPr>
  </w:style>
  <w:style w:type="paragraph" w:styleId="15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6">
    <w:name w:val="Balloon Text"/>
    <w:basedOn w:val="1"/>
    <w:link w:val="34"/>
    <w:uiPriority w:val="0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29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8">
    <w:name w:val="header"/>
    <w:basedOn w:val="1"/>
    <w:link w:val="4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9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2">
    <w:name w:val="Table Grid"/>
    <w:basedOn w:val="21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FollowedHyperlink"/>
    <w:unhideWhenUsed/>
    <w:uiPriority w:val="99"/>
    <w:rPr>
      <w:color w:val="800080"/>
      <w:u w:val="single"/>
    </w:rPr>
  </w:style>
  <w:style w:type="character" w:styleId="25">
    <w:name w:val="Emphasis"/>
    <w:qFormat/>
    <w:uiPriority w:val="20"/>
    <w:rPr>
      <w:color w:val="CC0000"/>
    </w:rPr>
  </w:style>
  <w:style w:type="character" w:styleId="26">
    <w:name w:val="Hyperlink"/>
    <w:uiPriority w:val="99"/>
    <w:rPr>
      <w:color w:val="0000FF"/>
      <w:u w:val="single"/>
    </w:rPr>
  </w:style>
  <w:style w:type="character" w:customStyle="1" w:styleId="27">
    <w:name w:val="标题 1 Char"/>
    <w:link w:val="2"/>
    <w:uiPriority w:val="0"/>
    <w:rPr>
      <w:b/>
      <w:bCs/>
      <w:kern w:val="32"/>
      <w:sz w:val="28"/>
      <w:szCs w:val="28"/>
    </w:rPr>
  </w:style>
  <w:style w:type="character" w:customStyle="1" w:styleId="28">
    <w:name w:val="标题 2 Char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29">
    <w:name w:val="页脚 Char"/>
    <w:link w:val="17"/>
    <w:uiPriority w:val="99"/>
    <w:rPr>
      <w:sz w:val="21"/>
      <w:szCs w:val="18"/>
      <w:lang w:val="en-GB"/>
    </w:rPr>
  </w:style>
  <w:style w:type="paragraph" w:customStyle="1" w:styleId="30">
    <w:name w:val="lj正文"/>
    <w:qFormat/>
    <w:uiPriority w:val="0"/>
    <w:pPr>
      <w:shd w:val="clear" w:color="auto" w:fill="FFFFFF"/>
      <w:spacing w:line="360" w:lineRule="auto"/>
      <w:ind w:firstLine="200" w:firstLineChars="20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正文缩进 Char"/>
    <w:link w:val="12"/>
    <w:uiPriority w:val="0"/>
    <w:rPr>
      <w:rFonts w:ascii="宋体"/>
      <w:sz w:val="21"/>
    </w:rPr>
  </w:style>
  <w:style w:type="paragraph" w:styleId="32">
    <w:name w:val="List Paragraph"/>
    <w:basedOn w:val="1"/>
    <w:qFormat/>
    <w:uiPriority w:val="34"/>
    <w:pPr>
      <w:spacing w:before="50" w:beforeLines="50" w:line="240" w:lineRule="auto"/>
      <w:ind w:left="420" w:firstLine="420" w:firstLineChars="20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3">
    <w:name w:val="标题 3 Char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4">
    <w:name w:val="批注框文本 Char"/>
    <w:link w:val="16"/>
    <w:uiPriority w:val="0"/>
    <w:rPr>
      <w:sz w:val="18"/>
      <w:szCs w:val="18"/>
      <w:lang w:val="en-GB"/>
    </w:rPr>
  </w:style>
  <w:style w:type="character" w:styleId="35">
    <w:name w:val="Placeholder Text"/>
    <w:semiHidden/>
    <w:uiPriority w:val="99"/>
    <w:rPr>
      <w:color w:val="808080"/>
    </w:rPr>
  </w:style>
  <w:style w:type="paragraph" w:styleId="36">
    <w:name w:val="No Spacing"/>
    <w:qFormat/>
    <w:uiPriority w:val="1"/>
    <w:rPr>
      <w:rFonts w:ascii="Times New Roman" w:hAnsi="Times New Roman" w:eastAsia="宋体" w:cs="Times New Roman"/>
      <w:sz w:val="21"/>
      <w:lang w:val="en-GB" w:eastAsia="zh-CN" w:bidi="ar-SA"/>
    </w:rPr>
  </w:style>
  <w:style w:type="character" w:customStyle="1" w:styleId="37">
    <w:name w:val="标题 4 Char"/>
    <w:link w:val="6"/>
    <w:uiPriority w:val="0"/>
    <w:rPr>
      <w:b/>
      <w:bCs/>
      <w:sz w:val="21"/>
      <w:szCs w:val="28"/>
      <w:lang w:val="en-GB"/>
    </w:rPr>
  </w:style>
  <w:style w:type="character" w:customStyle="1" w:styleId="38">
    <w:name w:val="标题 5 Char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9">
    <w:name w:val="标题 6 Char"/>
    <w:link w:val="8"/>
    <w:uiPriority w:val="0"/>
    <w:rPr>
      <w:b/>
      <w:bCs/>
      <w:sz w:val="21"/>
      <w:szCs w:val="22"/>
      <w:lang w:val="en-GB"/>
    </w:rPr>
  </w:style>
  <w:style w:type="character" w:customStyle="1" w:styleId="40">
    <w:name w:val="标题 7 Char"/>
    <w:link w:val="9"/>
    <w:uiPriority w:val="0"/>
    <w:rPr>
      <w:sz w:val="24"/>
      <w:szCs w:val="24"/>
      <w:lang w:val="en-GB"/>
    </w:rPr>
  </w:style>
  <w:style w:type="character" w:customStyle="1" w:styleId="41">
    <w:name w:val="标题 8 Char"/>
    <w:link w:val="10"/>
    <w:uiPriority w:val="0"/>
    <w:rPr>
      <w:i/>
      <w:iCs/>
      <w:sz w:val="24"/>
      <w:szCs w:val="24"/>
      <w:lang w:val="en-GB"/>
    </w:rPr>
  </w:style>
  <w:style w:type="character" w:customStyle="1" w:styleId="42">
    <w:name w:val="标题 9 Char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43">
    <w:name w:val="页眉 Char"/>
    <w:link w:val="18"/>
    <w:uiPriority w:val="0"/>
    <w:rPr>
      <w:sz w:val="21"/>
      <w:szCs w:val="18"/>
      <w:lang w:val="en-GB"/>
    </w:rPr>
  </w:style>
  <w:style w:type="character" w:customStyle="1" w:styleId="44">
    <w:name w:val="文档结构图 Char"/>
    <w:link w:val="14"/>
    <w:semiHidden/>
    <w:uiPriority w:val="0"/>
    <w:rPr>
      <w:sz w:val="21"/>
      <w:shd w:val="clear" w:color="auto" w:fill="00008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bmp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5.png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AE21-997A-4B85-8B6E-893C217D5F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tmp9.dotx</Template>
  <Pages>14</Pages>
  <Words>3087</Words>
  <Characters>4862</Characters>
  <Lines>23</Lines>
  <Paragraphs>6</Paragraphs>
  <TotalTime>0</TotalTime>
  <ScaleCrop>false</ScaleCrop>
  <LinksUpToDate>false</LinksUpToDate>
  <CharactersWithSpaces>4965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2024-01-09T17:09:00Z</dcterms:created>
  <dc:creator>litwodog</dc:creator>
  <cp:lastModifiedBy>litwodog</cp:lastModifiedBy>
  <dcterms:modified xsi:type="dcterms:W3CDTF">2024-01-09T17:11:02Z</dcterms:modified>
  <dc:title>室内热舒适预计达标比例报告书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02BE5FE5D3E041778D3C1D13FE5FF0F2_11</vt:lpwstr>
  </property>
  <property fmtid="{D5CDD505-2E9C-101B-9397-08002B2CF9AE}" pid="3" name="KSOProductBuildVer">
    <vt:lpwstr>2052-12.1.0.16120</vt:lpwstr>
  </property>
</Properties>
</file>