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1</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r>
              <w:t>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1</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1</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2024年1月2日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T13513590990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80" w:name="_GoBack"/>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_Toc10948 </w:instrText>
          </w:r>
          <w:r>
            <w:fldChar w:fldCharType="separate"/>
          </w:r>
          <w:r>
            <w:rPr>
              <w:rFonts w:hint="eastAsia"/>
            </w:rPr>
            <w:t>1. 建筑概况</w:t>
          </w:r>
          <w:r>
            <w:tab/>
          </w:r>
          <w:r>
            <w:fldChar w:fldCharType="begin"/>
          </w:r>
          <w:r>
            <w:instrText xml:space="preserve"> PAGEREF _Toc10948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_Toc20373 </w:instrText>
          </w:r>
          <w:r>
            <w:rPr>
              <w:bCs/>
              <w:lang w:val="zh-CN"/>
            </w:rPr>
            <w:fldChar w:fldCharType="separate"/>
          </w:r>
          <w:r>
            <w:rPr>
              <w:rFonts w:hint="eastAsia"/>
            </w:rPr>
            <w:t>2. 设计依据</w:t>
          </w:r>
          <w:r>
            <w:tab/>
          </w:r>
          <w:r>
            <w:fldChar w:fldCharType="begin"/>
          </w:r>
          <w:r>
            <w:instrText xml:space="preserve"> PAGEREF _Toc20373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_Toc8425 </w:instrText>
          </w:r>
          <w:r>
            <w:rPr>
              <w:bCs/>
              <w:lang w:val="zh-CN"/>
            </w:rPr>
            <w:fldChar w:fldCharType="separate"/>
          </w:r>
          <w:r>
            <w:rPr>
              <w:rFonts w:hint="eastAsia"/>
            </w:rPr>
            <w:t>3. 标准要求</w:t>
          </w:r>
          <w:r>
            <w:tab/>
          </w:r>
          <w:r>
            <w:fldChar w:fldCharType="begin"/>
          </w:r>
          <w:r>
            <w:instrText xml:space="preserve"> PAGEREF _Toc8425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_Toc22210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_Toc22210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_Toc15396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_Toc15396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_Toc10729 </w:instrText>
          </w:r>
          <w:r>
            <w:rPr>
              <w:bCs/>
              <w:lang w:val="zh-CN"/>
            </w:rPr>
            <w:fldChar w:fldCharType="separate"/>
          </w:r>
          <w:r>
            <w:rPr>
              <w:rFonts w:hint="eastAsia"/>
              <w:lang w:val="en-GB"/>
            </w:rPr>
            <w:t xml:space="preserve">4.2 </w:t>
          </w:r>
          <w:r>
            <w:t>分析软件</w:t>
          </w:r>
          <w:r>
            <w:tab/>
          </w:r>
          <w:r>
            <w:fldChar w:fldCharType="begin"/>
          </w:r>
          <w:r>
            <w:instrText xml:space="preserve"> PAGEREF _Toc10729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_Toc11983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_Toc11983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_Toc32174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_Toc32174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_Toc24520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_Toc24520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_Toc22279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_Toc22279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_Toc15254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_Toc15254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_Toc1590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_Toc1590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_Toc30690 </w:instrText>
          </w:r>
          <w:r>
            <w:rPr>
              <w:bCs/>
              <w:lang w:val="zh-CN"/>
            </w:rPr>
            <w:fldChar w:fldCharType="separate"/>
          </w:r>
          <w:r>
            <w:rPr>
              <w:rFonts w:hint="eastAsia"/>
            </w:rPr>
            <w:t>6. 房间模拟</w:t>
          </w:r>
          <w:r>
            <w:t>结果</w:t>
          </w:r>
          <w:r>
            <w:tab/>
          </w:r>
          <w:r>
            <w:fldChar w:fldCharType="begin"/>
          </w:r>
          <w:r>
            <w:instrText xml:space="preserve"> PAGEREF _Toc30690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_Toc16105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_Toc16105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_Toc9122 </w:instrText>
          </w:r>
          <w:r>
            <w:rPr>
              <w:bCs/>
              <w:lang w:val="zh-CN"/>
            </w:rPr>
            <w:fldChar w:fldCharType="separate"/>
          </w:r>
          <w:r>
            <w:rPr>
              <w:rFonts w:hint="eastAsia"/>
            </w:rPr>
            <w:t>8. 结论</w:t>
          </w:r>
          <w:r>
            <w:tab/>
          </w:r>
          <w:r>
            <w:fldChar w:fldCharType="begin"/>
          </w:r>
          <w:r>
            <w:instrText xml:space="preserve"> PAGEREF _Toc9122 \h </w:instrText>
          </w:r>
          <w:r>
            <w:fldChar w:fldCharType="separate"/>
          </w:r>
          <w:r>
            <w:t>8</w:t>
          </w:r>
          <w:r>
            <w:fldChar w:fldCharType="end"/>
          </w:r>
          <w:r>
            <w:rPr>
              <w:bCs/>
              <w:lang w:val="zh-CN"/>
            </w:rPr>
            <w:fldChar w:fldCharType="end"/>
          </w:r>
        </w:p>
        <w:p>
          <w:r>
            <w:rPr>
              <w:bCs/>
              <w:lang w:val="zh-CN"/>
            </w:rPr>
            <w:fldChar w:fldCharType="end"/>
          </w:r>
        </w:p>
      </w:sdtContent>
    </w:sdt>
    <w:p>
      <w:pPr>
        <w:rPr>
          <w:lang w:val="en-US"/>
        </w:rPr>
      </w:pPr>
      <w:bookmarkEnd w:id="80"/>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094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阳泉</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63.91</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5.00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2037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8425"/>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8" w:name="_Toc264043625"/>
      <w:bookmarkStart w:id="29" w:name="_Toc290209336"/>
      <w:bookmarkStart w:id="30" w:name="_Toc312399791"/>
      <w:bookmarkStart w:id="31" w:name="_Toc290209312"/>
      <w:bookmarkStart w:id="32" w:name="_Toc264569232"/>
      <w:bookmarkStart w:id="33" w:name="_Toc275165382"/>
      <w:bookmarkStart w:id="34" w:name="_Toc290149054"/>
      <w:bookmarkStart w:id="35" w:name="_Toc22210"/>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396"/>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209317"/>
      <w:bookmarkStart w:id="38" w:name="_Toc264569237"/>
      <w:bookmarkStart w:id="39" w:name="_Toc264043630"/>
      <w:bookmarkStart w:id="40" w:name="_Toc275165387"/>
      <w:bookmarkStart w:id="41" w:name="_Toc290149059"/>
      <w:bookmarkStart w:id="42" w:name="_Toc290209341"/>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0729"/>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1983"/>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32174"/>
      <w:r>
        <w:rPr>
          <w:rFonts w:hint="eastAsia"/>
        </w:rPr>
        <w:t>采光计算</w:t>
      </w:r>
      <w:r>
        <w:t>参数</w:t>
      </w:r>
      <w:r>
        <w:rPr>
          <w:rFonts w:hint="eastAsia"/>
        </w:rPr>
        <w:t>取值</w:t>
      </w:r>
      <w:bookmarkEnd w:id="47"/>
    </w:p>
    <w:p>
      <w:pPr>
        <w:pStyle w:val="4"/>
      </w:pPr>
      <w:bookmarkStart w:id="48" w:name="_Toc290149058"/>
      <w:bookmarkStart w:id="49" w:name="_Toc290209316"/>
      <w:bookmarkStart w:id="50" w:name="_Toc264043629"/>
      <w:bookmarkStart w:id="51" w:name="_Toc312399795"/>
      <w:bookmarkStart w:id="52" w:name="_Toc290209340"/>
      <w:bookmarkStart w:id="53" w:name="_Toc264569236"/>
      <w:bookmarkStart w:id="54" w:name="_Toc275165386"/>
      <w:bookmarkStart w:id="55" w:name="_Toc24520"/>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22279"/>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254"/>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90"/>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1000</w:t>
            </w:r>
          </w:p>
        </w:tc>
        <w:tc>
          <w:tcPr>
            <w:vAlign w:val="center"/>
          </w:tcPr>
          <w:p>
            <w:r>
              <w:t>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30690"/>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0001</w:t>
            </w:r>
          </w:p>
        </w:tc>
        <w:tc>
          <w:tcPr>
            <w:vAlign w:val="center"/>
          </w:tcPr>
          <w:p>
            <w:r>
              <w:t>起居室</w:t>
            </w:r>
          </w:p>
        </w:tc>
        <w:tc>
          <w:tcPr>
            <w:vAlign w:val="center"/>
          </w:tcPr>
          <w:p>
            <w:r>
              <w:t>IV</w:t>
            </w:r>
          </w:p>
        </w:tc>
        <w:tc>
          <w:tcPr>
            <w:vAlign w:val="center"/>
          </w:tcPr>
          <w:p>
            <w:r>
              <w:t>侧面</w:t>
            </w:r>
          </w:p>
        </w:tc>
        <w:tc>
          <w:tcPr>
            <w:vAlign w:val="center"/>
          </w:tcPr>
          <w:p>
            <w:r>
              <w:t>21.19</w:t>
            </w:r>
          </w:p>
        </w:tc>
        <w:tc>
          <w:tcPr>
            <w:vAlign w:val="center"/>
          </w:tcPr>
          <w:p>
            <w:r>
              <w:t>2.04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0002</w:t>
            </w:r>
          </w:p>
        </w:tc>
        <w:tc>
          <w:tcPr>
            <w:vAlign w:val="center"/>
          </w:tcPr>
          <w:p>
            <w:r>
              <w:t>起居室</w:t>
            </w:r>
          </w:p>
        </w:tc>
        <w:tc>
          <w:tcPr>
            <w:vAlign w:val="center"/>
          </w:tcPr>
          <w:p>
            <w:r>
              <w:t>IV</w:t>
            </w:r>
          </w:p>
        </w:tc>
        <w:tc>
          <w:tcPr>
            <w:vAlign w:val="center"/>
          </w:tcPr>
          <w:p>
            <w:r>
              <w:t>侧面</w:t>
            </w:r>
          </w:p>
        </w:tc>
        <w:tc>
          <w:tcPr>
            <w:vAlign w:val="center"/>
          </w:tcPr>
          <w:p>
            <w:r>
              <w:t>21.19</w:t>
            </w:r>
          </w:p>
        </w:tc>
        <w:tc>
          <w:tcPr>
            <w:vAlign w:val="center"/>
          </w:tcPr>
          <w:p>
            <w:r>
              <w:t>1.07</w:t>
            </w:r>
          </w:p>
        </w:tc>
        <w:tc>
          <w:tcPr>
            <w:vAlign w:val="center"/>
          </w:tcPr>
          <w:p>
            <w:r>
              <w:t>2.00</w:t>
            </w:r>
          </w:p>
        </w:tc>
        <w:tc>
          <w:tcPr>
            <w:vAlign w:val="center"/>
          </w:tcPr>
          <w:p>
            <w:r>
              <w:rPr>
                <w:b/>
                <w:color w:val="FF0000"/>
              </w:rPr>
              <w:t>不满足</w:t>
            </w:r>
          </w:p>
        </w:tc>
      </w:tr>
    </w:tbl>
    <w:p>
      <w:pPr>
        <w:pStyle w:val="3"/>
        <w:rPr>
          <w:rFonts w:ascii="宋体" w:hAnsi="宋体"/>
          <w:sz w:val="18"/>
          <w:szCs w:val="18"/>
          <w:lang w:val="en-US"/>
        </w:rPr>
      </w:pPr>
    </w:p>
    <w:p>
      <w:pPr>
        <w:pStyle w:val="2"/>
        <w:ind w:left="432" w:hanging="432"/>
      </w:pPr>
      <w:bookmarkStart w:id="75" w:name="_Toc16105"/>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40005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000500"/>
                    </a:xfrm>
                    <a:prstGeom prst="rect">
                      <a:avLst/>
                    </a:prstGeom>
                  </pic:spPr>
                </pic:pic>
              </a:graphicData>
            </a:graphic>
          </wp:inline>
        </w:drawing>
      </w:r>
    </w:p>
    <w:p>
      <w:r>
        <w:t>1层</w:t>
      </w:r>
    </w:p>
    <w:p/>
    <w:p>
      <w:pPr>
        <w:pStyle w:val="2"/>
        <w:ind w:left="432" w:hanging="432"/>
      </w:pPr>
      <w:bookmarkStart w:id="77" w:name="_Toc9122"/>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w:t>
            </w:r>
          </w:p>
        </w:tc>
        <w:tc>
          <w:tcPr>
            <w:vAlign w:val="center"/>
          </w:tcPr>
          <w:p>
            <w:r>
              <w:t>1</w:t>
            </w:r>
          </w:p>
        </w:tc>
        <w:tc>
          <w:tcPr>
            <w:vAlign w:val="center"/>
          </w:tcPr>
          <w:p>
            <w:r>
              <w:t>50.00</w:t>
            </w:r>
          </w:p>
        </w:tc>
        <w:tc>
          <w:tcPr>
            <w:vAlign w:val="center"/>
          </w:tcPr>
          <w:p>
            <w:r>
              <w:rPr>
                <w:b/>
                <w:color w:val="FF0000"/>
              </w:rPr>
              <w:t xml:space="preserve">0002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42.38</w:t>
            </w:r>
          </w:p>
        </w:tc>
        <w:tc>
          <w:tcPr>
            <w:vAlign w:val="center"/>
          </w:tcPr>
          <w:p>
            <w:r>
              <w:t>21.19</w:t>
            </w:r>
          </w:p>
        </w:tc>
        <w:tc>
          <w:tcPr>
            <w:vAlign w:val="center"/>
          </w:tcPr>
          <w:p>
            <w:r>
              <w:t>50.00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37338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7338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GQ1MTQ1NzNmYzI2MWNhYjkxNTgyMzRmM2E1YWMifQ=="/>
  </w:docVars>
  <w:rsids>
    <w:rsidRoot w:val="63C444E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63C4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tmp1.dotx</Template>
  <Pages>9</Pages>
  <Words>2871</Words>
  <Characters>3521</Characters>
  <Lines>46</Lines>
  <Paragraphs>13</Paragraphs>
  <TotalTime>0</TotalTime>
  <ScaleCrop>false</ScaleCrop>
  <LinksUpToDate>false</LinksUpToDate>
  <CharactersWithSpaces>3632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2024-01-02T07:02:00Z</dcterms:created>
  <dc:creator>litwodog</dc:creator>
  <cp:lastModifiedBy>litwodog</cp:lastModifiedBy>
  <dcterms:modified xsi:type="dcterms:W3CDTF">2024-01-02T07:03:22Z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34A74D0D6CCD4B689E3FB6631468C3C1_11</vt:lpwstr>
  </property>
  <property fmtid="{D5CDD505-2E9C-101B-9397-08002B2CF9AE}" pid="3" name="KSOProductBuildVer">
    <vt:lpwstr>2052-12.1.0.16120</vt:lpwstr>
  </property>
</Properties>
</file>