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F342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E2E2A5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1DD293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2403FB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B97EF6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4887D8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905990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C8B8F5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6C926D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3A5084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2FA788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3ABC23" w14:textId="77777777" w:rsidR="00E40C34" w:rsidRPr="00897ADE" w:rsidRDefault="00E40C34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3550593E" w14:textId="77777777" w:rsidR="00E40C34" w:rsidRPr="00897ADE" w:rsidRDefault="00897ADE" w:rsidP="00022519">
      <w:pPr>
        <w:pStyle w:val="1"/>
        <w:jc w:val="center"/>
        <w:rPr>
          <w:rFonts w:ascii="Times New Roman" w:eastAsiaTheme="minorEastAsia" w:hAnsi="Times New Roman"/>
          <w:sz w:val="36"/>
          <w:szCs w:val="36"/>
          <w:lang w:eastAsia="zh-CN"/>
        </w:rPr>
        <w:sectPr w:rsidR="00E40C34" w:rsidRPr="00897ADE" w:rsidSect="00E74A65">
          <w:type w:val="continuous"/>
          <w:pgSz w:w="11910" w:h="16850"/>
          <w:pgMar w:top="1600" w:right="1680" w:bottom="280" w:left="1680" w:header="720" w:footer="720" w:gutter="0"/>
          <w:cols w:space="720"/>
        </w:sectPr>
      </w:pPr>
      <w:r w:rsidRPr="00897ADE">
        <w:rPr>
          <w:rFonts w:ascii="Times New Roman" w:hAnsi="Times New Roman"/>
          <w:sz w:val="36"/>
          <w:szCs w:val="36"/>
          <w:lang w:eastAsia="zh-CN"/>
        </w:rPr>
        <w:t>可变换功能空间采用灵活隔断的比例计算书</w:t>
      </w:r>
    </w:p>
    <w:p w14:paraId="667C60C9" w14:textId="77777777" w:rsidR="00022519" w:rsidRPr="00897ADE" w:rsidRDefault="00022519" w:rsidP="00022519">
      <w:pPr>
        <w:pStyle w:val="1"/>
        <w:rPr>
          <w:rFonts w:ascii="Times New Roman" w:eastAsiaTheme="minorEastAsia" w:hAnsi="Times New Roman"/>
          <w:sz w:val="32"/>
          <w:szCs w:val="32"/>
          <w:lang w:eastAsia="zh-CN"/>
        </w:rPr>
      </w:pPr>
      <w:r w:rsidRPr="00897ADE">
        <w:rPr>
          <w:rFonts w:ascii="Times New Roman" w:hAnsi="Times New Roman" w:cs="Times New Roman" w:hint="eastAsia"/>
          <w:sz w:val="32"/>
          <w:szCs w:val="32"/>
          <w:lang w:eastAsia="zh-CN"/>
        </w:rPr>
        <w:lastRenderedPageBreak/>
        <w:t>1.</w:t>
      </w:r>
      <w:r w:rsidRPr="00897ADE">
        <w:rPr>
          <w:rFonts w:ascii="Times New Roman" w:hAnsi="Times New Roman" w:hint="eastAsia"/>
          <w:sz w:val="32"/>
          <w:szCs w:val="32"/>
          <w:lang w:eastAsia="zh-CN"/>
        </w:rPr>
        <w:t>计算概述</w:t>
      </w:r>
    </w:p>
    <w:p w14:paraId="4C99E0E0" w14:textId="77777777" w:rsidR="00022519" w:rsidRPr="00897ADE" w:rsidRDefault="00022519" w:rsidP="00022519">
      <w:pPr>
        <w:pStyle w:val="1"/>
        <w:rPr>
          <w:rFonts w:ascii="Times New Roman" w:eastAsiaTheme="minorEastAsia" w:hAnsi="Times New Roman" w:cs="Times New Roman"/>
          <w:lang w:eastAsia="zh-CN"/>
        </w:rPr>
      </w:pPr>
    </w:p>
    <w:p w14:paraId="4654D3C1" w14:textId="77777777" w:rsidR="00022519" w:rsidRPr="00897ADE" w:rsidRDefault="00022519" w:rsidP="00022519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 w:hint="eastAsia"/>
          <w:sz w:val="28"/>
          <w:szCs w:val="28"/>
          <w:lang w:eastAsia="zh-CN"/>
        </w:rPr>
        <w:t>1.1.</w:t>
      </w:r>
      <w:r w:rsidRPr="00897ADE">
        <w:rPr>
          <w:rStyle w:val="a5"/>
          <w:rFonts w:ascii="Times New Roman" w:hAnsi="Times New Roman" w:hint="eastAsia"/>
          <w:sz w:val="28"/>
          <w:szCs w:val="28"/>
          <w:lang w:eastAsia="zh-CN"/>
        </w:rPr>
        <w:t>项目概况</w:t>
      </w:r>
    </w:p>
    <w:p w14:paraId="3F4C7FE9" w14:textId="77777777" w:rsidR="00022519" w:rsidRPr="00897ADE" w:rsidRDefault="00022519" w:rsidP="00022519">
      <w:pPr>
        <w:tabs>
          <w:tab w:val="left" w:pos="605"/>
        </w:tabs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4D3DD97" w14:textId="618FBF3C" w:rsidR="00022519" w:rsidRPr="00897ADE" w:rsidRDefault="00A224F0" w:rsidP="00022519">
      <w:pPr>
        <w:tabs>
          <w:tab w:val="left" w:pos="290"/>
        </w:tabs>
        <w:spacing w:line="360" w:lineRule="auto"/>
        <w:ind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 w:rsidRPr="00A224F0">
        <w:rPr>
          <w:rFonts w:ascii="Times New Roman" w:hAnsi="Times New Roman" w:cs="宋体" w:hint="eastAsia"/>
          <w:sz w:val="21"/>
          <w:szCs w:val="21"/>
          <w:lang w:eastAsia="zh-CN"/>
        </w:rPr>
        <w:t>丝路新生·触媒更新——</w:t>
      </w:r>
      <w:proofErr w:type="gramStart"/>
      <w:r w:rsidRPr="00A224F0">
        <w:rPr>
          <w:rFonts w:ascii="Times New Roman" w:hAnsi="Times New Roman" w:cs="宋体" w:hint="eastAsia"/>
          <w:sz w:val="21"/>
          <w:szCs w:val="21"/>
          <w:lang w:eastAsia="zh-CN"/>
        </w:rPr>
        <w:t>双碳背景下工业</w:t>
      </w:r>
      <w:proofErr w:type="gramEnd"/>
      <w:r w:rsidRPr="00A224F0">
        <w:rPr>
          <w:rFonts w:ascii="Times New Roman" w:hAnsi="Times New Roman" w:cs="宋体" w:hint="eastAsia"/>
          <w:sz w:val="21"/>
          <w:szCs w:val="21"/>
          <w:lang w:eastAsia="zh-CN"/>
        </w:rPr>
        <w:t>遗产活化利用</w:t>
      </w:r>
      <w:r w:rsidR="00022519" w:rsidRPr="00897ADE">
        <w:rPr>
          <w:rFonts w:ascii="Times New Roman" w:hAnsi="Times New Roman" w:cs="宋体" w:hint="eastAsia"/>
          <w:sz w:val="21"/>
          <w:szCs w:val="21"/>
          <w:lang w:eastAsia="zh-CN"/>
        </w:rPr>
        <w:t>工程项目选址位于</w:t>
      </w:r>
      <w:r>
        <w:rPr>
          <w:rFonts w:ascii="Times New Roman" w:hAnsi="Times New Roman" w:cs="宋体" w:hint="eastAsia"/>
          <w:sz w:val="21"/>
          <w:szCs w:val="21"/>
          <w:lang w:eastAsia="zh-CN"/>
        </w:rPr>
        <w:t>乌鲁木齐市苇湖梁煤矿</w:t>
      </w:r>
      <w:r w:rsidR="00022519" w:rsidRPr="00897ADE">
        <w:rPr>
          <w:rFonts w:ascii="Times New Roman" w:hAnsi="Times New Roman" w:cs="宋体" w:hint="eastAsia"/>
          <w:sz w:val="21"/>
          <w:szCs w:val="21"/>
          <w:lang w:eastAsia="zh-CN"/>
        </w:rPr>
        <w:t>地块，</w:t>
      </w:r>
      <w:r w:rsidRPr="00A224F0">
        <w:rPr>
          <w:rFonts w:ascii="Times New Roman" w:hAnsi="Times New Roman" w:cs="宋体" w:hint="eastAsia"/>
          <w:sz w:val="21"/>
          <w:szCs w:val="21"/>
          <w:lang w:eastAsia="zh-CN"/>
        </w:rPr>
        <w:t>北至规划苇湖梁三路；</w:t>
      </w:r>
      <w:proofErr w:type="gramStart"/>
      <w:r w:rsidRPr="00A224F0">
        <w:rPr>
          <w:rFonts w:ascii="Times New Roman" w:hAnsi="Times New Roman" w:cs="宋体" w:hint="eastAsia"/>
          <w:sz w:val="21"/>
          <w:szCs w:val="21"/>
          <w:lang w:eastAsia="zh-CN"/>
        </w:rPr>
        <w:t>东至苇电北路</w:t>
      </w:r>
      <w:proofErr w:type="gramEnd"/>
      <w:r w:rsidRPr="00A224F0">
        <w:rPr>
          <w:rFonts w:ascii="Times New Roman" w:hAnsi="Times New Roman" w:cs="宋体" w:hint="eastAsia"/>
          <w:sz w:val="21"/>
          <w:szCs w:val="21"/>
          <w:lang w:eastAsia="zh-CN"/>
        </w:rPr>
        <w:t>；西至七道湾南路；南至七道湾南路东一路，用地面积约为</w:t>
      </w:r>
      <w:r w:rsidRPr="00A224F0">
        <w:rPr>
          <w:rFonts w:ascii="Times New Roman" w:hAnsi="Times New Roman" w:cs="宋体" w:hint="eastAsia"/>
          <w:sz w:val="21"/>
          <w:szCs w:val="21"/>
          <w:lang w:eastAsia="zh-CN"/>
        </w:rPr>
        <w:t>83523</w:t>
      </w:r>
      <w:r w:rsidRPr="00A224F0">
        <w:rPr>
          <w:rFonts w:ascii="Times New Roman" w:hAnsi="Times New Roman" w:cs="宋体" w:hint="eastAsia"/>
          <w:sz w:val="21"/>
          <w:szCs w:val="21"/>
          <w:lang w:eastAsia="zh-CN"/>
        </w:rPr>
        <w:t>平方米。</w:t>
      </w:r>
    </w:p>
    <w:p w14:paraId="7EE8E2C9" w14:textId="4A17DE8F" w:rsidR="00E40C34" w:rsidRPr="00897ADE" w:rsidRDefault="00022519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 w:hint="eastAsia"/>
          <w:sz w:val="21"/>
          <w:szCs w:val="21"/>
          <w:lang w:eastAsia="zh-CN"/>
        </w:rPr>
        <w:t>本次建设面积地上为</w:t>
      </w:r>
      <w:r w:rsidR="00DB78D3">
        <w:rPr>
          <w:rFonts w:ascii="Times New Roman" w:hAnsi="Times New Roman" w:cs="Times New Roman"/>
          <w:sz w:val="21"/>
          <w:szCs w:val="21"/>
          <w:lang w:eastAsia="zh-CN"/>
        </w:rPr>
        <w:t>84822</w:t>
      </w:r>
      <w:r w:rsidRPr="00897ADE">
        <w:rPr>
          <w:rFonts w:ascii="Times New Roman" w:hAnsi="Times New Roman" w:cs="宋体" w:hint="eastAsia"/>
          <w:sz w:val="21"/>
          <w:szCs w:val="21"/>
          <w:lang w:eastAsia="zh-CN"/>
        </w:rPr>
        <w:t>平米，地下总建筑面积为</w:t>
      </w:r>
      <w:r w:rsidR="00DB78D3">
        <w:rPr>
          <w:rFonts w:ascii="Times New Roman" w:hAnsi="Times New Roman" w:cs="Times New Roman"/>
          <w:sz w:val="21"/>
          <w:szCs w:val="21"/>
          <w:lang w:eastAsia="zh-CN"/>
        </w:rPr>
        <w:t>59</w:t>
      </w:r>
      <w:r w:rsidR="00DB78D3" w:rsidRPr="00897ADE">
        <w:rPr>
          <w:rFonts w:ascii="Times New Roman" w:hAnsi="Times New Roman" w:cs="Times New Roman" w:hint="eastAsia"/>
          <w:sz w:val="21"/>
          <w:szCs w:val="21"/>
          <w:lang w:eastAsia="zh-CN"/>
        </w:rPr>
        <w:t>869</w:t>
      </w:r>
      <w:r w:rsidRPr="00897ADE">
        <w:rPr>
          <w:rFonts w:ascii="Times New Roman" w:hAnsi="Times New Roman" w:cs="宋体" w:hint="eastAsia"/>
          <w:sz w:val="21"/>
          <w:szCs w:val="21"/>
          <w:lang w:eastAsia="zh-CN"/>
        </w:rPr>
        <w:t>平米，包括机动车库面积</w:t>
      </w:r>
      <w:r w:rsidR="00DB78D3">
        <w:rPr>
          <w:rFonts w:ascii="Times New Roman" w:hAnsi="Times New Roman" w:cs="Times New Roman"/>
          <w:sz w:val="21"/>
          <w:szCs w:val="21"/>
          <w:lang w:eastAsia="zh-CN"/>
        </w:rPr>
        <w:t>54000</w:t>
      </w:r>
      <w:r w:rsidRPr="00897ADE">
        <w:rPr>
          <w:rFonts w:ascii="Times New Roman" w:hAnsi="Times New Roman" w:cs="宋体" w:hint="eastAsia"/>
          <w:sz w:val="21"/>
          <w:szCs w:val="21"/>
          <w:lang w:eastAsia="zh-CN"/>
        </w:rPr>
        <w:t>平米，非机动车面积</w:t>
      </w:r>
      <w:r w:rsidR="00DB78D3">
        <w:rPr>
          <w:rFonts w:ascii="Times New Roman" w:hAnsi="Times New Roman" w:cs="Times New Roman"/>
          <w:sz w:val="21"/>
          <w:szCs w:val="21"/>
          <w:lang w:eastAsia="zh-CN"/>
        </w:rPr>
        <w:t>5</w:t>
      </w:r>
      <w:r w:rsidRPr="00897ADE">
        <w:rPr>
          <w:rFonts w:ascii="Times New Roman" w:hAnsi="Times New Roman" w:cs="Times New Roman" w:hint="eastAsia"/>
          <w:sz w:val="21"/>
          <w:szCs w:val="21"/>
          <w:lang w:eastAsia="zh-CN"/>
        </w:rPr>
        <w:t>869</w:t>
      </w:r>
      <w:r w:rsidRPr="00897ADE">
        <w:rPr>
          <w:rFonts w:ascii="Times New Roman" w:hAnsi="Times New Roman" w:cs="宋体" w:hint="eastAsia"/>
          <w:sz w:val="21"/>
          <w:szCs w:val="21"/>
          <w:lang w:eastAsia="zh-CN"/>
        </w:rPr>
        <w:t>平米。</w:t>
      </w:r>
    </w:p>
    <w:p w14:paraId="47513FD1" w14:textId="77777777" w:rsidR="00022519" w:rsidRPr="00DB78D3" w:rsidRDefault="00022519" w:rsidP="00022519">
      <w:pPr>
        <w:tabs>
          <w:tab w:val="left" w:pos="605"/>
        </w:tabs>
        <w:spacing w:line="360" w:lineRule="auto"/>
        <w:rPr>
          <w:rFonts w:ascii="Times New Roman" w:hAnsi="Times New Roman" w:cs="宋体"/>
          <w:sz w:val="21"/>
          <w:szCs w:val="21"/>
          <w:lang w:eastAsia="zh-CN"/>
        </w:rPr>
      </w:pPr>
    </w:p>
    <w:p w14:paraId="130A0614" w14:textId="77777777" w:rsidR="00022519" w:rsidRPr="00897ADE" w:rsidRDefault="00022519" w:rsidP="00022519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1.2.</w:t>
      </w: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计算目的</w:t>
      </w:r>
    </w:p>
    <w:p w14:paraId="0297D5E1" w14:textId="77777777" w:rsidR="00022519" w:rsidRPr="00897ADE" w:rsidRDefault="00022519" w:rsidP="00022519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</w:p>
    <w:p w14:paraId="15F4DD73" w14:textId="77777777" w:rsidR="00022519" w:rsidRPr="00897ADE" w:rsidRDefault="00022519" w:rsidP="00022519">
      <w:pPr>
        <w:tabs>
          <w:tab w:val="left" w:pos="290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判断本项目是否满足《绿色建筑评价标准》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GB/T50378-2019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第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4.2.6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条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“</w:t>
      </w:r>
      <w:r w:rsidR="00897ADE" w:rsidRPr="00897ADE">
        <w:rPr>
          <w:rFonts w:ascii="Times New Roman" w:hAnsi="Times New Roman" w:cs="宋体"/>
          <w:sz w:val="21"/>
          <w:szCs w:val="21"/>
          <w:lang w:eastAsia="zh-CN"/>
        </w:rPr>
        <w:t>采取提升建筑</w:t>
      </w:r>
      <w:proofErr w:type="gramStart"/>
      <w:r w:rsidR="00897ADE" w:rsidRPr="00897ADE">
        <w:rPr>
          <w:rFonts w:ascii="Times New Roman" w:hAnsi="Times New Roman" w:cs="宋体"/>
          <w:sz w:val="21"/>
          <w:szCs w:val="21"/>
          <w:lang w:eastAsia="zh-CN"/>
        </w:rPr>
        <w:t>适</w:t>
      </w:r>
      <w:proofErr w:type="gramEnd"/>
      <w:r w:rsidR="00897ADE" w:rsidRPr="00897ADE">
        <w:rPr>
          <w:rFonts w:ascii="Times New Roman" w:hAnsi="Times New Roman" w:cs="宋体"/>
          <w:sz w:val="21"/>
          <w:szCs w:val="21"/>
          <w:lang w:eastAsia="zh-CN"/>
        </w:rPr>
        <w:t>变性的措施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”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。</w:t>
      </w:r>
    </w:p>
    <w:p w14:paraId="6DE04DE8" w14:textId="77777777" w:rsidR="00022519" w:rsidRPr="00897ADE" w:rsidRDefault="00022519" w:rsidP="00022519">
      <w:pPr>
        <w:tabs>
          <w:tab w:val="left" w:pos="290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</w:p>
    <w:p w14:paraId="5119B8EA" w14:textId="77777777" w:rsidR="00022519" w:rsidRPr="00897ADE" w:rsidRDefault="00022519" w:rsidP="00022519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1.3.</w:t>
      </w: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计算依据</w:t>
      </w:r>
    </w:p>
    <w:p w14:paraId="62D7B7C1" w14:textId="77777777" w:rsidR="00022519" w:rsidRPr="00897ADE" w:rsidRDefault="00022519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《绿色建筑评价技术细则》</w:t>
      </w:r>
    </w:p>
    <w:p w14:paraId="08B163A6" w14:textId="77777777" w:rsidR="00022519" w:rsidRPr="00897ADE" w:rsidRDefault="00022519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《绿色建筑评价技术细则补充说明》（规划设计部分）</w:t>
      </w:r>
    </w:p>
    <w:p w14:paraId="18488670" w14:textId="77777777" w:rsidR="00022519" w:rsidRPr="00897ADE" w:rsidRDefault="00022519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业主提供的建筑设计文件</w:t>
      </w:r>
    </w:p>
    <w:p w14:paraId="315A33D5" w14:textId="77777777" w:rsidR="00022519" w:rsidRPr="00897ADE" w:rsidRDefault="00022519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</w:p>
    <w:p w14:paraId="6C832E3F" w14:textId="77777777" w:rsidR="00022519" w:rsidRPr="00897ADE" w:rsidRDefault="00022519" w:rsidP="00022519">
      <w:pPr>
        <w:pStyle w:val="1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  <w:r w:rsidRPr="00897ADE">
        <w:rPr>
          <w:rFonts w:ascii="Times New Roman" w:hAnsi="Times New Roman" w:cs="Times New Roman"/>
          <w:sz w:val="32"/>
          <w:szCs w:val="32"/>
          <w:lang w:eastAsia="zh-CN"/>
        </w:rPr>
        <w:t>2.</w:t>
      </w:r>
      <w:r w:rsidRPr="00897ADE">
        <w:rPr>
          <w:rFonts w:ascii="Times New Roman" w:hAnsi="Times New Roman" w:cs="Times New Roman"/>
          <w:sz w:val="32"/>
          <w:szCs w:val="32"/>
          <w:lang w:eastAsia="zh-CN"/>
        </w:rPr>
        <w:t>计算分析</w:t>
      </w:r>
    </w:p>
    <w:p w14:paraId="7F9205BE" w14:textId="77777777" w:rsidR="00022519" w:rsidRPr="00897ADE" w:rsidRDefault="00022519" w:rsidP="00022519">
      <w:pPr>
        <w:pStyle w:val="1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</w:p>
    <w:p w14:paraId="1FF348BB" w14:textId="77777777" w:rsidR="00022519" w:rsidRPr="00897ADE" w:rsidRDefault="00022519" w:rsidP="00022519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2.1.</w:t>
      </w: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可变换功能的室内空间</w:t>
      </w:r>
    </w:p>
    <w:p w14:paraId="5339E767" w14:textId="77777777" w:rsidR="00022519" w:rsidRPr="00897ADE" w:rsidRDefault="00022519" w:rsidP="00022519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</w:p>
    <w:p w14:paraId="6F6F4078" w14:textId="77777777" w:rsidR="00022519" w:rsidRPr="00897ADE" w:rsidRDefault="00000000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noProof/>
          <w:sz w:val="21"/>
          <w:szCs w:val="21"/>
          <w:lang w:eastAsia="zh-CN"/>
        </w:rPr>
        <w:pict w14:anchorId="0A2BEB3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.45pt;margin-top:41pt;width:106.85pt;height:12.75pt;z-index:251658240" o:connectortype="straight"/>
        </w:pict>
      </w:r>
      <w:r w:rsidR="00022519" w:rsidRPr="00897ADE">
        <w:rPr>
          <w:rFonts w:ascii="Times New Roman" w:hAnsi="Times New Roman" w:cs="宋体"/>
          <w:sz w:val="21"/>
          <w:szCs w:val="21"/>
          <w:lang w:eastAsia="zh-CN"/>
        </w:rPr>
        <w:t>可变换功能的室内空间为总建筑面积减去不可改变功能的室内空间（如走廊、楼梯、电梯井、卫生间、设备用房、公共管井等），本项目此类区域面积如下表。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709"/>
        <w:gridCol w:w="709"/>
        <w:gridCol w:w="709"/>
        <w:gridCol w:w="850"/>
        <w:gridCol w:w="851"/>
        <w:gridCol w:w="708"/>
        <w:gridCol w:w="851"/>
        <w:gridCol w:w="709"/>
      </w:tblGrid>
      <w:tr w:rsidR="00022519" w:rsidRPr="00897ADE" w14:paraId="6318F1DB" w14:textId="77777777" w:rsidTr="00900B4A">
        <w:trPr>
          <w:jc w:val="center"/>
        </w:trPr>
        <w:tc>
          <w:tcPr>
            <w:tcW w:w="2127" w:type="dxa"/>
            <w:vAlign w:val="center"/>
          </w:tcPr>
          <w:p w14:paraId="1A092492" w14:textId="77777777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6BCCBAF2" w14:textId="77777777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14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709" w:type="dxa"/>
            <w:vAlign w:val="center"/>
          </w:tcPr>
          <w:p w14:paraId="282CC1D0" w14:textId="77777777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15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709" w:type="dxa"/>
            <w:vAlign w:val="center"/>
          </w:tcPr>
          <w:p w14:paraId="5814119E" w14:textId="77777777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16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850" w:type="dxa"/>
            <w:vAlign w:val="center"/>
          </w:tcPr>
          <w:p w14:paraId="14F4B810" w14:textId="77777777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17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851" w:type="dxa"/>
            <w:vAlign w:val="center"/>
          </w:tcPr>
          <w:p w14:paraId="0B45F33D" w14:textId="77777777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18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708" w:type="dxa"/>
            <w:vAlign w:val="center"/>
          </w:tcPr>
          <w:p w14:paraId="15913232" w14:textId="77777777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19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851" w:type="dxa"/>
            <w:vAlign w:val="center"/>
          </w:tcPr>
          <w:p w14:paraId="7E3F6321" w14:textId="77777777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20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709" w:type="dxa"/>
            <w:vAlign w:val="center"/>
          </w:tcPr>
          <w:p w14:paraId="60CAE751" w14:textId="77777777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2</w:t>
            </w:r>
            <w:r w:rsidRPr="00897ADE">
              <w:rPr>
                <w:rFonts w:ascii="Times New Roman" w:hAnsi="Times New Roman" w:cs="宋体"/>
                <w:sz w:val="21"/>
                <w:szCs w:val="21"/>
                <w:lang w:eastAsia="zh-CN"/>
              </w:rPr>
              <w:t>1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</w:tr>
      <w:tr w:rsidR="00022519" w:rsidRPr="00897ADE" w14:paraId="28C6BCDD" w14:textId="77777777" w:rsidTr="00900B4A">
        <w:trPr>
          <w:jc w:val="center"/>
        </w:trPr>
        <w:tc>
          <w:tcPr>
            <w:tcW w:w="2127" w:type="dxa"/>
            <w:vAlign w:val="center"/>
          </w:tcPr>
          <w:p w14:paraId="4F0339D2" w14:textId="77777777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建筑面积</w:t>
            </w:r>
            <w:r w:rsidRPr="00897ADE">
              <w:rPr>
                <w:rFonts w:ascii="Times New Roman" w:hAnsi="Times New Roman" w:cs="宋体"/>
                <w:sz w:val="21"/>
                <w:szCs w:val="21"/>
                <w:lang w:eastAsia="zh-CN"/>
              </w:rPr>
              <w:t>（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㎡</w:t>
            </w:r>
            <w:r w:rsidRPr="00897ADE">
              <w:rPr>
                <w:rFonts w:ascii="Times New Roman" w:hAnsi="Times New Roman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9" w:type="dxa"/>
            <w:vAlign w:val="center"/>
          </w:tcPr>
          <w:p w14:paraId="49CE1045" w14:textId="77777777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1396</w:t>
            </w:r>
          </w:p>
        </w:tc>
        <w:tc>
          <w:tcPr>
            <w:tcW w:w="709" w:type="dxa"/>
            <w:vAlign w:val="center"/>
          </w:tcPr>
          <w:p w14:paraId="0152FEE3" w14:textId="77777777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1396</w:t>
            </w:r>
          </w:p>
        </w:tc>
        <w:tc>
          <w:tcPr>
            <w:tcW w:w="709" w:type="dxa"/>
            <w:vAlign w:val="center"/>
          </w:tcPr>
          <w:p w14:paraId="6808F971" w14:textId="77777777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1396</w:t>
            </w:r>
          </w:p>
        </w:tc>
        <w:tc>
          <w:tcPr>
            <w:tcW w:w="850" w:type="dxa"/>
            <w:vAlign w:val="center"/>
          </w:tcPr>
          <w:p w14:paraId="3B565FFC" w14:textId="77777777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1396</w:t>
            </w:r>
          </w:p>
        </w:tc>
        <w:tc>
          <w:tcPr>
            <w:tcW w:w="851" w:type="dxa"/>
            <w:vAlign w:val="center"/>
          </w:tcPr>
          <w:p w14:paraId="7BAD161E" w14:textId="77777777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1396</w:t>
            </w:r>
          </w:p>
        </w:tc>
        <w:tc>
          <w:tcPr>
            <w:tcW w:w="708" w:type="dxa"/>
            <w:vAlign w:val="center"/>
          </w:tcPr>
          <w:p w14:paraId="3A36795B" w14:textId="77777777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1396</w:t>
            </w:r>
          </w:p>
        </w:tc>
        <w:tc>
          <w:tcPr>
            <w:tcW w:w="851" w:type="dxa"/>
            <w:vAlign w:val="center"/>
          </w:tcPr>
          <w:p w14:paraId="56DA66A8" w14:textId="77777777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1396</w:t>
            </w:r>
          </w:p>
        </w:tc>
        <w:tc>
          <w:tcPr>
            <w:tcW w:w="709" w:type="dxa"/>
            <w:vAlign w:val="center"/>
          </w:tcPr>
          <w:p w14:paraId="13A129A1" w14:textId="77777777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1396</w:t>
            </w:r>
          </w:p>
        </w:tc>
      </w:tr>
      <w:tr w:rsidR="00022519" w:rsidRPr="00897ADE" w14:paraId="637E35C1" w14:textId="77777777" w:rsidTr="00900B4A">
        <w:trPr>
          <w:jc w:val="center"/>
        </w:trPr>
        <w:tc>
          <w:tcPr>
            <w:tcW w:w="2127" w:type="dxa"/>
            <w:vAlign w:val="center"/>
          </w:tcPr>
          <w:p w14:paraId="6B4826AD" w14:textId="77777777" w:rsidR="00022519" w:rsidRPr="00897ADE" w:rsidRDefault="00900B4A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不可变换</w:t>
            </w:r>
            <w:r w:rsidRPr="00897ADE">
              <w:rPr>
                <w:rFonts w:ascii="Times New Roman" w:hAnsi="Times New Roman" w:cs="宋体"/>
                <w:sz w:val="21"/>
                <w:szCs w:val="21"/>
                <w:lang w:eastAsia="zh-CN"/>
              </w:rPr>
              <w:t>功能空间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(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㎡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09" w:type="dxa"/>
            <w:vAlign w:val="center"/>
          </w:tcPr>
          <w:p w14:paraId="4A00A41F" w14:textId="77777777" w:rsidR="00022519" w:rsidRPr="00897ADE" w:rsidRDefault="00900B4A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420</w:t>
            </w:r>
          </w:p>
        </w:tc>
        <w:tc>
          <w:tcPr>
            <w:tcW w:w="709" w:type="dxa"/>
            <w:vAlign w:val="center"/>
          </w:tcPr>
          <w:p w14:paraId="15A51B0C" w14:textId="77777777" w:rsidR="00022519" w:rsidRPr="00897ADE" w:rsidRDefault="00900B4A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420</w:t>
            </w:r>
          </w:p>
        </w:tc>
        <w:tc>
          <w:tcPr>
            <w:tcW w:w="709" w:type="dxa"/>
            <w:vAlign w:val="center"/>
          </w:tcPr>
          <w:p w14:paraId="7A0B5068" w14:textId="77777777" w:rsidR="00022519" w:rsidRPr="00897ADE" w:rsidRDefault="00900B4A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420</w:t>
            </w:r>
          </w:p>
        </w:tc>
        <w:tc>
          <w:tcPr>
            <w:tcW w:w="850" w:type="dxa"/>
            <w:vAlign w:val="center"/>
          </w:tcPr>
          <w:p w14:paraId="1F1896B3" w14:textId="77777777" w:rsidR="00022519" w:rsidRPr="00897ADE" w:rsidRDefault="00900B4A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420</w:t>
            </w:r>
          </w:p>
        </w:tc>
        <w:tc>
          <w:tcPr>
            <w:tcW w:w="851" w:type="dxa"/>
            <w:vAlign w:val="center"/>
          </w:tcPr>
          <w:p w14:paraId="0D5A20AE" w14:textId="77777777" w:rsidR="00022519" w:rsidRPr="00897ADE" w:rsidRDefault="00900B4A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420</w:t>
            </w:r>
          </w:p>
        </w:tc>
        <w:tc>
          <w:tcPr>
            <w:tcW w:w="708" w:type="dxa"/>
            <w:vAlign w:val="center"/>
          </w:tcPr>
          <w:p w14:paraId="55A469E8" w14:textId="77777777" w:rsidR="00022519" w:rsidRPr="00897ADE" w:rsidRDefault="00900B4A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420</w:t>
            </w:r>
          </w:p>
        </w:tc>
        <w:tc>
          <w:tcPr>
            <w:tcW w:w="851" w:type="dxa"/>
            <w:vAlign w:val="center"/>
          </w:tcPr>
          <w:p w14:paraId="1F7FDA0D" w14:textId="77777777" w:rsidR="00022519" w:rsidRPr="00897ADE" w:rsidRDefault="00900B4A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420</w:t>
            </w:r>
          </w:p>
        </w:tc>
        <w:tc>
          <w:tcPr>
            <w:tcW w:w="709" w:type="dxa"/>
            <w:vAlign w:val="center"/>
          </w:tcPr>
          <w:p w14:paraId="06DCE65D" w14:textId="77777777" w:rsidR="00022519" w:rsidRPr="00897ADE" w:rsidRDefault="00900B4A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420</w:t>
            </w:r>
          </w:p>
        </w:tc>
      </w:tr>
      <w:tr w:rsidR="00022519" w:rsidRPr="00897ADE" w14:paraId="1408A19D" w14:textId="77777777" w:rsidTr="00900B4A">
        <w:trPr>
          <w:jc w:val="center"/>
        </w:trPr>
        <w:tc>
          <w:tcPr>
            <w:tcW w:w="2127" w:type="dxa"/>
            <w:vAlign w:val="center"/>
          </w:tcPr>
          <w:p w14:paraId="7BE12140" w14:textId="77777777" w:rsidR="00022519" w:rsidRPr="00897ADE" w:rsidRDefault="00900B4A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可变换</w:t>
            </w:r>
            <w:r w:rsidRPr="00897ADE">
              <w:rPr>
                <w:rFonts w:ascii="Times New Roman" w:hAnsi="Times New Roman" w:cs="宋体"/>
                <w:sz w:val="21"/>
                <w:szCs w:val="21"/>
                <w:lang w:eastAsia="zh-CN"/>
              </w:rPr>
              <w:t>功能空间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(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㎡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09" w:type="dxa"/>
            <w:vAlign w:val="center"/>
          </w:tcPr>
          <w:p w14:paraId="06C582EC" w14:textId="77777777" w:rsidR="00022519" w:rsidRPr="00897ADE" w:rsidRDefault="00900B4A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976</w:t>
            </w:r>
          </w:p>
        </w:tc>
        <w:tc>
          <w:tcPr>
            <w:tcW w:w="709" w:type="dxa"/>
            <w:vAlign w:val="center"/>
          </w:tcPr>
          <w:p w14:paraId="623C5626" w14:textId="77777777" w:rsidR="00022519" w:rsidRPr="00897ADE" w:rsidRDefault="00900B4A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976</w:t>
            </w:r>
          </w:p>
        </w:tc>
        <w:tc>
          <w:tcPr>
            <w:tcW w:w="709" w:type="dxa"/>
            <w:vAlign w:val="center"/>
          </w:tcPr>
          <w:p w14:paraId="3FC1D568" w14:textId="77777777" w:rsidR="00022519" w:rsidRPr="00897ADE" w:rsidRDefault="00900B4A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976</w:t>
            </w:r>
          </w:p>
        </w:tc>
        <w:tc>
          <w:tcPr>
            <w:tcW w:w="850" w:type="dxa"/>
            <w:vAlign w:val="center"/>
          </w:tcPr>
          <w:p w14:paraId="0A24DC50" w14:textId="77777777" w:rsidR="00022519" w:rsidRPr="00897ADE" w:rsidRDefault="00900B4A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976</w:t>
            </w:r>
          </w:p>
        </w:tc>
        <w:tc>
          <w:tcPr>
            <w:tcW w:w="851" w:type="dxa"/>
            <w:vAlign w:val="center"/>
          </w:tcPr>
          <w:p w14:paraId="4324A142" w14:textId="77777777" w:rsidR="00022519" w:rsidRPr="00897ADE" w:rsidRDefault="00900B4A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976</w:t>
            </w:r>
          </w:p>
        </w:tc>
        <w:tc>
          <w:tcPr>
            <w:tcW w:w="708" w:type="dxa"/>
            <w:vAlign w:val="center"/>
          </w:tcPr>
          <w:p w14:paraId="6F4B43A8" w14:textId="77777777" w:rsidR="00022519" w:rsidRPr="00897ADE" w:rsidRDefault="00900B4A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976</w:t>
            </w:r>
          </w:p>
        </w:tc>
        <w:tc>
          <w:tcPr>
            <w:tcW w:w="851" w:type="dxa"/>
            <w:vAlign w:val="center"/>
          </w:tcPr>
          <w:p w14:paraId="356F6657" w14:textId="77777777" w:rsidR="00022519" w:rsidRPr="00897ADE" w:rsidRDefault="00900B4A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976</w:t>
            </w:r>
          </w:p>
        </w:tc>
        <w:tc>
          <w:tcPr>
            <w:tcW w:w="709" w:type="dxa"/>
            <w:vAlign w:val="center"/>
          </w:tcPr>
          <w:p w14:paraId="0DB5D713" w14:textId="77777777" w:rsidR="00022519" w:rsidRPr="00897ADE" w:rsidRDefault="00900B4A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976</w:t>
            </w:r>
          </w:p>
        </w:tc>
      </w:tr>
      <w:tr w:rsidR="00900B4A" w:rsidRPr="00897ADE" w14:paraId="001B28E3" w14:textId="77777777" w:rsidTr="00226F16">
        <w:trPr>
          <w:jc w:val="center"/>
        </w:trPr>
        <w:tc>
          <w:tcPr>
            <w:tcW w:w="3545" w:type="dxa"/>
            <w:gridSpan w:val="3"/>
            <w:vAlign w:val="center"/>
          </w:tcPr>
          <w:p w14:paraId="2A2CAFDF" w14:textId="77777777" w:rsidR="00900B4A" w:rsidRPr="00897ADE" w:rsidRDefault="00900B4A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可变换</w:t>
            </w:r>
            <w:r w:rsidRPr="00897ADE">
              <w:rPr>
                <w:rFonts w:ascii="Times New Roman" w:hAnsi="Times New Roman" w:cs="宋体"/>
                <w:sz w:val="21"/>
                <w:szCs w:val="21"/>
                <w:lang w:eastAsia="zh-CN"/>
              </w:rPr>
              <w:t>功能空间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总计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(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㎡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4678" w:type="dxa"/>
            <w:gridSpan w:val="6"/>
            <w:vAlign w:val="center"/>
          </w:tcPr>
          <w:p w14:paraId="0F63BB75" w14:textId="77777777" w:rsidR="00900B4A" w:rsidRPr="00897ADE" w:rsidRDefault="00900B4A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7808</w:t>
            </w:r>
          </w:p>
        </w:tc>
      </w:tr>
    </w:tbl>
    <w:p w14:paraId="2CFC347A" w14:textId="77777777" w:rsidR="00022519" w:rsidRPr="00897ADE" w:rsidRDefault="00022519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</w:p>
    <w:p w14:paraId="62760602" w14:textId="77777777" w:rsidR="00900B4A" w:rsidRPr="00897ADE" w:rsidRDefault="00900B4A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</w:p>
    <w:p w14:paraId="64D17336" w14:textId="77777777" w:rsidR="00900B4A" w:rsidRPr="00897ADE" w:rsidRDefault="00900B4A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</w:p>
    <w:p w14:paraId="523DBB74" w14:textId="77777777" w:rsidR="00900B4A" w:rsidRPr="00897ADE" w:rsidRDefault="00900B4A" w:rsidP="00900B4A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2.2.</w:t>
      </w: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灵活隔断的室内空间</w:t>
      </w:r>
    </w:p>
    <w:p w14:paraId="254D2D01" w14:textId="77777777" w:rsidR="00900B4A" w:rsidRPr="00897ADE" w:rsidRDefault="00900B4A" w:rsidP="00900B4A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</w:p>
    <w:p w14:paraId="1CC44D5E" w14:textId="77777777" w:rsidR="00900B4A" w:rsidRPr="00897ADE" w:rsidRDefault="00900B4A" w:rsidP="00900B4A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本项目布置了较多的大开间敞开式办公，部分办公室和会议室必须隔断时，采用玻璃隔断。采用灵活隔断的统计面积如下表。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709"/>
        <w:gridCol w:w="851"/>
        <w:gridCol w:w="708"/>
        <w:gridCol w:w="709"/>
        <w:gridCol w:w="709"/>
        <w:gridCol w:w="709"/>
        <w:gridCol w:w="708"/>
        <w:gridCol w:w="720"/>
      </w:tblGrid>
      <w:tr w:rsidR="00900B4A" w:rsidRPr="00897ADE" w14:paraId="7B074E31" w14:textId="77777777" w:rsidTr="00897ADE">
        <w:trPr>
          <w:jc w:val="center"/>
        </w:trPr>
        <w:tc>
          <w:tcPr>
            <w:tcW w:w="2943" w:type="dxa"/>
            <w:vAlign w:val="center"/>
          </w:tcPr>
          <w:p w14:paraId="31D8C5FF" w14:textId="77777777" w:rsidR="00900B4A" w:rsidRPr="00897ADE" w:rsidRDefault="00900B4A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楼号</w:t>
            </w:r>
          </w:p>
        </w:tc>
        <w:tc>
          <w:tcPr>
            <w:tcW w:w="709" w:type="dxa"/>
            <w:vAlign w:val="center"/>
          </w:tcPr>
          <w:p w14:paraId="64309FFA" w14:textId="77777777" w:rsidR="00900B4A" w:rsidRPr="00897ADE" w:rsidRDefault="00900B4A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14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851" w:type="dxa"/>
            <w:vAlign w:val="center"/>
          </w:tcPr>
          <w:p w14:paraId="38761994" w14:textId="77777777" w:rsidR="00900B4A" w:rsidRPr="00897ADE" w:rsidRDefault="00900B4A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15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708" w:type="dxa"/>
            <w:vAlign w:val="center"/>
          </w:tcPr>
          <w:p w14:paraId="25C021DA" w14:textId="77777777" w:rsidR="00900B4A" w:rsidRPr="00897ADE" w:rsidRDefault="00900B4A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16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709" w:type="dxa"/>
            <w:vAlign w:val="center"/>
          </w:tcPr>
          <w:p w14:paraId="56DF6EED" w14:textId="77777777" w:rsidR="00900B4A" w:rsidRPr="00897ADE" w:rsidRDefault="00900B4A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17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709" w:type="dxa"/>
            <w:vAlign w:val="center"/>
          </w:tcPr>
          <w:p w14:paraId="54AF65EB" w14:textId="77777777" w:rsidR="00900B4A" w:rsidRPr="00897ADE" w:rsidRDefault="00900B4A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18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709" w:type="dxa"/>
            <w:vAlign w:val="center"/>
          </w:tcPr>
          <w:p w14:paraId="67E5D0D2" w14:textId="77777777" w:rsidR="00900B4A" w:rsidRPr="00897ADE" w:rsidRDefault="00900B4A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19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708" w:type="dxa"/>
            <w:vAlign w:val="center"/>
          </w:tcPr>
          <w:p w14:paraId="7688EA11" w14:textId="77777777" w:rsidR="00900B4A" w:rsidRPr="00897ADE" w:rsidRDefault="00900B4A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20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720" w:type="dxa"/>
            <w:vAlign w:val="center"/>
          </w:tcPr>
          <w:p w14:paraId="7D888FF3" w14:textId="77777777" w:rsidR="00900B4A" w:rsidRPr="00897ADE" w:rsidRDefault="00900B4A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2</w:t>
            </w:r>
            <w:r w:rsidRPr="00897ADE">
              <w:rPr>
                <w:rFonts w:ascii="Times New Roman" w:hAnsi="Times New Roman" w:cs="宋体"/>
                <w:sz w:val="21"/>
                <w:szCs w:val="21"/>
                <w:lang w:eastAsia="zh-CN"/>
              </w:rPr>
              <w:t>1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</w:tr>
      <w:tr w:rsidR="00897ADE" w:rsidRPr="00897ADE" w14:paraId="1A46FC17" w14:textId="77777777" w:rsidTr="00897ADE">
        <w:trPr>
          <w:jc w:val="center"/>
        </w:trPr>
        <w:tc>
          <w:tcPr>
            <w:tcW w:w="2943" w:type="dxa"/>
            <w:vAlign w:val="center"/>
          </w:tcPr>
          <w:p w14:paraId="624FA3D0" w14:textId="77777777" w:rsidR="00897ADE" w:rsidRPr="00897ADE" w:rsidRDefault="00897ADE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采用</w:t>
            </w:r>
            <w:r w:rsidRPr="00897ADE">
              <w:rPr>
                <w:rFonts w:ascii="Times New Roman" w:hAnsi="Times New Roman" w:cs="宋体"/>
                <w:sz w:val="21"/>
                <w:szCs w:val="21"/>
                <w:lang w:eastAsia="zh-CN"/>
              </w:rPr>
              <w:t>灵活隔断的面积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(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㎡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09" w:type="dxa"/>
            <w:vAlign w:val="center"/>
          </w:tcPr>
          <w:p w14:paraId="244C3FB3" w14:textId="77777777" w:rsidR="00897ADE" w:rsidRPr="00897ADE" w:rsidRDefault="00897ADE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1" w:type="dxa"/>
            <w:vAlign w:val="center"/>
          </w:tcPr>
          <w:p w14:paraId="1C348767" w14:textId="77777777" w:rsidR="00897ADE" w:rsidRPr="00897ADE" w:rsidRDefault="00897ADE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771</w:t>
            </w:r>
          </w:p>
        </w:tc>
        <w:tc>
          <w:tcPr>
            <w:tcW w:w="708" w:type="dxa"/>
            <w:vAlign w:val="center"/>
          </w:tcPr>
          <w:p w14:paraId="263B37F0" w14:textId="77777777" w:rsidR="00897ADE" w:rsidRPr="00897ADE" w:rsidRDefault="00897ADE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771</w:t>
            </w:r>
          </w:p>
        </w:tc>
        <w:tc>
          <w:tcPr>
            <w:tcW w:w="709" w:type="dxa"/>
            <w:vAlign w:val="center"/>
          </w:tcPr>
          <w:p w14:paraId="48DDAA89" w14:textId="77777777" w:rsidR="00897ADE" w:rsidRPr="00897ADE" w:rsidRDefault="00897ADE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771</w:t>
            </w:r>
          </w:p>
        </w:tc>
        <w:tc>
          <w:tcPr>
            <w:tcW w:w="709" w:type="dxa"/>
            <w:vAlign w:val="center"/>
          </w:tcPr>
          <w:p w14:paraId="7AE41405" w14:textId="77777777" w:rsidR="00897ADE" w:rsidRPr="00897ADE" w:rsidRDefault="00897ADE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771</w:t>
            </w:r>
          </w:p>
        </w:tc>
        <w:tc>
          <w:tcPr>
            <w:tcW w:w="709" w:type="dxa"/>
            <w:vAlign w:val="center"/>
          </w:tcPr>
          <w:p w14:paraId="1AE1043F" w14:textId="77777777" w:rsidR="00897ADE" w:rsidRPr="00897ADE" w:rsidRDefault="00897ADE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771</w:t>
            </w:r>
          </w:p>
        </w:tc>
        <w:tc>
          <w:tcPr>
            <w:tcW w:w="708" w:type="dxa"/>
            <w:vAlign w:val="center"/>
          </w:tcPr>
          <w:p w14:paraId="456CA540" w14:textId="77777777" w:rsidR="00897ADE" w:rsidRPr="00897ADE" w:rsidRDefault="00897ADE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771</w:t>
            </w:r>
          </w:p>
        </w:tc>
        <w:tc>
          <w:tcPr>
            <w:tcW w:w="720" w:type="dxa"/>
            <w:vAlign w:val="center"/>
          </w:tcPr>
          <w:p w14:paraId="740C6336" w14:textId="77777777" w:rsidR="00897ADE" w:rsidRPr="00897ADE" w:rsidRDefault="00897ADE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771</w:t>
            </w:r>
          </w:p>
        </w:tc>
      </w:tr>
      <w:tr w:rsidR="00897ADE" w:rsidRPr="00897ADE" w14:paraId="21FAACE7" w14:textId="77777777" w:rsidTr="00097B39">
        <w:trPr>
          <w:jc w:val="center"/>
        </w:trPr>
        <w:tc>
          <w:tcPr>
            <w:tcW w:w="2943" w:type="dxa"/>
            <w:vAlign w:val="center"/>
          </w:tcPr>
          <w:p w14:paraId="3041C05E" w14:textId="77777777" w:rsidR="00897ADE" w:rsidRPr="00897ADE" w:rsidRDefault="00897ADE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lastRenderedPageBreak/>
              <w:t>合计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(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㎡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823" w:type="dxa"/>
            <w:gridSpan w:val="8"/>
            <w:vAlign w:val="center"/>
          </w:tcPr>
          <w:p w14:paraId="657DB0F6" w14:textId="77777777" w:rsidR="00897ADE" w:rsidRPr="00897ADE" w:rsidRDefault="00897ADE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5397</w:t>
            </w:r>
          </w:p>
        </w:tc>
      </w:tr>
    </w:tbl>
    <w:p w14:paraId="28C7E419" w14:textId="77777777" w:rsidR="00897ADE" w:rsidRPr="00897ADE" w:rsidRDefault="00897ADE" w:rsidP="00897ADE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</w:p>
    <w:p w14:paraId="1786662E" w14:textId="77777777" w:rsidR="00897ADE" w:rsidRPr="00897ADE" w:rsidRDefault="00897ADE" w:rsidP="00897ADE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2.3.</w:t>
      </w: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灵活隔断的面积比例</w:t>
      </w:r>
    </w:p>
    <w:p w14:paraId="1A0AB70C" w14:textId="77777777" w:rsidR="00897ADE" w:rsidRPr="00897ADE" w:rsidRDefault="00897ADE" w:rsidP="00897ADE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</w:p>
    <w:p w14:paraId="281D1403" w14:textId="77777777" w:rsidR="00897ADE" w:rsidRPr="00897ADE" w:rsidRDefault="00897ADE" w:rsidP="00897ADE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灵活隔断的面积比例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=5397/7808×100%=69.1%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；</w:t>
      </w:r>
    </w:p>
    <w:p w14:paraId="7E9589F5" w14:textId="77777777" w:rsidR="00900B4A" w:rsidRPr="00897ADE" w:rsidRDefault="00897ADE" w:rsidP="00897ADE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非灵活隔断的面积比例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=1-69.1%=30.9%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。</w:t>
      </w:r>
    </w:p>
    <w:p w14:paraId="49DA7829" w14:textId="77777777" w:rsidR="00897ADE" w:rsidRPr="00897ADE" w:rsidRDefault="00897ADE" w:rsidP="00897ADE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</w:p>
    <w:p w14:paraId="5D4095FC" w14:textId="77777777" w:rsidR="00897ADE" w:rsidRPr="00897ADE" w:rsidRDefault="00897ADE" w:rsidP="00897ADE">
      <w:pPr>
        <w:pStyle w:val="1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  <w:r w:rsidRPr="00897ADE">
        <w:rPr>
          <w:rFonts w:ascii="Times New Roman" w:hAnsi="Times New Roman" w:cs="Times New Roman"/>
          <w:sz w:val="32"/>
          <w:szCs w:val="32"/>
          <w:lang w:eastAsia="zh-CN"/>
        </w:rPr>
        <w:t>3.</w:t>
      </w:r>
      <w:r w:rsidRPr="00897ADE">
        <w:rPr>
          <w:rFonts w:ascii="Times New Roman" w:hAnsi="Times New Roman" w:cs="Times New Roman"/>
          <w:sz w:val="32"/>
          <w:szCs w:val="32"/>
          <w:lang w:eastAsia="zh-CN"/>
        </w:rPr>
        <w:t>结论</w:t>
      </w:r>
    </w:p>
    <w:p w14:paraId="11C6BD44" w14:textId="77777777" w:rsidR="00897ADE" w:rsidRPr="00897ADE" w:rsidRDefault="00897ADE" w:rsidP="00897ADE">
      <w:pPr>
        <w:pStyle w:val="1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</w:p>
    <w:p w14:paraId="10578F94" w14:textId="77777777" w:rsidR="00897ADE" w:rsidRPr="00897ADE" w:rsidRDefault="00897ADE" w:rsidP="00897ADE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针对《绿色建筑评价标准》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GB50378-2019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的第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4.2.6</w:t>
      </w:r>
      <w:r w:rsidRPr="00897ADE">
        <w:rPr>
          <w:rFonts w:ascii="Times New Roman" w:hAnsi="Times New Roman" w:cs="宋体" w:hint="eastAsia"/>
          <w:sz w:val="21"/>
          <w:szCs w:val="21"/>
          <w:lang w:eastAsia="zh-CN"/>
        </w:rPr>
        <w:t>条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“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采取提升建筑</w:t>
      </w:r>
      <w:proofErr w:type="gramStart"/>
      <w:r w:rsidRPr="00897ADE">
        <w:rPr>
          <w:rFonts w:ascii="Times New Roman" w:hAnsi="Times New Roman" w:cs="宋体"/>
          <w:sz w:val="21"/>
          <w:szCs w:val="21"/>
          <w:lang w:eastAsia="zh-CN"/>
        </w:rPr>
        <w:t>适</w:t>
      </w:r>
      <w:proofErr w:type="gramEnd"/>
      <w:r w:rsidRPr="00897ADE">
        <w:rPr>
          <w:rFonts w:ascii="Times New Roman" w:hAnsi="Times New Roman" w:cs="宋体"/>
          <w:sz w:val="21"/>
          <w:szCs w:val="21"/>
          <w:lang w:eastAsia="zh-CN"/>
        </w:rPr>
        <w:t>变性的措施，评价总分值为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18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分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”</w:t>
      </w:r>
      <w:r w:rsidRPr="00897ADE">
        <w:rPr>
          <w:rFonts w:ascii="Times New Roman" w:hAnsi="Times New Roman" w:cs="宋体" w:hint="eastAsia"/>
          <w:sz w:val="21"/>
          <w:szCs w:val="21"/>
          <w:lang w:eastAsia="zh-CN"/>
        </w:rPr>
        <w:t>，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满足第一点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“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采取通用开放、灵活可变的使用空间设计，或采取建筑使用功能可变措施，得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7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分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”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。该评分项可得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7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分。</w:t>
      </w:r>
    </w:p>
    <w:sectPr w:rsidR="00897ADE" w:rsidRPr="00897ADE">
      <w:pgSz w:w="11910" w:h="16850"/>
      <w:pgMar w:top="14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C34"/>
    <w:rsid w:val="00022519"/>
    <w:rsid w:val="00897ADE"/>
    <w:rsid w:val="00900B4A"/>
    <w:rsid w:val="00A224F0"/>
    <w:rsid w:val="00DB78D3"/>
    <w:rsid w:val="00E40C34"/>
    <w:rsid w:val="00E7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1276FF10"/>
  <w15:docId w15:val="{F00F69ED-2AFA-4A28-A051-A9AA6897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Microsoft JhengHei" w:eastAsia="Microsoft JhengHei" w:hAnsi="Microsoft JhengHe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4F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  <w:ind w:left="120"/>
    </w:pPr>
    <w:rPr>
      <w:rFonts w:ascii="宋体" w:eastAsia="宋体" w:hAnsi="宋体"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022519"/>
    <w:rPr>
      <w:b/>
      <w:bCs/>
    </w:rPr>
  </w:style>
  <w:style w:type="table" w:styleId="a6">
    <w:name w:val="Table Grid"/>
    <w:basedOn w:val="a1"/>
    <w:uiPriority w:val="39"/>
    <w:rsid w:val="0002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semiHidden/>
    <w:rsid w:val="00A224F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C3A2E-A9D9-4CEE-89E0-DF0EBB61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金晶</dc:creator>
  <cp:lastModifiedBy>nuri nuri</cp:lastModifiedBy>
  <cp:revision>3</cp:revision>
  <dcterms:created xsi:type="dcterms:W3CDTF">2020-01-09T09:42:00Z</dcterms:created>
  <dcterms:modified xsi:type="dcterms:W3CDTF">2024-02-28T14:30:00Z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LastSaved">
    <vt:filetime>2020-01-09T00:00:00Z</vt:filetime>
  </property>
</Properties>
</file>