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  <w:bookmarkStart w:id="0" w:name="_GoBack"/>
      <w:bookmarkEnd w:id="0"/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某高校建筑学院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工程项目选址位于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学校总体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地块的东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北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角。整个规划总用地面积接近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19677.53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平方米，基本呈长方形，南北向约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95.4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米，东西向约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87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米，地块内部较为整体平坦。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某建筑学院分为两大板块：教育核心板块和信息图文中心。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本次建设面积地上为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22022.20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平米，包括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教育核心板块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总建设面积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10442.52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平米（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1~5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层），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图文信息中心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建筑面积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11579.68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平方米（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～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层）。</w:t>
      </w:r>
    </w:p>
    <w:p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695"/>
        <w:gridCol w:w="695"/>
        <w:gridCol w:w="695"/>
        <w:gridCol w:w="834"/>
        <w:gridCol w:w="835"/>
        <w:gridCol w:w="774"/>
        <w:gridCol w:w="760"/>
        <w:gridCol w:w="790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5080</wp:posOffset>
                      </wp:positionV>
                      <wp:extent cx="1356995" cy="161925"/>
                      <wp:effectExtent l="635" t="4445" r="1270" b="11430"/>
                      <wp:wrapNone/>
                      <wp:docPr id="1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995" cy="1619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-6.2pt;margin-top:0.4pt;height:12.75pt;width:106.85pt;z-index:251659264;mso-width-relative:page;mso-height-relative:page;" filled="f" stroked="t" coordsize="21600,21600" o:gfxdata="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V1ztzWAAAABwEAAA8AAAAAAAAAAQAgAAAAIgAAAGRycy9kb3ducmV2LnhtbFBL&#10;AQIUABQAAAAIAIdO4kAD/X7o+AEAAOgDAAAOAAAAAAAAAAEAIAAAACU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3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1.1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9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1.3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1.4层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1556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2221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2221</w:t>
            </w:r>
          </w:p>
        </w:tc>
        <w:tc>
          <w:tcPr>
            <w:tcW w:w="8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2221</w:t>
            </w:r>
          </w:p>
        </w:tc>
        <w:tc>
          <w:tcPr>
            <w:tcW w:w="83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2221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3431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3431</w:t>
            </w:r>
          </w:p>
        </w:tc>
        <w:tc>
          <w:tcPr>
            <w:tcW w:w="79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3431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552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675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675</w:t>
            </w:r>
          </w:p>
        </w:tc>
        <w:tc>
          <w:tcPr>
            <w:tcW w:w="8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675</w:t>
            </w:r>
          </w:p>
        </w:tc>
        <w:tc>
          <w:tcPr>
            <w:tcW w:w="83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675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287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287</w:t>
            </w:r>
          </w:p>
        </w:tc>
        <w:tc>
          <w:tcPr>
            <w:tcW w:w="79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287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1004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1546</w:t>
            </w:r>
          </w:p>
        </w:tc>
        <w:tc>
          <w:tcPr>
            <w:tcW w:w="69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1546</w:t>
            </w:r>
          </w:p>
        </w:tc>
        <w:tc>
          <w:tcPr>
            <w:tcW w:w="83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1546</w:t>
            </w:r>
          </w:p>
        </w:tc>
        <w:tc>
          <w:tcPr>
            <w:tcW w:w="83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1546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3411</w:t>
            </w:r>
          </w:p>
        </w:tc>
        <w:tc>
          <w:tcPr>
            <w:tcW w:w="76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3411</w:t>
            </w:r>
          </w:p>
        </w:tc>
        <w:tc>
          <w:tcPr>
            <w:tcW w:w="790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3411</w:t>
            </w:r>
          </w:p>
        </w:tc>
        <w:tc>
          <w:tcPr>
            <w:tcW w:w="7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7" w:type="dxa"/>
            <w:gridSpan w:val="3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5462" w:type="dxa"/>
            <w:gridSpan w:val="7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20832</w:t>
            </w:r>
          </w:p>
        </w:tc>
      </w:tr>
    </w:tbl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1074"/>
        <w:gridCol w:w="851"/>
        <w:gridCol w:w="845"/>
        <w:gridCol w:w="1041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57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10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1~5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2.1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104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2.4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1074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2930</w:t>
            </w:r>
          </w:p>
        </w:tc>
        <w:tc>
          <w:tcPr>
            <w:tcW w:w="845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2930</w:t>
            </w:r>
          </w:p>
        </w:tc>
        <w:tc>
          <w:tcPr>
            <w:tcW w:w="104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2930</w:t>
            </w:r>
          </w:p>
        </w:tc>
        <w:tc>
          <w:tcPr>
            <w:tcW w:w="1021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8" w:type="dxa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4832" w:type="dxa"/>
            <w:gridSpan w:val="5"/>
            <w:vAlign w:val="center"/>
          </w:tcPr>
          <w:p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11836</w:t>
            </w:r>
          </w:p>
        </w:tc>
      </w:tr>
    </w:tbl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11836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20832</w:t>
      </w:r>
      <w:r>
        <w:rPr>
          <w:rFonts w:ascii="Times New Roman" w:hAnsi="Times New Roman" w:cs="宋体"/>
          <w:sz w:val="21"/>
          <w:szCs w:val="21"/>
          <w:lang w:eastAsia="zh-CN"/>
        </w:rPr>
        <w:t>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56.8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56.8</w:t>
      </w:r>
      <w:r>
        <w:rPr>
          <w:rFonts w:ascii="Times New Roman" w:hAnsi="Times New Roman" w:cs="宋体"/>
          <w:sz w:val="21"/>
          <w:szCs w:val="21"/>
          <w:lang w:eastAsia="zh-CN"/>
        </w:rPr>
        <w:t>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43.2</w:t>
      </w:r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NzY4OGIxM2JiZWVmNmVmYzVmYWUzNTM1ZGRhZjYifQ=="/>
  </w:docVars>
  <w:rsids>
    <w:rsidRoot w:val="00E40C34"/>
    <w:rsid w:val="00022519"/>
    <w:rsid w:val="00897ADE"/>
    <w:rsid w:val="00900B4A"/>
    <w:rsid w:val="00E40C34"/>
    <w:rsid w:val="1C2C57C5"/>
    <w:rsid w:val="27EC3E5F"/>
    <w:rsid w:val="788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989</Characters>
  <Lines>8</Lines>
  <Paragraphs>2</Paragraphs>
  <TotalTime>46</TotalTime>
  <ScaleCrop>false</ScaleCrop>
  <LinksUpToDate>false</LinksUpToDate>
  <CharactersWithSpaces>1160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一颦一笑</cp:lastModifiedBy>
  <dcterms:modified xsi:type="dcterms:W3CDTF">2024-03-10T08:08:15Z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2052-12.1.0.16250</vt:lpwstr>
  </property>
  <property fmtid="{D5CDD505-2E9C-101B-9397-08002B2CF9AE}" pid="5" name="ICV">
    <vt:lpwstr>8DC302D179FC4010A8B6A3A4B8C3CDA0_13</vt:lpwstr>
  </property>
</Properties>
</file>