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2"/>
        <w:jc w:val="center"/>
        <w:rPr>
          <w:rFonts w:hint="eastAsia" w:ascii="Times New Roman" w:hAnsi="Times New Roman" w:eastAsiaTheme="minorEastAsia"/>
          <w:sz w:val="36"/>
          <w:szCs w:val="36"/>
          <w:lang w:eastAsia="zh-CN"/>
        </w:rPr>
        <w:sectPr>
          <w:type w:val="continuous"/>
          <w:pgSz w:w="11910" w:h="16850"/>
          <w:pgMar w:top="1600" w:right="1680" w:bottom="280" w:left="1680" w:header="720" w:footer="720" w:gutter="0"/>
          <w:cols w:space="720" w:num="1"/>
        </w:sectPr>
      </w:pPr>
      <w:r>
        <w:rPr>
          <w:rFonts w:ascii="Times New Roman" w:hAnsi="Times New Roman"/>
          <w:sz w:val="36"/>
          <w:szCs w:val="36"/>
          <w:lang w:eastAsia="zh-CN"/>
        </w:rPr>
        <w:t>可变换功能空间采用灵活隔断的比例计算书</w:t>
      </w:r>
    </w:p>
    <w:p>
      <w:pPr>
        <w:pStyle w:val="2"/>
        <w:rPr>
          <w:rFonts w:ascii="Times New Roman" w:hAnsi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1.</w:t>
      </w:r>
      <w:r>
        <w:rPr>
          <w:rFonts w:hint="eastAsia" w:ascii="Times New Roman" w:hAnsi="Times New Roman"/>
          <w:sz w:val="32"/>
          <w:szCs w:val="32"/>
          <w:lang w:eastAsia="zh-CN"/>
        </w:rPr>
        <w:t>计算概述</w:t>
      </w:r>
    </w:p>
    <w:p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</w:rPr>
      </w:pPr>
      <w:r>
        <w:rPr>
          <w:rStyle w:val="7"/>
          <w:rFonts w:hint="eastAsia" w:ascii="Times New Roman" w:hAnsi="Times New Roman"/>
          <w:sz w:val="28"/>
          <w:szCs w:val="28"/>
          <w:lang w:eastAsia="zh-CN"/>
        </w:rPr>
        <w:t>1.1.项目概况</w:t>
      </w:r>
    </w:p>
    <w:p>
      <w:pPr>
        <w:tabs>
          <w:tab w:val="left" w:pos="605"/>
        </w:tabs>
        <w:rPr>
          <w:rFonts w:hint="eastAsia"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 w:cs="宋体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sz w:val="21"/>
          <w:szCs w:val="21"/>
          <w:lang w:eastAsia="zh-CN"/>
        </w:rPr>
        <w:t>本设计为南昌校园教学楼绿色改造与翻新，建筑面积24386㎡，建筑高度27.8m，地处夏热冬冷地区，因地制宜，科学规划，以“推动绿色发展，促进人与自然和谐共生”为改造基点，力图创建一个环境优美、绿色生态的建筑。</w:t>
      </w:r>
    </w:p>
    <w:p>
      <w:pPr>
        <w:keepNext w:val="0"/>
        <w:keepLines w:val="0"/>
        <w:pageBreakBefore w:val="0"/>
        <w:widowControl w:val="0"/>
        <w:tabs>
          <w:tab w:val="left" w:pos="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 w:cs="宋体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sz w:val="21"/>
          <w:szCs w:val="21"/>
          <w:lang w:eastAsia="zh-CN"/>
        </w:rPr>
        <w:t>设计基于教学楼原有采光和通风较差、绿地覆盖率低等一系列问题进行改造，在绿建斯维尔软件分析下，以创新、绿色、开放、共享为出发点，本设计对于东北方向阶梯教室采光差、建筑局部通风效果较差等提出并应用多项改造措施，通过比较与筛选，采用打通纵向空间改善通风效果、打造滨水生态休闲绿轴等措施改善建筑舒适性，同时采用太阳能技术降低本建筑能耗，减少碳排放，采用中庭-湖泊-建筑水循环系统，实现降水的收集和利用，达到可持续发展目标，采用硬质矿棉板实现防火耐高温、隔热保温，不含任何致癌物质等有害物质，符合国家环保标准，同时采用建筑改造产生的固体废弃物回收利用技术，实现固体废弃物资源化、无害化、减墨化。</w:t>
      </w:r>
    </w:p>
    <w:p>
      <w:pPr>
        <w:keepNext w:val="0"/>
        <w:keepLines w:val="0"/>
        <w:pageBreakBefore w:val="0"/>
        <w:widowControl w:val="0"/>
        <w:tabs>
          <w:tab w:val="left" w:pos="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sz w:val="21"/>
          <w:szCs w:val="21"/>
          <w:lang w:eastAsia="zh-CN"/>
        </w:rPr>
        <w:t>通过设计绿色空间，运用多项绿色节能技术，将本建筑与建筑主要使用人群的需求结合，从通风、采光等方面改善建筑的使用功能，改造后的屋顶绿化、垂直绿化、中庭雨水花园以及周围绿地设计，使师生在繁忙的工作、学习生活中能拥有美好放松的心情。</w:t>
      </w: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1.2.计算目的</w:t>
      </w:r>
    </w:p>
    <w:p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290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判断本项目是否满足《绿色建筑评价标准》GB/T50378-2019第4.2.6条“采取提升建筑适变性的措施”。</w:t>
      </w:r>
    </w:p>
    <w:p>
      <w:pPr>
        <w:tabs>
          <w:tab w:val="left" w:pos="290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1.3.计算依据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《绿色建筑评价技术细则》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《绿色建筑评价技术细则补充说明》（规划设计部分）</w:t>
      </w:r>
    </w:p>
    <w:p>
      <w:pPr>
        <w:tabs>
          <w:tab w:val="left" w:pos="605"/>
        </w:tabs>
        <w:spacing w:line="360" w:lineRule="auto"/>
        <w:ind w:firstLine="630" w:firstLineChars="3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业主提供的建筑设计文件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pStyle w:val="2"/>
        <w:rPr>
          <w:rFonts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2.计算分析</w:t>
      </w:r>
    </w:p>
    <w:p>
      <w:pPr>
        <w:rPr>
          <w:rFonts w:hint="eastAsia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2.1.可变换功能的室内空间</w:t>
      </w:r>
    </w:p>
    <w:p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可变换功能的室内空间为总建筑面积减去不可改变功能的室内空间（如走廊、楼梯、电梯井、卫生间、设备用房、公共管井等），本项目此类区域面积如下表。</w:t>
      </w:r>
    </w:p>
    <w:tbl>
      <w:tblPr>
        <w:tblStyle w:val="5"/>
        <w:tblW w:w="6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709"/>
        <w:gridCol w:w="709"/>
        <w:gridCol w:w="863"/>
        <w:gridCol w:w="696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6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863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696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106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建筑面积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㎡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  <w:t>5639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  <w:t>4231</w:t>
            </w:r>
          </w:p>
        </w:tc>
        <w:tc>
          <w:tcPr>
            <w:tcW w:w="863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  <w:t>4178</w:t>
            </w:r>
          </w:p>
        </w:tc>
        <w:tc>
          <w:tcPr>
            <w:tcW w:w="696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  <w:t>4178</w:t>
            </w:r>
          </w:p>
        </w:tc>
        <w:tc>
          <w:tcPr>
            <w:tcW w:w="106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  <w:t>4793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不可变换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(㎡)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  <w:t>1525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  <w:t>1365</w:t>
            </w:r>
          </w:p>
        </w:tc>
        <w:tc>
          <w:tcPr>
            <w:tcW w:w="863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  <w:t>1525</w:t>
            </w:r>
          </w:p>
        </w:tc>
        <w:tc>
          <w:tcPr>
            <w:tcW w:w="696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  <w:t>1365</w:t>
            </w:r>
          </w:p>
        </w:tc>
        <w:tc>
          <w:tcPr>
            <w:tcW w:w="106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  <w:t>1365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val="en-GB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GB" w:eastAsia="zh-CN"/>
              </w:rPr>
              <w:t>可变换</w:t>
            </w:r>
            <w:r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  <w:t>功能空间</w:t>
            </w:r>
            <w:r>
              <w:rPr>
                <w:rFonts w:hint="eastAsia" w:ascii="Times New Roman" w:hAnsi="Times New Roman" w:cs="宋体"/>
                <w:sz w:val="21"/>
                <w:szCs w:val="21"/>
                <w:lang w:val="en-GB" w:eastAsia="zh-CN"/>
              </w:rPr>
              <w:t>(㎡)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val="en-GB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4114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val="en-GB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2866</w:t>
            </w:r>
          </w:p>
        </w:tc>
        <w:tc>
          <w:tcPr>
            <w:tcW w:w="863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val="en-GB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2653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val="en-GB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2813</w:t>
            </w:r>
          </w:p>
        </w:tc>
        <w:tc>
          <w:tcPr>
            <w:tcW w:w="1068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val="en-GB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3428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val="en-GB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可变换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总计(㎡)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15874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2.2.灵活隔断的室内空间</w:t>
      </w:r>
    </w:p>
    <w:p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本项目布置了较多的大开间敞开式办公，部分办公室和会议室必须隔断时，采用玻璃隔断。采用灵活隔断的统计面积如下表。</w:t>
      </w:r>
    </w:p>
    <w:tbl>
      <w:tblPr>
        <w:tblStyle w:val="5"/>
        <w:tblW w:w="6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709"/>
        <w:gridCol w:w="851"/>
        <w:gridCol w:w="708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楼号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  <w:t>1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  <w:t>2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  <w:t>3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  <w:t>4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  <w:t>5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采用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灵活隔断的面积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(㎡)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  <w:t>65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  <w:t>11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  <w:t>83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  <w:t>98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合计(㎡)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cs="宋体"/>
                <w:sz w:val="21"/>
                <w:szCs w:val="21"/>
                <w:lang w:val="en-GB" w:eastAsia="zh-CN"/>
              </w:rPr>
              <w:t>305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</w:tr>
    </w:tbl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2.3.灵活隔断的面积比例</w:t>
      </w:r>
    </w:p>
    <w:p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灵活隔断的面积比例=</w:t>
      </w:r>
      <w:r>
        <w:rPr>
          <w:rFonts w:hint="default" w:ascii="Times New Roman" w:hAnsi="Times New Roman" w:cs="宋体"/>
          <w:sz w:val="21"/>
          <w:szCs w:val="21"/>
          <w:lang w:val="en-GB" w:eastAsia="zh-CN"/>
        </w:rPr>
        <w:t>305</w:t>
      </w:r>
      <w:r>
        <w:rPr>
          <w:rFonts w:ascii="Times New Roman" w:hAnsi="Times New Roman" w:cs="宋体"/>
          <w:sz w:val="21"/>
          <w:szCs w:val="21"/>
          <w:lang w:eastAsia="zh-CN"/>
        </w:rPr>
        <w:t>/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24386</w:t>
      </w:r>
      <w:r>
        <w:rPr>
          <w:rFonts w:ascii="Times New Roman" w:hAnsi="Times New Roman" w:cs="宋体"/>
          <w:sz w:val="21"/>
          <w:szCs w:val="21"/>
          <w:lang w:eastAsia="zh-CN"/>
        </w:rPr>
        <w:t>×100%=</w:t>
      </w:r>
      <w:r>
        <w:rPr>
          <w:rFonts w:hint="default" w:ascii="Times New Roman" w:hAnsi="Times New Roman" w:cs="宋体"/>
          <w:sz w:val="21"/>
          <w:szCs w:val="21"/>
          <w:lang w:val="en-GB" w:eastAsia="zh-CN"/>
        </w:rPr>
        <w:t>1.25</w:t>
      </w:r>
      <w:r>
        <w:rPr>
          <w:rFonts w:ascii="Times New Roman" w:hAnsi="Times New Roman" w:cs="宋体"/>
          <w:sz w:val="21"/>
          <w:szCs w:val="21"/>
          <w:lang w:eastAsia="zh-CN"/>
        </w:rPr>
        <w:t>%；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非灵活隔断的面积比例=1-</w:t>
      </w:r>
      <w:r>
        <w:rPr>
          <w:rFonts w:hint="default" w:ascii="Times New Roman" w:hAnsi="Times New Roman" w:cs="宋体"/>
          <w:sz w:val="21"/>
          <w:szCs w:val="21"/>
          <w:lang w:val="en-GB" w:eastAsia="zh-CN"/>
        </w:rPr>
        <w:t>1.25</w:t>
      </w:r>
      <w:r>
        <w:rPr>
          <w:rFonts w:ascii="Times New Roman" w:hAnsi="Times New Roman" w:cs="宋体"/>
          <w:sz w:val="21"/>
          <w:szCs w:val="21"/>
          <w:lang w:eastAsia="zh-CN"/>
        </w:rPr>
        <w:t>%=</w:t>
      </w:r>
      <w:r>
        <w:rPr>
          <w:rFonts w:hint="default" w:ascii="Times New Roman" w:hAnsi="Times New Roman" w:cs="宋体"/>
          <w:sz w:val="21"/>
          <w:szCs w:val="21"/>
          <w:lang w:val="en-GB" w:eastAsia="zh-CN"/>
        </w:rPr>
        <w:t>98.75</w:t>
      </w:r>
      <w:r>
        <w:rPr>
          <w:rFonts w:ascii="Times New Roman" w:hAnsi="Times New Roman" w:cs="宋体"/>
          <w:sz w:val="21"/>
          <w:szCs w:val="21"/>
          <w:lang w:eastAsia="zh-CN"/>
        </w:rPr>
        <w:t>%。</w:t>
      </w:r>
    </w:p>
    <w:p>
      <w:pPr>
        <w:tabs>
          <w:tab w:val="left" w:pos="605"/>
        </w:tabs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tabs>
          <w:tab w:val="left" w:pos="605"/>
        </w:tabs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28"/>
          <w:szCs w:val="28"/>
          <w:shd w:val="clear" w:fill="FFFFFF"/>
          <w:lang w:val="en-US" w:eastAsia="zh-CN"/>
        </w:rPr>
        <w:t>3.布置方式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C4C4C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C4C4C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C4C4C"/>
          <w:spacing w:val="0"/>
          <w:sz w:val="21"/>
          <w:szCs w:val="21"/>
          <w:shd w:val="clear" w:fill="FFFFFF"/>
          <w:lang w:val="en-US" w:eastAsia="zh-CN"/>
        </w:rPr>
        <w:t>根据功能需求，进行了空间规划与布局设计，办公区域考虑到开放办公区、会议室、休息区等，教学区域考虑普通教室、专用教室等，从而选择了合适的设备设施，包括灯光、空调、通风系统、网络设备等，考虑到设备的功耗、尺寸、安装位置等因素，设备设施的布置考虑到电力、网络、水管等的布线与管道设计，合理安排布线管道的路径，以及考虑维护和维修的便利性，结构与设备管线分离，设备设施的布置考虑到安全性和便捷性。如，紧急出口需保持畅通，故设备设施的位置不对人员流动造成阻碍，同时考虑到紧急情况下的疏散和救援。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pStyle w:val="2"/>
        <w:rPr>
          <w:rFonts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3.结论</w:t>
      </w:r>
    </w:p>
    <w:p>
      <w:pPr>
        <w:pStyle w:val="2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针对《绿色建筑评价标准》GB50378-2019的第4.2.6条“采取提升建筑适变性的措施，评价总分值为18分”，满足“采取通用开放、灵活可变的使用空间设计，或采取建筑使用功能可变措施，建筑结构与建筑设备管线分离，采用与建筑功能和空间变化相适应的设备设施布置方式或控制方式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分”。该评分项可得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分。</w:t>
      </w:r>
    </w:p>
    <w:sectPr>
      <w:pgSz w:w="11910" w:h="16850"/>
      <w:pgMar w:top="14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U0MzI2ZGJhNWUyMTMxZDE0NjVkMjg1NDQwZGZhZGUifQ=="/>
    <w:docVar w:name="KSO_WPS_MARK_KEY" w:val="984158f6-5a8f-4ae9-8394-d7d9123a0033"/>
  </w:docVars>
  <w:rsids>
    <w:rsidRoot w:val="00E40C34"/>
    <w:rsid w:val="00022519"/>
    <w:rsid w:val="00897ADE"/>
    <w:rsid w:val="00900B4A"/>
    <w:rsid w:val="00E40C34"/>
    <w:rsid w:val="07645ED3"/>
    <w:rsid w:val="15B11AD8"/>
    <w:rsid w:val="311B5688"/>
    <w:rsid w:val="52817DFE"/>
    <w:rsid w:val="57842199"/>
    <w:rsid w:val="5AFC7663"/>
    <w:rsid w:val="61B26270"/>
    <w:rsid w:val="7335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Microsoft JhengHei" w:hAnsi="Microsoft JhengHei" w:eastAsia="Microsoft JhengHei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8"/>
      <w:ind w:left="120"/>
    </w:pPr>
    <w:rPr>
      <w:rFonts w:ascii="宋体" w:hAnsi="宋体" w:eastAsia="宋体"/>
      <w:sz w:val="23"/>
      <w:szCs w:val="23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3A2E-A9D9-4CEE-89E0-DF0EBB613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</Words>
  <Characters>989</Characters>
  <Lines>8</Lines>
  <Paragraphs>2</Paragraphs>
  <TotalTime>10</TotalTime>
  <ScaleCrop>false</ScaleCrop>
  <LinksUpToDate>false</LinksUpToDate>
  <CharactersWithSpaces>1160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2020-01-09T09:42:00Z</dcterms:created>
  <dc:creator>金晶</dc:creator>
  <cp:lastModifiedBy>薛翔</cp:lastModifiedBy>
  <dcterms:modified xsi:type="dcterms:W3CDTF">2024-03-14T00:01:29Z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2020-01-09T00:00:00Z</vt:filetime>
  </property>
  <property fmtid="{D5CDD505-2E9C-101B-9397-08002B2CF9AE}" pid="4" name="KSOProductBuildVer">
    <vt:lpwstr>2052-11.1.0.14252</vt:lpwstr>
  </property>
  <property fmtid="{D5CDD505-2E9C-101B-9397-08002B2CF9AE}" pid="5" name="ICV">
    <vt:lpwstr>040B0A2B107E4FF982B9EFA384BDABA8_12</vt:lpwstr>
  </property>
</Properties>
</file>