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2"/>
        <w:jc w:val="center"/>
        <w:rPr>
          <w:rFonts w:hint="eastAsia" w:ascii="Times New Roman" w:hAnsi="Times New Roman" w:eastAsiaTheme="minorEastAsia"/>
          <w:sz w:val="36"/>
          <w:szCs w:val="36"/>
          <w:lang w:eastAsia="zh-CN"/>
        </w:rPr>
        <w:sectPr>
          <w:type w:val="continuous"/>
          <w:pgSz w:w="11910" w:h="16850"/>
          <w:pgMar w:top="1600" w:right="1680" w:bottom="280" w:left="1680" w:header="720" w:footer="720" w:gutter="0"/>
          <w:cols w:space="720" w:num="1"/>
        </w:sectPr>
      </w:pPr>
      <w:r>
        <w:rPr>
          <w:rFonts w:ascii="Times New Roman" w:hAnsi="Times New Roman"/>
          <w:sz w:val="36"/>
          <w:szCs w:val="36"/>
          <w:lang w:eastAsia="zh-CN"/>
        </w:rPr>
        <w:t>可变换功能空间采用灵活隔断的比例计算书</w:t>
      </w:r>
    </w:p>
    <w:p>
      <w:pPr>
        <w:pStyle w:val="2"/>
        <w:rPr>
          <w:rFonts w:ascii="Times New Roman" w:hAnsi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/>
          <w:sz w:val="32"/>
          <w:szCs w:val="32"/>
          <w:lang w:eastAsia="zh-CN"/>
        </w:rPr>
        <w:t>计算概述</w:t>
      </w:r>
    </w:p>
    <w:p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</w:rPr>
      </w:pPr>
      <w:r>
        <w:rPr>
          <w:rStyle w:val="7"/>
          <w:rFonts w:hint="eastAsia" w:ascii="Times New Roman" w:hAnsi="Times New Roman"/>
          <w:sz w:val="28"/>
          <w:szCs w:val="28"/>
          <w:lang w:eastAsia="zh-CN"/>
        </w:rPr>
        <w:t>1.1.项目概况</w:t>
      </w:r>
    </w:p>
    <w:p>
      <w:pPr>
        <w:tabs>
          <w:tab w:val="left" w:pos="605"/>
        </w:tabs>
        <w:rPr>
          <w:rFonts w:hint="eastAsia"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tabs>
          <w:tab w:val="left" w:pos="290"/>
        </w:tabs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t>南昌新建区老旧灯泡厂改造工程项目选址位于南昌市新建区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麦园经济产业园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枫林西大街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以南，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麦园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路以西，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骏思科技产业园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东侧地块。整个规划总用地面积接近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10281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平方米，基本呈长方形，南北向约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133.8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米，东西向约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76.6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米，地块内部较为整体平坦，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北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侧略高，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南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侧略低。</w:t>
      </w:r>
      <w:bookmarkStart w:id="0" w:name="_GoBack"/>
      <w:bookmarkEnd w:id="0"/>
    </w:p>
    <w:p>
      <w:pPr>
        <w:tabs>
          <w:tab w:val="left" w:pos="605"/>
        </w:tabs>
        <w:spacing w:line="360" w:lineRule="auto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1.2.计算目的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判断本项目是否满足《绿色建筑评价标准》GB/T50378-2019第4.2.6条“采取提升建筑适变性的措施”。</w:t>
      </w: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1.3.计算依据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《绿色建筑评价技术细则》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《绿色建筑评价技术细则补充说明》（规划设计部分）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业主提供的建筑设计文件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2.计算分析</w:t>
      </w:r>
    </w:p>
    <w:p>
      <w:pPr>
        <w:pStyle w:val="2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2.1.可变换功能的室内空间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可变换功能的室内空间为总建筑面积减去不可改变功能的室内空间（如走廊、楼梯、电梯井、卫生间、设备用房、公共管井等），本项目此类区域面积如下表。</w:t>
      </w:r>
    </w:p>
    <w:tbl>
      <w:tblPr>
        <w:tblStyle w:val="5"/>
        <w:tblW w:w="6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14"/>
        <w:gridCol w:w="117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1层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建筑面积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㎡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1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1695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1731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不可变换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111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504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1114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1433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1227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总计(㎡)</w:t>
            </w:r>
          </w:p>
        </w:tc>
        <w:tc>
          <w:tcPr>
            <w:tcW w:w="3965" w:type="dxa"/>
            <w:gridSpan w:val="3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3482</w:t>
            </w:r>
          </w:p>
        </w:tc>
      </w:tr>
    </w:tbl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2.2.灵活隔断的室内空间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本项目布置了较多的大开间敞开式办公，部分办公室和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活动室</w:t>
      </w:r>
      <w:r>
        <w:rPr>
          <w:rFonts w:ascii="Times New Roman" w:hAnsi="Times New Roman" w:cs="宋体"/>
          <w:sz w:val="21"/>
          <w:szCs w:val="21"/>
          <w:lang w:eastAsia="zh-CN"/>
        </w:rPr>
        <w:t>必须隔断时，采用玻璃隔断。采用灵活隔断的统计面积如下表。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09"/>
        <w:gridCol w:w="85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94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楼号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采用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灵活隔断的面积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738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731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94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合计(㎡)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1884</w:t>
            </w:r>
          </w:p>
        </w:tc>
      </w:tr>
    </w:tbl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2.3.灵活隔断的面积比例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灵活隔断的面积比例=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1884</w:t>
      </w:r>
      <w:r>
        <w:rPr>
          <w:rFonts w:ascii="Times New Roman" w:hAnsi="Times New Roman" w:cs="宋体"/>
          <w:sz w:val="21"/>
          <w:szCs w:val="21"/>
          <w:lang w:eastAsia="zh-CN"/>
        </w:rPr>
        <w:t>/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3482</w:t>
      </w:r>
      <w:r>
        <w:rPr>
          <w:rFonts w:ascii="Times New Roman" w:hAnsi="Times New Roman" w:cs="宋体"/>
          <w:sz w:val="21"/>
          <w:szCs w:val="21"/>
          <w:lang w:eastAsia="zh-CN"/>
        </w:rPr>
        <w:t>×100%=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54.1</w:t>
      </w:r>
      <w:r>
        <w:rPr>
          <w:rFonts w:ascii="Times New Roman" w:hAnsi="Times New Roman" w:cs="宋体"/>
          <w:sz w:val="21"/>
          <w:szCs w:val="21"/>
          <w:lang w:eastAsia="zh-CN"/>
        </w:rPr>
        <w:t>%；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非灵活隔断的面积比例=1-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54.1</w:t>
      </w:r>
      <w:r>
        <w:rPr>
          <w:rFonts w:ascii="Times New Roman" w:hAnsi="Times New Roman" w:cs="宋体"/>
          <w:sz w:val="21"/>
          <w:szCs w:val="21"/>
          <w:lang w:eastAsia="zh-CN"/>
        </w:rPr>
        <w:t>%=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45.9</w:t>
      </w:r>
      <w:r>
        <w:rPr>
          <w:rFonts w:ascii="Times New Roman" w:hAnsi="Times New Roman" w:cs="宋体"/>
          <w:sz w:val="21"/>
          <w:szCs w:val="21"/>
          <w:lang w:eastAsia="zh-CN"/>
        </w:rPr>
        <w:t>%。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3.结论</w:t>
      </w:r>
    </w:p>
    <w:p>
      <w:pPr>
        <w:pStyle w:val="2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hint="eastAsia"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针对《绿色建筑评价标准》GB50378-2019的第4.2.6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条</w:t>
      </w:r>
      <w:r>
        <w:rPr>
          <w:rFonts w:ascii="Times New Roman" w:hAnsi="Times New Roman" w:cs="宋体"/>
          <w:sz w:val="21"/>
          <w:szCs w:val="21"/>
          <w:lang w:eastAsia="zh-CN"/>
        </w:rPr>
        <w:t>“采取提升建筑适变性的措施，评价总分值为18分”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sz w:val="21"/>
          <w:szCs w:val="21"/>
          <w:lang w:eastAsia="zh-CN"/>
        </w:rPr>
        <w:t>满足第一点“采取通用开放、灵活可变的使用空间设计，或采取建筑使用功能可变措施，得7分”。该评分项可得7分。</w:t>
      </w:r>
    </w:p>
    <w:sectPr>
      <w:pgSz w:w="11910" w:h="16850"/>
      <w:pgMar w:top="14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YjUxZDg5ODZmN2U2ODFmNDgwNDZkMTUzNzMxZjkifQ=="/>
  </w:docVars>
  <w:rsids>
    <w:rsidRoot w:val="00E40C34"/>
    <w:rsid w:val="00022519"/>
    <w:rsid w:val="00897ADE"/>
    <w:rsid w:val="00900B4A"/>
    <w:rsid w:val="00E40C34"/>
    <w:rsid w:val="5CAA6269"/>
    <w:rsid w:val="72A2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outlineLvl w:val="0"/>
    </w:pPr>
    <w:rPr>
      <w:rFonts w:ascii="Microsoft JhengHei" w:hAnsi="Microsoft JhengHei" w:eastAsia="Microsoft JhengHe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"/>
      <w:ind w:left="120"/>
    </w:pPr>
    <w:rPr>
      <w:rFonts w:ascii="宋体" w:hAnsi="宋体" w:eastAsia="宋体"/>
      <w:sz w:val="23"/>
      <w:szCs w:val="23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3A2E-A9D9-4CEE-89E0-DF0EBB613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989</Characters>
  <Lines>8</Lines>
  <Paragraphs>2</Paragraphs>
  <TotalTime>45</TotalTime>
  <ScaleCrop>false</ScaleCrop>
  <LinksUpToDate>false</LinksUpToDate>
  <CharactersWithSpaces>1160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2020-01-09T09:42:00Z</dcterms:created>
  <dc:creator>金晶</dc:creator>
  <cp:lastModifiedBy>月冷笼纱</cp:lastModifiedBy>
  <dcterms:modified xsi:type="dcterms:W3CDTF">2024-03-14T10:12:51Z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25A8285028F248729FA6F1C4E6F798DC_13</vt:lpwstr>
  </property>
</Properties>
</file>