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rPr>
          <w:rFonts w:ascii="黑体" w:hAnsi="宋体" w:eastAsia="黑体"/>
          <w:b/>
          <w:bCs/>
          <w:sz w:val="72"/>
          <w:szCs w:val="72"/>
        </w:rPr>
      </w:pPr>
    </w:p>
    <w:p>
      <w:pPr>
        <w:spacing w:before="312" w:beforeLines="100" w:line="276" w:lineRule="auto"/>
        <w:rPr>
          <w:rFonts w:ascii="黑体" w:hAnsi="宋体" w:eastAsia="黑体"/>
          <w:b/>
          <w:bCs/>
          <w:spacing w:val="60"/>
          <w:sz w:val="72"/>
          <w:szCs w:val="72"/>
        </w:rPr>
      </w:pPr>
      <w:r>
        <w:rPr>
          <w:rFonts w:hint="eastAsia" w:ascii="黑体" w:hAnsi="宋体" w:eastAsia="黑体"/>
          <w:b/>
          <w:bCs/>
          <w:spacing w:val="60"/>
          <w:sz w:val="72"/>
          <w:szCs w:val="72"/>
        </w:rPr>
        <w:t>动态采光报告书</w:t>
      </w:r>
    </w:p>
    <w:p>
      <w:pPr>
        <w:spacing w:before="312" w:beforeLines="100" w:line="276" w:lineRule="auto"/>
        <w:rPr>
          <w:rFonts w:ascii="黑体" w:hAnsi="宋体" w:eastAsia="黑体"/>
          <w:b/>
          <w:bCs/>
          <w:spacing w:val="60"/>
          <w:sz w:val="52"/>
          <w:szCs w:val="72"/>
        </w:rPr>
      </w:pPr>
      <w:r>
        <w:rPr>
          <w:rFonts w:hint="eastAsia" w:ascii="黑体" w:hAnsi="宋体" w:eastAsia="黑体"/>
          <w:b/>
          <w:bCs/>
          <w:spacing w:val="60"/>
          <w:sz w:val="52"/>
          <w:szCs w:val="72"/>
        </w:rPr>
        <w:t>公共建筑</w:t>
      </w: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2024年3月4日</w:t>
            </w:r>
            <w:bookmarkEnd w:id="6"/>
          </w:p>
        </w:tc>
      </w:tr>
    </w:tbl>
    <w:p>
      <w:pPr>
        <w:rPr>
          <w:rFonts w:ascii="黑体" w:hAnsi="黑体" w:eastAsia="黑体"/>
          <w:b/>
          <w:bCs/>
          <w:sz w:val="28"/>
          <w:szCs w:val="28"/>
        </w:rPr>
      </w:pPr>
    </w:p>
    <w:p>
      <w:pPr>
        <w:pStyle w:val="3"/>
        <w:jc w:val="center"/>
      </w:pPr>
      <w:bookmarkStart w:id="7" w:name="二维码"/>
      <w:bookmarkEnd w:id="7"/>
      <w:r>
        <w:drawing>
          <wp:inline distT="0" distB="0" distL="0" distR="0">
            <wp:extent cx="2171700" cy="217170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pPr>
    </w:p>
    <w:p>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8" w:name="软件版本"/>
            <w:r>
              <w:rPr>
                <w:szCs w:val="18"/>
              </w:rPr>
              <w:t>20210808（SP1）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9" w:name="正版授权码"/>
            <w:r>
              <w:t>T15208902308</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rPr>
          <w:sz w:val="28"/>
          <w:szCs w:val="28"/>
        </w:rPr>
      </w:pPr>
      <w:bookmarkStart w:id="10" w:name="目录"/>
      <w:bookmarkStart w:id="100" w:name="_GoBack"/>
      <w:r>
        <w:rPr>
          <w:rFonts w:hint="eastAsia"/>
          <w:sz w:val="28"/>
          <w:szCs w:val="28"/>
        </w:rPr>
        <w:t>目  录</w:t>
      </w:r>
    </w:p>
    <w:p>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_Toc10498 </w:instrText>
      </w:r>
      <w:r>
        <w:rPr>
          <w:szCs w:val="28"/>
        </w:rPr>
        <w:fldChar w:fldCharType="separate"/>
      </w:r>
      <w:r>
        <w:rPr>
          <w:rFonts w:hint="eastAsia"/>
        </w:rPr>
        <w:t>1. 建筑概况</w:t>
      </w:r>
      <w:r>
        <w:tab/>
      </w:r>
      <w:r>
        <w:fldChar w:fldCharType="begin"/>
      </w:r>
      <w:r>
        <w:instrText xml:space="preserve"> PAGEREF _Toc10498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_Toc4482 </w:instrText>
      </w:r>
      <w:r>
        <w:rPr>
          <w:szCs w:val="28"/>
        </w:rPr>
        <w:fldChar w:fldCharType="separate"/>
      </w:r>
      <w:r>
        <w:rPr>
          <w:rFonts w:hint="eastAsia"/>
        </w:rPr>
        <w:t>2. 计算</w:t>
      </w:r>
      <w:r>
        <w:t>目的</w:t>
      </w:r>
      <w:r>
        <w:tab/>
      </w:r>
      <w:r>
        <w:fldChar w:fldCharType="begin"/>
      </w:r>
      <w:r>
        <w:instrText xml:space="preserve"> PAGEREF _Toc4482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_Toc4344 </w:instrText>
      </w:r>
      <w:r>
        <w:rPr>
          <w:szCs w:val="28"/>
        </w:rPr>
        <w:fldChar w:fldCharType="separate"/>
      </w:r>
      <w:r>
        <w:rPr>
          <w:rFonts w:hint="eastAsia"/>
        </w:rPr>
        <w:t>3. 分析依据</w:t>
      </w:r>
      <w:r>
        <w:tab/>
      </w:r>
      <w:r>
        <w:fldChar w:fldCharType="begin"/>
      </w:r>
      <w:r>
        <w:instrText xml:space="preserve"> PAGEREF _Toc4344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_Toc24997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_Toc24997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_Toc21666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_Toc21666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_Toc5648 </w:instrText>
      </w:r>
      <w:r>
        <w:rPr>
          <w:szCs w:val="28"/>
        </w:rPr>
        <w:fldChar w:fldCharType="separate"/>
      </w:r>
      <w:r>
        <w:rPr>
          <w:rFonts w:hint="eastAsia"/>
        </w:rPr>
        <w:t>4. 采光分析</w:t>
      </w:r>
      <w:r>
        <w:t>概述</w:t>
      </w:r>
      <w:r>
        <w:tab/>
      </w:r>
      <w:r>
        <w:fldChar w:fldCharType="begin"/>
      </w:r>
      <w:r>
        <w:instrText xml:space="preserve"> PAGEREF _Toc5648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_Toc26183 </w:instrText>
      </w:r>
      <w:r>
        <w:rPr>
          <w:szCs w:val="28"/>
        </w:rPr>
        <w:fldChar w:fldCharType="separate"/>
      </w:r>
      <w:r>
        <w:rPr>
          <w:rFonts w:hint="eastAsia" w:ascii="微软雅黑" w:hAnsi="微软雅黑" w:eastAsia="微软雅黑"/>
          <w:lang w:val="en-GB"/>
        </w:rPr>
        <w:t xml:space="preserve">4.1 </w:t>
      </w:r>
      <w:r>
        <w:rPr>
          <w:rFonts w:hint="eastAsia"/>
        </w:rPr>
        <w:t>基本原理</w:t>
      </w:r>
      <w:r>
        <w:tab/>
      </w:r>
      <w:r>
        <w:fldChar w:fldCharType="begin"/>
      </w:r>
      <w:r>
        <w:instrText xml:space="preserve"> PAGEREF _Toc26183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_Toc19728 </w:instrText>
      </w:r>
      <w:r>
        <w:rPr>
          <w:szCs w:val="28"/>
        </w:rPr>
        <w:fldChar w:fldCharType="separate"/>
      </w:r>
      <w:r>
        <w:rPr>
          <w:rFonts w:hint="eastAsia" w:ascii="微软雅黑" w:hAnsi="微软雅黑" w:eastAsia="微软雅黑"/>
          <w:lang w:val="en-GB"/>
        </w:rPr>
        <w:t xml:space="preserve">4.2 </w:t>
      </w:r>
      <w:r>
        <w:rPr>
          <w:rFonts w:hint="eastAsia"/>
        </w:rPr>
        <w:t>计算方法</w:t>
      </w:r>
      <w:r>
        <w:tab/>
      </w:r>
      <w:r>
        <w:fldChar w:fldCharType="begin"/>
      </w:r>
      <w:r>
        <w:instrText xml:space="preserve"> PAGEREF _Toc19728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_Toc5017 </w:instrText>
      </w:r>
      <w:r>
        <w:rPr>
          <w:szCs w:val="28"/>
        </w:rPr>
        <w:fldChar w:fldCharType="separate"/>
      </w:r>
      <w:r>
        <w:rPr>
          <w:rFonts w:hint="eastAsia" w:ascii="微软雅黑" w:hAnsi="微软雅黑" w:eastAsia="微软雅黑"/>
          <w:lang w:val="en-GB"/>
        </w:rPr>
        <w:t xml:space="preserve">4.3 </w:t>
      </w:r>
      <w:r>
        <w:t>软件</w:t>
      </w:r>
      <w:r>
        <w:rPr>
          <w:rFonts w:hint="eastAsia"/>
        </w:rPr>
        <w:t>选用</w:t>
      </w:r>
      <w:r>
        <w:tab/>
      </w:r>
      <w:r>
        <w:fldChar w:fldCharType="begin"/>
      </w:r>
      <w:r>
        <w:instrText xml:space="preserve"> PAGEREF _Toc5017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_Toc3010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_Toc3010 \h </w:instrText>
      </w:r>
      <w:r>
        <w:fldChar w:fldCharType="separate"/>
      </w:r>
      <w:r>
        <w:t>7</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_Toc19116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_Toc19116 \h </w:instrText>
      </w:r>
      <w:r>
        <w:fldChar w:fldCharType="separate"/>
      </w:r>
      <w:r>
        <w:t>7</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_Toc14249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_Toc14249 \h </w:instrText>
      </w:r>
      <w:r>
        <w:fldChar w:fldCharType="separate"/>
      </w:r>
      <w:r>
        <w:t>7</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_Toc21427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_Toc21427 \h </w:instrText>
      </w:r>
      <w:r>
        <w:fldChar w:fldCharType="separate"/>
      </w:r>
      <w:r>
        <w:t>8</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_Toc30211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_Toc30211 \h </w:instrText>
      </w:r>
      <w:r>
        <w:fldChar w:fldCharType="separate"/>
      </w:r>
      <w:r>
        <w:t>8</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_Toc3452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_Toc3452 \h </w:instrText>
      </w:r>
      <w:r>
        <w:fldChar w:fldCharType="separate"/>
      </w:r>
      <w:r>
        <w:t>9</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_Toc26306 </w:instrText>
      </w:r>
      <w:r>
        <w:rPr>
          <w:szCs w:val="28"/>
        </w:rPr>
        <w:fldChar w:fldCharType="separate"/>
      </w:r>
      <w:r>
        <w:rPr>
          <w:rFonts w:hint="eastAsia"/>
        </w:rPr>
        <w:t>6. 动态采光达标统计</w:t>
      </w:r>
      <w:r>
        <w:tab/>
      </w:r>
      <w:r>
        <w:fldChar w:fldCharType="begin"/>
      </w:r>
      <w:r>
        <w:instrText xml:space="preserve"> PAGEREF _Toc26306 \h </w:instrText>
      </w:r>
      <w:r>
        <w:fldChar w:fldCharType="separate"/>
      </w:r>
      <w:r>
        <w:t>9</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_Toc27402 </w:instrText>
      </w:r>
      <w:r>
        <w:rPr>
          <w:szCs w:val="28"/>
        </w:rPr>
        <w:fldChar w:fldCharType="separate"/>
      </w:r>
      <w:r>
        <w:rPr>
          <w:rFonts w:hint="eastAsia"/>
        </w:rPr>
        <w:t>7. 动态采光统计图</w:t>
      </w:r>
      <w:r>
        <w:tab/>
      </w:r>
      <w:r>
        <w:fldChar w:fldCharType="begin"/>
      </w:r>
      <w:r>
        <w:instrText xml:space="preserve"> PAGEREF _Toc27402 \h </w:instrText>
      </w:r>
      <w:r>
        <w:fldChar w:fldCharType="separate"/>
      </w:r>
      <w:r>
        <w:t>11</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_Toc8278 </w:instrText>
      </w:r>
      <w:r>
        <w:rPr>
          <w:szCs w:val="28"/>
        </w:rPr>
        <w:fldChar w:fldCharType="separate"/>
      </w:r>
      <w:r>
        <w:rPr>
          <w:rFonts w:hint="eastAsia"/>
        </w:rPr>
        <w:t>8. 评价结论</w:t>
      </w:r>
      <w:r>
        <w:tab/>
      </w:r>
      <w:r>
        <w:fldChar w:fldCharType="begin"/>
      </w:r>
      <w:r>
        <w:instrText xml:space="preserve"> PAGEREF _Toc8278 \h </w:instrText>
      </w:r>
      <w:r>
        <w:fldChar w:fldCharType="separate"/>
      </w:r>
      <w:r>
        <w:t>12</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0"/>
      <w:bookmarkEnd w:id="100"/>
    </w:p>
    <w:p>
      <w:pPr>
        <w:pStyle w:val="2"/>
        <w:ind w:left="432" w:hanging="432"/>
      </w:pPr>
      <w:r>
        <w:rPr>
          <w:szCs w:val="21"/>
        </w:rPr>
        <w:tab/>
      </w:r>
      <w:bookmarkStart w:id="11" w:name="_Toc512608176"/>
      <w:bookmarkStart w:id="12" w:name="_Toc10498"/>
      <w:r>
        <w:rPr>
          <w:rFonts w:hint="eastAsia"/>
        </w:rPr>
        <w:t>建筑概况</w:t>
      </w:r>
      <w:bookmarkEnd w:id="11"/>
      <w:bookmarkEnd w:id="12"/>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pStyle w:val="3"/>
              <w:rPr>
                <w:lang w:val="en-US"/>
              </w:rPr>
            </w:pPr>
            <w:bookmarkStart w:id="13" w:name="项目地点"/>
            <w:r>
              <w:t>成都</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4" w:name="光气候分区"/>
            <w:r>
              <w:t>V</w:t>
            </w:r>
            <w:bookmarkEnd w:id="14"/>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5" w:name="光气候系数K"/>
            <w:r>
              <w:t>1.20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6" w:name="地上建筑面积"/>
            <w:r>
              <w:t>4810.67</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8" w:name="地上建筑层数"/>
            <w:r>
              <w:t>2</w:t>
            </w:r>
            <w:bookmarkEnd w:id="18"/>
            <w:r>
              <w:rPr>
                <w:rFonts w:hint="eastAsia"/>
                <w:lang w:val="en-US"/>
              </w:rPr>
              <w:t xml:space="preserve">          地下 </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20" w:name="地上建筑高度"/>
            <w:r>
              <w:t>8.50</w:t>
            </w:r>
            <w:bookmarkEnd w:id="20"/>
            <w:r>
              <w:rPr>
                <w:rFonts w:hint="eastAsia"/>
                <w:lang w:val="en-US"/>
              </w:rPr>
              <w:t xml:space="preserve"> m     地下  </w:t>
            </w:r>
            <w:bookmarkStart w:id="21" w:name="地下建筑高度"/>
            <w:r>
              <w:t>0.00</w:t>
            </w:r>
            <w:bookmarkEnd w:id="21"/>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22" w:name="备注"/>
            <w:bookmarkEnd w:id="22"/>
          </w:p>
        </w:tc>
      </w:tr>
    </w:tbl>
    <w:p>
      <w:pPr>
        <w:rPr>
          <w:lang w:val="en-US"/>
        </w:rPr>
      </w:pPr>
    </w:p>
    <w:p>
      <w:pPr>
        <w:pStyle w:val="3"/>
        <w:jc w:val="center"/>
        <w:rPr>
          <w:lang w:val="en-US"/>
        </w:rPr>
      </w:pPr>
    </w:p>
    <w:p>
      <w:pPr>
        <w:pStyle w:val="2"/>
        <w:ind w:left="432" w:hanging="432"/>
      </w:pPr>
      <w:bookmarkStart w:id="23" w:name="_Toc512608178"/>
      <w:bookmarkStart w:id="24" w:name="_Toc4482"/>
      <w:r>
        <w:rPr>
          <w:rFonts w:hint="eastAsia"/>
        </w:rPr>
        <w:t>计算</w:t>
      </w:r>
      <w:r>
        <w:t>目的</w:t>
      </w:r>
      <w:bookmarkEnd w:id="23"/>
      <w:bookmarkEnd w:id="24"/>
    </w:p>
    <w:p>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25" w:name="_Toc512608177"/>
      <w:bookmarkStart w:id="26" w:name="_Toc4344"/>
      <w:r>
        <w:rPr>
          <w:rFonts w:hint="eastAsia"/>
        </w:rPr>
        <w:t>分析依据</w:t>
      </w:r>
      <w:bookmarkEnd w:id="25"/>
      <w:bookmarkEnd w:id="26"/>
    </w:p>
    <w:p>
      <w:pPr>
        <w:pStyle w:val="4"/>
      </w:pPr>
      <w:bookmarkStart w:id="27" w:name="_Toc24997"/>
      <w:r>
        <w:rPr>
          <w:rFonts w:hint="eastAsia"/>
        </w:rPr>
        <w:t>标准依据</w:t>
      </w:r>
      <w:bookmarkEnd w:id="27"/>
    </w:p>
    <w:p>
      <w:pPr>
        <w:pStyle w:val="3"/>
        <w:numPr>
          <w:ilvl w:val="0"/>
          <w:numId w:val="2"/>
        </w:numPr>
        <w:rPr>
          <w:lang w:val="en-US"/>
        </w:rPr>
      </w:pPr>
      <w:bookmarkStart w:id="28"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pStyle w:val="4"/>
      </w:pPr>
      <w:bookmarkStart w:id="29" w:name="_Toc21666"/>
      <w:r>
        <w:rPr>
          <w:rFonts w:hint="eastAsia"/>
        </w:rPr>
        <w:t>标准要求</w:t>
      </w:r>
      <w:bookmarkEnd w:id="28"/>
      <w:bookmarkEnd w:id="29"/>
    </w:p>
    <w:p>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r>
        <w:rPr>
          <w:rFonts w:hint="eastAsia"/>
          <w:b/>
          <w:lang w:val="en-US"/>
        </w:rPr>
        <w:t>《绿色建筑评价标准》GB/T 50378-2019</w:t>
      </w:r>
      <w:r>
        <w:rPr>
          <w:b/>
          <w:lang w:val="en-US"/>
        </w:rPr>
        <w:t xml:space="preserve">    </w:t>
      </w:r>
    </w:p>
    <w:p>
      <w:pPr>
        <w:pStyle w:val="3"/>
        <w:ind w:left="36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pPr>
        <w:pStyle w:val="3"/>
        <w:ind w:left="360" w:leftChars="200"/>
      </w:pPr>
      <w:r>
        <w:t>公共建筑：室内主要功能空间至少60%面积比例区域的采光照度值不低于采光要求的小时数平均不少于4h/d，得3分。</w:t>
      </w:r>
    </w:p>
    <w:p>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0" w:name="建筑类型"/>
      <w:r>
        <w:rPr>
          <w:rFonts w:hint="eastAsia"/>
        </w:rPr>
        <w:t>体育建筑、办公建筑、幼儿园建筑、展览建筑、居住建筑、医院建筑、旅馆建筑、图书馆建筑</w:t>
      </w:r>
      <w:bookmarkEnd w:id="30"/>
      <w:r>
        <w:rPr>
          <w:rFonts w:hint="eastAsia"/>
        </w:rPr>
        <w:t>，</w:t>
      </w:r>
      <w:r>
        <w:t>根据</w:t>
      </w:r>
      <w:r>
        <w:rPr>
          <w:rFonts w:hint="eastAsia"/>
        </w:rPr>
        <w:t>标准要求的采光照度值根据对应</w:t>
      </w:r>
      <w:r>
        <w:t>房间类型</w:t>
      </w:r>
      <w:r>
        <w:rPr>
          <w:rFonts w:hint="eastAsia"/>
        </w:rPr>
        <w:t>确定。</w:t>
      </w:r>
    </w:p>
    <w:p>
      <w:pPr>
        <w:pStyle w:val="14"/>
        <w:spacing w:line="240" w:lineRule="auto"/>
        <w:ind w:left="482" w:firstLine="0" w:firstLineChars="0"/>
        <w:rPr>
          <w:rFonts w:ascii="微软雅黑" w:hAnsi="微软雅黑"/>
          <w:b/>
          <w:sz w:val="21"/>
          <w:szCs w:val="21"/>
        </w:rPr>
      </w:pPr>
      <w:r>
        <w:rPr>
          <w:rFonts w:ascii="微软雅黑" w:hAnsi="微软雅黑"/>
          <w:b/>
          <w:sz w:val="21"/>
          <w:szCs w:val="21"/>
        </w:rPr>
        <w:t>4.0.</w:t>
      </w:r>
      <w:r>
        <w:rPr>
          <w:rFonts w:hint="eastAsia" w:ascii="微软雅黑" w:hAnsi="微软雅黑"/>
          <w:b/>
          <w:sz w:val="21"/>
          <w:szCs w:val="21"/>
        </w:rPr>
        <w:t>6</w:t>
      </w:r>
      <w:r>
        <w:rPr>
          <w:rFonts w:ascii="微软雅黑" w:hAnsi="微软雅黑"/>
          <w:b/>
          <w:sz w:val="21"/>
          <w:szCs w:val="21"/>
        </w:rPr>
        <w:t xml:space="preserve">  </w:t>
      </w:r>
      <w:r>
        <w:rPr>
          <w:rFonts w:hint="eastAsia" w:ascii="微软雅黑" w:hAnsi="微软雅黑"/>
          <w:b/>
          <w:sz w:val="21"/>
          <w:szCs w:val="21"/>
        </w:rPr>
        <w:t>医疗建筑的一般病房的采光不应低于采光等级Ⅳ级的采光标准值，侧面采光的采光系数不应低于2.0%，室内天然光照度不应低于300lx。</w:t>
      </w:r>
    </w:p>
    <w:p>
      <w:pPr>
        <w:pStyle w:val="14"/>
        <w:spacing w:line="240" w:lineRule="auto"/>
        <w:ind w:left="482" w:firstLine="0" w:firstLineChars="0"/>
        <w:rPr>
          <w:rFonts w:ascii="微软雅黑" w:hAnsi="微软雅黑"/>
          <w:sz w:val="21"/>
          <w:szCs w:val="21"/>
        </w:rPr>
      </w:pPr>
      <w:r>
        <w:rPr>
          <w:rFonts w:ascii="微软雅黑" w:hAnsi="微软雅黑"/>
          <w:sz w:val="21"/>
          <w:szCs w:val="21"/>
        </w:rPr>
        <w:t>4.0.</w:t>
      </w:r>
      <w:r>
        <w:rPr>
          <w:rFonts w:hint="eastAsia" w:ascii="微软雅黑" w:hAnsi="微软雅黑"/>
          <w:sz w:val="21"/>
          <w:szCs w:val="21"/>
        </w:rPr>
        <w:t>7</w:t>
      </w:r>
      <w:r>
        <w:rPr>
          <w:rFonts w:ascii="微软雅黑" w:hAnsi="微软雅黑"/>
          <w:sz w:val="21"/>
          <w:szCs w:val="21"/>
        </w:rPr>
        <w:t xml:space="preserve">  </w:t>
      </w:r>
      <w:r>
        <w:rPr>
          <w:rFonts w:hint="eastAsia" w:ascii="微软雅黑" w:hAnsi="微软雅黑"/>
          <w:sz w:val="21"/>
          <w:szCs w:val="21"/>
        </w:rPr>
        <w:t>医疗建筑的采光标准值不应低于表</w:t>
      </w:r>
      <w:r>
        <w:rPr>
          <w:rFonts w:ascii="微软雅黑" w:hAnsi="微软雅黑"/>
          <w:sz w:val="21"/>
          <w:szCs w:val="21"/>
        </w:rPr>
        <w:t>4.0.</w:t>
      </w:r>
      <w:r>
        <w:rPr>
          <w:rFonts w:hint="eastAsia" w:ascii="微软雅黑" w:hAnsi="微软雅黑"/>
          <w:sz w:val="21"/>
          <w:szCs w:val="21"/>
        </w:rPr>
        <w:t>7的规定。</w:t>
      </w:r>
    </w:p>
    <w:p>
      <w:pPr>
        <w:rPr>
          <w:szCs w:val="21"/>
        </w:rPr>
      </w:pPr>
      <w:r>
        <w:rPr>
          <w:rFonts w:hint="eastAsia"/>
          <w:szCs w:val="21"/>
        </w:rPr>
        <w:t>表</w:t>
      </w:r>
      <w:r>
        <w:rPr>
          <w:szCs w:val="21"/>
        </w:rPr>
        <w:t>4.0.</w:t>
      </w:r>
      <w:r>
        <w:rPr>
          <w:rFonts w:hint="eastAsia"/>
          <w:szCs w:val="21"/>
        </w:rPr>
        <w:t>7</w:t>
      </w:r>
      <w:r>
        <w:rPr>
          <w:szCs w:val="21"/>
        </w:rPr>
        <w:t xml:space="preserve">  </w:t>
      </w:r>
      <w:r>
        <w:rPr>
          <w:rFonts w:hint="eastAsia"/>
          <w:szCs w:val="21"/>
        </w:rPr>
        <w:t>医疗建筑的采光标准值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410"/>
        <w:gridCol w:w="1134"/>
        <w:gridCol w:w="1521"/>
        <w:gridCol w:w="1172"/>
        <w:gridCol w:w="14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vAlign w:val="center"/>
          </w:tcPr>
          <w:p>
            <w:pPr>
              <w:widowControl w:val="0"/>
              <w:rPr>
                <w:szCs w:val="21"/>
              </w:rPr>
            </w:pPr>
            <w:r>
              <w:rPr>
                <w:szCs w:val="21"/>
              </w:rPr>
              <w:t>采光等级</w:t>
            </w:r>
          </w:p>
        </w:tc>
        <w:tc>
          <w:tcPr>
            <w:tcW w:w="2410" w:type="dxa"/>
            <w:vMerge w:val="restart"/>
            <w:vAlign w:val="center"/>
          </w:tcPr>
          <w:p>
            <w:pPr>
              <w:widowControl w:val="0"/>
              <w:rPr>
                <w:szCs w:val="21"/>
              </w:rPr>
            </w:pPr>
            <w:r>
              <w:rPr>
                <w:szCs w:val="21"/>
              </w:rPr>
              <w:t>场所名称</w:t>
            </w:r>
          </w:p>
        </w:tc>
        <w:tc>
          <w:tcPr>
            <w:tcW w:w="2655" w:type="dxa"/>
            <w:gridSpan w:val="2"/>
            <w:vAlign w:val="center"/>
          </w:tcPr>
          <w:p>
            <w:pPr>
              <w:widowControl w:val="0"/>
              <w:rPr>
                <w:szCs w:val="21"/>
              </w:rPr>
            </w:pPr>
            <w:r>
              <w:rPr>
                <w:szCs w:val="21"/>
              </w:rPr>
              <w:t>侧面采光</w:t>
            </w:r>
          </w:p>
        </w:tc>
        <w:tc>
          <w:tcPr>
            <w:tcW w:w="2655" w:type="dxa"/>
            <w:gridSpan w:val="2"/>
          </w:tcPr>
          <w:p>
            <w:pPr>
              <w:widowControl w:val="0"/>
              <w:rPr>
                <w:szCs w:val="21"/>
              </w:rPr>
            </w:pPr>
            <w:r>
              <w:rPr>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vAlign w:val="center"/>
          </w:tcPr>
          <w:p>
            <w:pPr>
              <w:widowControl w:val="0"/>
              <w:rPr>
                <w:szCs w:val="21"/>
              </w:rPr>
            </w:pPr>
          </w:p>
        </w:tc>
        <w:tc>
          <w:tcPr>
            <w:tcW w:w="2410" w:type="dxa"/>
            <w:vMerge w:val="continue"/>
            <w:vAlign w:val="center"/>
          </w:tcPr>
          <w:p>
            <w:pPr>
              <w:widowControl w:val="0"/>
              <w:rPr>
                <w:szCs w:val="21"/>
              </w:rPr>
            </w:pPr>
          </w:p>
        </w:tc>
        <w:tc>
          <w:tcPr>
            <w:tcW w:w="1134" w:type="dxa"/>
            <w:vAlign w:val="center"/>
          </w:tcPr>
          <w:p>
            <w:pPr>
              <w:widowControl w:val="0"/>
              <w:rPr>
                <w:szCs w:val="21"/>
              </w:rPr>
            </w:pPr>
            <w:r>
              <w:rPr>
                <w:szCs w:val="21"/>
              </w:rPr>
              <w:t>采光系数标准值（%）</w:t>
            </w:r>
          </w:p>
        </w:tc>
        <w:tc>
          <w:tcPr>
            <w:tcW w:w="1521" w:type="dxa"/>
            <w:vAlign w:val="center"/>
          </w:tcPr>
          <w:p>
            <w:pPr>
              <w:widowControl w:val="0"/>
              <w:rPr>
                <w:szCs w:val="21"/>
              </w:rPr>
            </w:pPr>
            <w:r>
              <w:rPr>
                <w:szCs w:val="21"/>
              </w:rPr>
              <w:t>室内天然光照度标准值（lx）</w:t>
            </w:r>
          </w:p>
        </w:tc>
        <w:tc>
          <w:tcPr>
            <w:tcW w:w="1172" w:type="dxa"/>
            <w:vAlign w:val="center"/>
          </w:tcPr>
          <w:p>
            <w:pPr>
              <w:widowControl w:val="0"/>
              <w:rPr>
                <w:szCs w:val="21"/>
              </w:rPr>
            </w:pPr>
            <w:r>
              <w:rPr>
                <w:szCs w:val="21"/>
              </w:rPr>
              <w:t>采光系数标准值（%）</w:t>
            </w:r>
          </w:p>
        </w:tc>
        <w:tc>
          <w:tcPr>
            <w:tcW w:w="1483" w:type="dxa"/>
            <w:vAlign w:val="center"/>
          </w:tcPr>
          <w:p>
            <w:pPr>
              <w:widowControl w:val="0"/>
              <w:rPr>
                <w:szCs w:val="21"/>
              </w:rPr>
            </w:pPr>
            <w:r>
              <w:rPr>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694" w:type="dxa"/>
            <w:vAlign w:val="center"/>
          </w:tcPr>
          <w:p>
            <w:pPr>
              <w:widowControl w:val="0"/>
              <w:rPr>
                <w:kern w:val="2"/>
                <w:szCs w:val="21"/>
              </w:rPr>
            </w:pPr>
            <w:r>
              <w:rPr>
                <w:rFonts w:hint="eastAsia" w:cs="宋体"/>
                <w:szCs w:val="21"/>
              </w:rPr>
              <w:t>Ⅲ</w:t>
            </w:r>
          </w:p>
        </w:tc>
        <w:tc>
          <w:tcPr>
            <w:tcW w:w="2410" w:type="dxa"/>
            <w:vAlign w:val="center"/>
          </w:tcPr>
          <w:p>
            <w:pPr>
              <w:widowControl w:val="0"/>
              <w:rPr>
                <w:kern w:val="2"/>
                <w:szCs w:val="21"/>
              </w:rPr>
            </w:pPr>
            <w:r>
              <w:rPr>
                <w:szCs w:val="21"/>
              </w:rPr>
              <w:t>诊室、药房、治疗室、化验室</w:t>
            </w:r>
          </w:p>
        </w:tc>
        <w:tc>
          <w:tcPr>
            <w:tcW w:w="1134" w:type="dxa"/>
            <w:vAlign w:val="center"/>
          </w:tcPr>
          <w:p>
            <w:pPr>
              <w:widowControl w:val="0"/>
              <w:rPr>
                <w:kern w:val="2"/>
                <w:szCs w:val="21"/>
              </w:rPr>
            </w:pPr>
            <w:r>
              <w:rPr>
                <w:szCs w:val="21"/>
              </w:rPr>
              <w:t>3.0</w:t>
            </w:r>
          </w:p>
        </w:tc>
        <w:tc>
          <w:tcPr>
            <w:tcW w:w="1521" w:type="dxa"/>
            <w:vAlign w:val="center"/>
          </w:tcPr>
          <w:p>
            <w:pPr>
              <w:widowControl w:val="0"/>
              <w:rPr>
                <w:kern w:val="2"/>
                <w:szCs w:val="21"/>
              </w:rPr>
            </w:pPr>
            <w:r>
              <w:rPr>
                <w:szCs w:val="21"/>
              </w:rPr>
              <w:t>450</w:t>
            </w:r>
          </w:p>
        </w:tc>
        <w:tc>
          <w:tcPr>
            <w:tcW w:w="1172" w:type="dxa"/>
            <w:vAlign w:val="center"/>
          </w:tcPr>
          <w:p>
            <w:pPr>
              <w:widowControl w:val="0"/>
              <w:rPr>
                <w:szCs w:val="21"/>
              </w:rPr>
            </w:pPr>
            <w:r>
              <w:rPr>
                <w:szCs w:val="21"/>
              </w:rPr>
              <w:t>2.0</w:t>
            </w:r>
          </w:p>
        </w:tc>
        <w:tc>
          <w:tcPr>
            <w:tcW w:w="1483" w:type="dxa"/>
            <w:vAlign w:val="center"/>
          </w:tcPr>
          <w:p>
            <w:pPr>
              <w:widowControl w:val="0"/>
              <w:rPr>
                <w:szCs w:val="21"/>
              </w:rPr>
            </w:pPr>
            <w:r>
              <w:rPr>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694" w:type="dxa"/>
            <w:vAlign w:val="center"/>
          </w:tcPr>
          <w:p>
            <w:pPr>
              <w:widowControl w:val="0"/>
              <w:rPr>
                <w:kern w:val="2"/>
                <w:szCs w:val="21"/>
              </w:rPr>
            </w:pPr>
            <w:r>
              <w:rPr>
                <w:rFonts w:hint="eastAsia" w:cs="宋体"/>
                <w:szCs w:val="21"/>
              </w:rPr>
              <w:t>Ⅳ</w:t>
            </w:r>
          </w:p>
        </w:tc>
        <w:tc>
          <w:tcPr>
            <w:tcW w:w="2410" w:type="dxa"/>
            <w:vAlign w:val="center"/>
          </w:tcPr>
          <w:p>
            <w:pPr>
              <w:widowControl w:val="0"/>
              <w:rPr>
                <w:kern w:val="2"/>
                <w:szCs w:val="21"/>
              </w:rPr>
            </w:pPr>
            <w:r>
              <w:rPr>
                <w:szCs w:val="21"/>
              </w:rPr>
              <w:t>医生办公室（护士室）候诊室、挂号处、综合大厅</w:t>
            </w:r>
          </w:p>
        </w:tc>
        <w:tc>
          <w:tcPr>
            <w:tcW w:w="1134" w:type="dxa"/>
            <w:vAlign w:val="center"/>
          </w:tcPr>
          <w:p>
            <w:pPr>
              <w:widowControl w:val="0"/>
              <w:rPr>
                <w:kern w:val="2"/>
                <w:szCs w:val="21"/>
              </w:rPr>
            </w:pPr>
            <w:r>
              <w:rPr>
                <w:szCs w:val="21"/>
              </w:rPr>
              <w:t>2.0</w:t>
            </w:r>
          </w:p>
        </w:tc>
        <w:tc>
          <w:tcPr>
            <w:tcW w:w="1521" w:type="dxa"/>
            <w:vAlign w:val="center"/>
          </w:tcPr>
          <w:p>
            <w:pPr>
              <w:widowControl w:val="0"/>
              <w:rPr>
                <w:kern w:val="2"/>
                <w:szCs w:val="21"/>
              </w:rPr>
            </w:pPr>
            <w:r>
              <w:rPr>
                <w:szCs w:val="21"/>
              </w:rPr>
              <w:t>300</w:t>
            </w:r>
          </w:p>
        </w:tc>
        <w:tc>
          <w:tcPr>
            <w:tcW w:w="1172" w:type="dxa"/>
            <w:vAlign w:val="center"/>
          </w:tcPr>
          <w:p>
            <w:pPr>
              <w:widowControl w:val="0"/>
              <w:rPr>
                <w:szCs w:val="21"/>
              </w:rPr>
            </w:pPr>
            <w:r>
              <w:rPr>
                <w:szCs w:val="21"/>
              </w:rPr>
              <w:t>1.0</w:t>
            </w:r>
          </w:p>
        </w:tc>
        <w:tc>
          <w:tcPr>
            <w:tcW w:w="1483" w:type="dxa"/>
            <w:vAlign w:val="center"/>
          </w:tcPr>
          <w:p>
            <w:pPr>
              <w:widowControl w:val="0"/>
              <w:rPr>
                <w:szCs w:val="21"/>
              </w:rPr>
            </w:pPr>
            <w:r>
              <w:rPr>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vAlign w:val="center"/>
          </w:tcPr>
          <w:p>
            <w:pPr>
              <w:widowControl w:val="0"/>
              <w:rPr>
                <w:szCs w:val="21"/>
              </w:rPr>
            </w:pPr>
            <w:r>
              <w:rPr>
                <w:rFonts w:hint="eastAsia" w:cs="宋体"/>
                <w:szCs w:val="21"/>
              </w:rPr>
              <w:t>Ⅴ</w:t>
            </w:r>
          </w:p>
        </w:tc>
        <w:tc>
          <w:tcPr>
            <w:tcW w:w="2410" w:type="dxa"/>
            <w:vAlign w:val="center"/>
          </w:tcPr>
          <w:p>
            <w:pPr>
              <w:widowControl w:val="0"/>
              <w:rPr>
                <w:szCs w:val="21"/>
              </w:rPr>
            </w:pPr>
            <w:r>
              <w:rPr>
                <w:szCs w:val="21"/>
              </w:rPr>
              <w:t>走道、楼梯间、卫生间</w:t>
            </w:r>
          </w:p>
        </w:tc>
        <w:tc>
          <w:tcPr>
            <w:tcW w:w="1134" w:type="dxa"/>
            <w:vAlign w:val="center"/>
          </w:tcPr>
          <w:p>
            <w:pPr>
              <w:widowControl w:val="0"/>
              <w:rPr>
                <w:szCs w:val="21"/>
              </w:rPr>
            </w:pPr>
            <w:r>
              <w:rPr>
                <w:szCs w:val="21"/>
              </w:rPr>
              <w:t>1.0</w:t>
            </w:r>
          </w:p>
        </w:tc>
        <w:tc>
          <w:tcPr>
            <w:tcW w:w="1521" w:type="dxa"/>
            <w:vAlign w:val="center"/>
          </w:tcPr>
          <w:p>
            <w:pPr>
              <w:widowControl w:val="0"/>
              <w:rPr>
                <w:szCs w:val="21"/>
              </w:rPr>
            </w:pPr>
            <w:r>
              <w:rPr>
                <w:szCs w:val="21"/>
              </w:rPr>
              <w:t>150</w:t>
            </w:r>
          </w:p>
        </w:tc>
        <w:tc>
          <w:tcPr>
            <w:tcW w:w="1172" w:type="dxa"/>
            <w:vAlign w:val="center"/>
          </w:tcPr>
          <w:p>
            <w:pPr>
              <w:widowControl w:val="0"/>
              <w:rPr>
                <w:szCs w:val="21"/>
              </w:rPr>
            </w:pPr>
            <w:r>
              <w:rPr>
                <w:szCs w:val="21"/>
              </w:rPr>
              <w:t>0.5</w:t>
            </w:r>
          </w:p>
        </w:tc>
        <w:tc>
          <w:tcPr>
            <w:tcW w:w="1483" w:type="dxa"/>
            <w:vAlign w:val="center"/>
          </w:tcPr>
          <w:p>
            <w:pPr>
              <w:widowControl w:val="0"/>
              <w:rPr>
                <w:szCs w:val="21"/>
              </w:rPr>
            </w:pPr>
            <w:r>
              <w:rPr>
                <w:szCs w:val="21"/>
              </w:rPr>
              <w:t>75</w:t>
            </w:r>
          </w:p>
        </w:tc>
      </w:tr>
    </w:tbl>
    <w:p>
      <w:pPr>
        <w:pStyle w:val="14"/>
        <w:spacing w:line="240" w:lineRule="auto"/>
        <w:ind w:firstLine="420"/>
        <w:rPr>
          <w:rFonts w:ascii="微软雅黑" w:hAnsi="微软雅黑"/>
          <w:sz w:val="21"/>
          <w:szCs w:val="21"/>
        </w:rPr>
      </w:pPr>
      <w:bookmarkStart w:id="31" w:name="条文描述_办公建筑"/>
      <w:r>
        <w:rPr>
          <w:rFonts w:hint="eastAsia" w:ascii="微软雅黑" w:hAnsi="微软雅黑"/>
          <w:sz w:val="21"/>
          <w:szCs w:val="21"/>
        </w:rPr>
        <w:t>4.0.8  办公建筑的采光标准值不应低于表4.0.8的规定。</w:t>
      </w:r>
    </w:p>
    <w:p>
      <w:pP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410"/>
        <w:gridCol w:w="2410"/>
        <w:gridCol w:w="29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410" w:type="dxa"/>
            <w:vMerge w:val="restart"/>
            <w:vAlign w:val="center"/>
          </w:tcPr>
          <w:p>
            <w:pPr>
              <w:widowControl w:val="0"/>
              <w:rPr>
                <w:kern w:val="2"/>
                <w:szCs w:val="21"/>
              </w:rPr>
            </w:pPr>
            <w:r>
              <w:rPr>
                <w:rFonts w:hint="eastAsia"/>
                <w:kern w:val="2"/>
                <w:szCs w:val="21"/>
              </w:rPr>
              <w:t>场所名称</w:t>
            </w:r>
          </w:p>
        </w:tc>
        <w:tc>
          <w:tcPr>
            <w:tcW w:w="5378"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410" w:type="dxa"/>
            <w:vMerge w:val="continue"/>
            <w:vAlign w:val="center"/>
          </w:tcPr>
          <w:p>
            <w:pPr>
              <w:widowControl w:val="0"/>
              <w:rPr>
                <w:kern w:val="2"/>
                <w:szCs w:val="21"/>
              </w:rPr>
            </w:pPr>
          </w:p>
        </w:tc>
        <w:tc>
          <w:tcPr>
            <w:tcW w:w="2410" w:type="dxa"/>
            <w:vAlign w:val="center"/>
          </w:tcPr>
          <w:p>
            <w:pPr>
              <w:widowControl w:val="0"/>
              <w:rPr>
                <w:kern w:val="2"/>
                <w:szCs w:val="21"/>
              </w:rPr>
            </w:pPr>
            <w:r>
              <w:rPr>
                <w:kern w:val="2"/>
                <w:szCs w:val="21"/>
              </w:rPr>
              <w:t>采光系数标准值（%）</w:t>
            </w:r>
          </w:p>
        </w:tc>
        <w:tc>
          <w:tcPr>
            <w:tcW w:w="2968" w:type="dxa"/>
            <w:vAlign w:val="center"/>
          </w:tcPr>
          <w:p>
            <w:pPr>
              <w:widowControl w:val="0"/>
              <w:rPr>
                <w:kern w:val="2"/>
                <w:szCs w:val="21"/>
              </w:rPr>
            </w:pPr>
            <w:r>
              <w:rPr>
                <w:kern w:val="2"/>
                <w:szCs w:val="21"/>
              </w:rPr>
              <w:t>室</w:t>
            </w:r>
            <w:r>
              <w:rPr>
                <w:rFonts w:hint="eastAsia"/>
                <w:szCs w:val="21"/>
              </w:rPr>
              <w:t>内</w:t>
            </w:r>
            <w:r>
              <w:rPr>
                <w:kern w:val="2"/>
                <w:szCs w:val="21"/>
              </w:rPr>
              <w:t>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exact"/>
          <w:jc w:val="center"/>
        </w:trPr>
        <w:tc>
          <w:tcPr>
            <w:tcW w:w="694" w:type="dxa"/>
            <w:vAlign w:val="center"/>
          </w:tcPr>
          <w:p>
            <w:pPr>
              <w:widowControl w:val="0"/>
              <w:rPr>
                <w:kern w:val="2"/>
                <w:szCs w:val="21"/>
              </w:rPr>
            </w:pPr>
            <w:r>
              <w:rPr>
                <w:rFonts w:hint="eastAsia"/>
                <w:kern w:val="2"/>
                <w:szCs w:val="21"/>
              </w:rPr>
              <w:t>Ⅱ</w:t>
            </w:r>
          </w:p>
        </w:tc>
        <w:tc>
          <w:tcPr>
            <w:tcW w:w="2410" w:type="dxa"/>
            <w:vAlign w:val="center"/>
          </w:tcPr>
          <w:p>
            <w:pPr>
              <w:widowControl w:val="0"/>
              <w:rPr>
                <w:kern w:val="2"/>
                <w:szCs w:val="21"/>
              </w:rPr>
            </w:pPr>
            <w:r>
              <w:rPr>
                <w:rFonts w:hint="eastAsia"/>
                <w:kern w:val="2"/>
                <w:szCs w:val="21"/>
              </w:rPr>
              <w:t>设计室、绘图室</w:t>
            </w:r>
          </w:p>
        </w:tc>
        <w:tc>
          <w:tcPr>
            <w:tcW w:w="2410" w:type="dxa"/>
            <w:vAlign w:val="center"/>
          </w:tcPr>
          <w:p>
            <w:pPr>
              <w:widowControl w:val="0"/>
              <w:rPr>
                <w:kern w:val="2"/>
                <w:szCs w:val="21"/>
              </w:rPr>
            </w:pPr>
            <w:r>
              <w:rPr>
                <w:kern w:val="2"/>
                <w:szCs w:val="21"/>
              </w:rPr>
              <w:t>4.0</w:t>
            </w:r>
          </w:p>
        </w:tc>
        <w:tc>
          <w:tcPr>
            <w:tcW w:w="2968"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jc w:val="center"/>
        </w:trPr>
        <w:tc>
          <w:tcPr>
            <w:tcW w:w="694" w:type="dxa"/>
            <w:vAlign w:val="center"/>
          </w:tcPr>
          <w:p>
            <w:pPr>
              <w:widowControl w:val="0"/>
              <w:rPr>
                <w:kern w:val="2"/>
                <w:szCs w:val="21"/>
              </w:rPr>
            </w:pPr>
            <w:r>
              <w:rPr>
                <w:rFonts w:hint="eastAsia"/>
                <w:kern w:val="2"/>
                <w:szCs w:val="21"/>
              </w:rPr>
              <w:t>Ⅲ</w:t>
            </w:r>
          </w:p>
        </w:tc>
        <w:tc>
          <w:tcPr>
            <w:tcW w:w="2410" w:type="dxa"/>
            <w:vAlign w:val="center"/>
          </w:tcPr>
          <w:p>
            <w:pPr>
              <w:widowControl w:val="0"/>
              <w:rPr>
                <w:kern w:val="2"/>
                <w:szCs w:val="21"/>
              </w:rPr>
            </w:pPr>
            <w:r>
              <w:rPr>
                <w:rFonts w:hint="eastAsia"/>
                <w:kern w:val="2"/>
                <w:szCs w:val="21"/>
              </w:rPr>
              <w:t>办公室、会议室</w:t>
            </w:r>
          </w:p>
        </w:tc>
        <w:tc>
          <w:tcPr>
            <w:tcW w:w="2410" w:type="dxa"/>
            <w:vAlign w:val="center"/>
          </w:tcPr>
          <w:p>
            <w:pPr>
              <w:widowControl w:val="0"/>
              <w:rPr>
                <w:kern w:val="2"/>
                <w:szCs w:val="21"/>
              </w:rPr>
            </w:pPr>
            <w:r>
              <w:rPr>
                <w:kern w:val="2"/>
                <w:szCs w:val="21"/>
              </w:rPr>
              <w:t>3.0</w:t>
            </w:r>
          </w:p>
        </w:tc>
        <w:tc>
          <w:tcPr>
            <w:tcW w:w="2968"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94" w:type="dxa"/>
            <w:vAlign w:val="center"/>
          </w:tcPr>
          <w:p>
            <w:pPr>
              <w:widowControl w:val="0"/>
              <w:rPr>
                <w:kern w:val="2"/>
                <w:szCs w:val="21"/>
              </w:rPr>
            </w:pPr>
            <w:r>
              <w:rPr>
                <w:rFonts w:hint="eastAsia"/>
                <w:kern w:val="2"/>
                <w:szCs w:val="21"/>
              </w:rPr>
              <w:t>Ⅳ</w:t>
            </w:r>
          </w:p>
        </w:tc>
        <w:tc>
          <w:tcPr>
            <w:tcW w:w="2410" w:type="dxa"/>
            <w:vAlign w:val="center"/>
          </w:tcPr>
          <w:p>
            <w:pPr>
              <w:widowControl w:val="0"/>
              <w:rPr>
                <w:kern w:val="2"/>
                <w:szCs w:val="21"/>
              </w:rPr>
            </w:pPr>
            <w:r>
              <w:rPr>
                <w:rFonts w:hint="eastAsia"/>
                <w:kern w:val="2"/>
                <w:szCs w:val="21"/>
              </w:rPr>
              <w:t>复印室、档案室</w:t>
            </w:r>
          </w:p>
        </w:tc>
        <w:tc>
          <w:tcPr>
            <w:tcW w:w="2410" w:type="dxa"/>
            <w:vAlign w:val="center"/>
          </w:tcPr>
          <w:p>
            <w:pPr>
              <w:widowControl w:val="0"/>
              <w:rPr>
                <w:kern w:val="2"/>
                <w:szCs w:val="21"/>
              </w:rPr>
            </w:pPr>
            <w:r>
              <w:rPr>
                <w:kern w:val="2"/>
                <w:szCs w:val="21"/>
              </w:rPr>
              <w:t>2.0</w:t>
            </w:r>
          </w:p>
        </w:tc>
        <w:tc>
          <w:tcPr>
            <w:tcW w:w="2968"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94" w:type="dxa"/>
            <w:vAlign w:val="center"/>
          </w:tcPr>
          <w:p>
            <w:pPr>
              <w:widowControl w:val="0"/>
              <w:rPr>
                <w:kern w:val="2"/>
                <w:szCs w:val="21"/>
              </w:rPr>
            </w:pPr>
            <w:r>
              <w:rPr>
                <w:rFonts w:hint="eastAsia"/>
                <w:kern w:val="2"/>
                <w:szCs w:val="21"/>
              </w:rPr>
              <w:t>Ⅴ</w:t>
            </w:r>
          </w:p>
        </w:tc>
        <w:tc>
          <w:tcPr>
            <w:tcW w:w="2410" w:type="dxa"/>
            <w:vAlign w:val="center"/>
          </w:tcPr>
          <w:p>
            <w:pPr>
              <w:widowControl w:val="0"/>
              <w:rPr>
                <w:kern w:val="2"/>
                <w:szCs w:val="21"/>
              </w:rPr>
            </w:pPr>
            <w:r>
              <w:rPr>
                <w:rFonts w:hint="eastAsia"/>
                <w:kern w:val="2"/>
                <w:szCs w:val="21"/>
              </w:rPr>
              <w:t>走道、楼梯间、卫生间</w:t>
            </w:r>
          </w:p>
        </w:tc>
        <w:tc>
          <w:tcPr>
            <w:tcW w:w="2410" w:type="dxa"/>
            <w:vAlign w:val="center"/>
          </w:tcPr>
          <w:p>
            <w:pPr>
              <w:widowControl w:val="0"/>
              <w:rPr>
                <w:kern w:val="2"/>
                <w:szCs w:val="21"/>
              </w:rPr>
            </w:pPr>
            <w:r>
              <w:rPr>
                <w:kern w:val="2"/>
                <w:szCs w:val="21"/>
              </w:rPr>
              <w:t>1.0</w:t>
            </w:r>
          </w:p>
        </w:tc>
        <w:tc>
          <w:tcPr>
            <w:tcW w:w="2968" w:type="dxa"/>
            <w:vAlign w:val="center"/>
          </w:tcPr>
          <w:p>
            <w:pPr>
              <w:widowControl w:val="0"/>
              <w:rPr>
                <w:kern w:val="2"/>
                <w:szCs w:val="21"/>
              </w:rPr>
            </w:pPr>
            <w:r>
              <w:rPr>
                <w:kern w:val="2"/>
                <w:szCs w:val="21"/>
              </w:rPr>
              <w:t>150</w:t>
            </w:r>
          </w:p>
        </w:tc>
      </w:tr>
      <w:bookmarkEnd w:id="31"/>
    </w:tbl>
    <w:p>
      <w:pPr>
        <w:pStyle w:val="14"/>
        <w:spacing w:line="240" w:lineRule="auto"/>
        <w:ind w:firstLine="420"/>
        <w:rPr>
          <w:rFonts w:ascii="微软雅黑" w:hAnsi="微软雅黑"/>
          <w:sz w:val="21"/>
          <w:szCs w:val="21"/>
        </w:rPr>
      </w:pPr>
      <w:bookmarkStart w:id="32" w:name="条文描述_旅馆建筑"/>
      <w:r>
        <w:rPr>
          <w:rFonts w:ascii="微软雅黑" w:hAnsi="微软雅黑"/>
          <w:sz w:val="21"/>
          <w:szCs w:val="21"/>
        </w:rPr>
        <w:t>4.0.</w:t>
      </w:r>
      <w:r>
        <w:rPr>
          <w:rFonts w:hint="eastAsia" w:ascii="微软雅黑" w:hAnsi="微软雅黑"/>
          <w:sz w:val="21"/>
          <w:szCs w:val="21"/>
        </w:rPr>
        <w:t>10</w:t>
      </w:r>
      <w:r>
        <w:rPr>
          <w:rFonts w:ascii="微软雅黑" w:hAnsi="微软雅黑"/>
          <w:sz w:val="21"/>
          <w:szCs w:val="21"/>
        </w:rPr>
        <w:t xml:space="preserve">  </w:t>
      </w:r>
      <w:r>
        <w:rPr>
          <w:rFonts w:hint="eastAsia" w:ascii="微软雅黑" w:hAnsi="微软雅黑"/>
          <w:sz w:val="21"/>
          <w:szCs w:val="21"/>
        </w:rPr>
        <w:t>旅馆建筑的采光标准值不应低于表4.0.10的规定。</w:t>
      </w:r>
    </w:p>
    <w:p>
      <w:pPr>
        <w:pStyle w:val="39"/>
        <w:numPr>
          <w:ilvl w:val="0"/>
          <w:numId w:val="3"/>
        </w:numPr>
        <w:tabs>
          <w:tab w:val="clear" w:pos="902"/>
        </w:tabs>
        <w:ind w:firstLineChars="0"/>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410"/>
        <w:gridCol w:w="1327"/>
        <w:gridCol w:w="1328"/>
        <w:gridCol w:w="1327"/>
        <w:gridCol w:w="13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410"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55"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55"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410"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室内天然光照度标准值（lx）</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2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kern w:val="2"/>
                <w:szCs w:val="21"/>
              </w:rPr>
              <w:t>室</w:t>
            </w:r>
            <w:r>
              <w:rPr>
                <w:rFonts w:hint="eastAsia"/>
                <w:szCs w:val="21"/>
              </w:rPr>
              <w:t>内</w:t>
            </w:r>
            <w:r>
              <w:rPr>
                <w:rFonts w:hint="eastAsia"/>
                <w:kern w:val="2"/>
                <w:szCs w:val="21"/>
              </w:rPr>
              <w:t>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会议室</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大堂、客房、餐厅、健身房</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32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410"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走道、楼梯间、卫生间</w:t>
            </w:r>
          </w:p>
        </w:tc>
        <w:tc>
          <w:tcPr>
            <w:tcW w:w="1327"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28"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327"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328"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32"/>
    </w:tbl>
    <w:p>
      <w:pPr>
        <w:pStyle w:val="14"/>
        <w:spacing w:line="240" w:lineRule="auto"/>
        <w:ind w:firstLine="420"/>
        <w:rPr>
          <w:rFonts w:ascii="微软雅黑" w:hAnsi="微软雅黑"/>
          <w:sz w:val="21"/>
          <w:szCs w:val="21"/>
        </w:rPr>
      </w:pPr>
      <w:bookmarkStart w:id="33" w:name="条文描述_体育建筑"/>
      <w:r>
        <w:rPr>
          <w:rFonts w:ascii="微软雅黑" w:hAnsi="微软雅黑"/>
          <w:sz w:val="21"/>
          <w:szCs w:val="21"/>
        </w:rPr>
        <w:t>4.0.</w:t>
      </w:r>
      <w:r>
        <w:rPr>
          <w:rFonts w:hint="eastAsia" w:ascii="微软雅黑" w:hAnsi="微软雅黑"/>
          <w:sz w:val="21"/>
          <w:szCs w:val="21"/>
        </w:rPr>
        <w:t>14</w:t>
      </w:r>
      <w:r>
        <w:rPr>
          <w:rFonts w:ascii="微软雅黑" w:hAnsi="微软雅黑"/>
          <w:sz w:val="21"/>
          <w:szCs w:val="21"/>
        </w:rPr>
        <w:t xml:space="preserve">  </w:t>
      </w:r>
      <w:r>
        <w:rPr>
          <w:rFonts w:hint="eastAsia" w:ascii="微软雅黑" w:hAnsi="微软雅黑"/>
          <w:sz w:val="21"/>
          <w:szCs w:val="21"/>
        </w:rPr>
        <w:t>体育建筑的采光标准值不应低于表4.0.14的规定。</w:t>
      </w:r>
    </w:p>
    <w:p>
      <w:pPr>
        <w:pStyle w:val="39"/>
        <w:numPr>
          <w:ilvl w:val="0"/>
          <w:numId w:val="3"/>
        </w:numPr>
        <w:tabs>
          <w:tab w:val="clear" w:pos="902"/>
        </w:tabs>
        <w:ind w:firstLineChars="0"/>
        <w:rPr>
          <w:szCs w:val="21"/>
        </w:rPr>
      </w:pPr>
      <w:r>
        <w:rPr>
          <w:rFonts w:hint="eastAsia"/>
          <w:szCs w:val="21"/>
        </w:rPr>
        <w:t>表</w:t>
      </w:r>
      <w:r>
        <w:rPr>
          <w:szCs w:val="21"/>
        </w:rPr>
        <w:t>4.0.</w:t>
      </w:r>
      <w:r>
        <w:rPr>
          <w:rFonts w:hint="eastAsia"/>
          <w:szCs w:val="21"/>
        </w:rPr>
        <w:t>14</w:t>
      </w:r>
      <w:r>
        <w:rPr>
          <w:szCs w:val="21"/>
        </w:rPr>
        <w:t xml:space="preserve">  </w:t>
      </w:r>
      <w:r>
        <w:rPr>
          <w:rFonts w:hint="eastAsia"/>
          <w:szCs w:val="21"/>
        </w:rPr>
        <w:t>体育建筑的采光标准值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410"/>
        <w:gridCol w:w="1327"/>
        <w:gridCol w:w="1328"/>
        <w:gridCol w:w="1327"/>
        <w:gridCol w:w="13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410"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55"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55"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410"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室内天然光照度标准值（lx）</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2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jc w:val="left"/>
              <w:rPr>
                <w:szCs w:val="21"/>
              </w:rPr>
            </w:pPr>
            <w:r>
              <w:rPr>
                <w:rFonts w:hint="eastAsia"/>
                <w:szCs w:val="21"/>
              </w:rPr>
              <w:t>体育馆场地、观众入口大厅、休息厅、运动员休息室、治疗室、贵宾厅、裁判用房</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32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410"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浴室、楼梯间、卫生间</w:t>
            </w:r>
          </w:p>
        </w:tc>
        <w:tc>
          <w:tcPr>
            <w:tcW w:w="1327"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28"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327"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328"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33"/>
    </w:tbl>
    <w:p>
      <w:pPr>
        <w:pStyle w:val="14"/>
        <w:spacing w:line="240" w:lineRule="auto"/>
        <w:ind w:left="482" w:firstLine="0" w:firstLineChars="0"/>
        <w:rPr>
          <w:rFonts w:ascii="微软雅黑" w:hAnsi="微软雅黑"/>
          <w:sz w:val="21"/>
          <w:szCs w:val="21"/>
        </w:rPr>
      </w:pPr>
      <w:r>
        <w:rPr>
          <w:rFonts w:ascii="微软雅黑" w:hAnsi="微软雅黑"/>
          <w:sz w:val="21"/>
          <w:szCs w:val="21"/>
        </w:rPr>
        <w:t>4.0.</w:t>
      </w:r>
      <w:r>
        <w:rPr>
          <w:rFonts w:hint="eastAsia" w:ascii="微软雅黑" w:hAnsi="微软雅黑"/>
          <w:sz w:val="21"/>
          <w:szCs w:val="21"/>
        </w:rPr>
        <w:t>9</w:t>
      </w:r>
      <w:r>
        <w:rPr>
          <w:rFonts w:ascii="微软雅黑" w:hAnsi="微软雅黑"/>
          <w:sz w:val="21"/>
          <w:szCs w:val="21"/>
        </w:rPr>
        <w:t xml:space="preserve">  </w:t>
      </w:r>
      <w:r>
        <w:rPr>
          <w:rFonts w:hint="eastAsia" w:ascii="微软雅黑" w:hAnsi="微软雅黑"/>
          <w:sz w:val="21"/>
          <w:szCs w:val="21"/>
        </w:rPr>
        <w:t>图书馆建筑的采光标准值不应低于表4.0.9的规定。</w:t>
      </w:r>
    </w:p>
    <w:p>
      <w:pPr>
        <w:pStyle w:val="39"/>
        <w:numPr>
          <w:ilvl w:val="0"/>
          <w:numId w:val="3"/>
        </w:numPr>
        <w:tabs>
          <w:tab w:val="clear" w:pos="902"/>
        </w:tabs>
        <w:ind w:firstLineChars="0"/>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410"/>
        <w:gridCol w:w="1434"/>
        <w:gridCol w:w="1292"/>
        <w:gridCol w:w="1292"/>
        <w:gridCol w:w="12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410"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726"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584"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410"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室内天然光照度标准值（lx）</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292"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阅览室、开架书库</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292"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目录室</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292"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410"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书库、走道、楼梯间、卫生间</w:t>
            </w:r>
          </w:p>
        </w:tc>
        <w:tc>
          <w:tcPr>
            <w:tcW w:w="14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29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29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292"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14"/>
        <w:spacing w:line="240" w:lineRule="auto"/>
        <w:ind w:firstLine="420"/>
        <w:rPr>
          <w:rFonts w:ascii="微软雅黑" w:hAnsi="微软雅黑"/>
          <w:sz w:val="21"/>
          <w:szCs w:val="21"/>
        </w:rPr>
      </w:pPr>
      <w:bookmarkStart w:id="34" w:name="条文描述_展览建筑"/>
      <w:r>
        <w:rPr>
          <w:rFonts w:ascii="微软雅黑" w:hAnsi="微软雅黑"/>
          <w:sz w:val="21"/>
          <w:szCs w:val="21"/>
        </w:rPr>
        <w:t>4.0.</w:t>
      </w:r>
      <w:r>
        <w:rPr>
          <w:rFonts w:hint="eastAsia" w:ascii="微软雅黑" w:hAnsi="微软雅黑"/>
          <w:sz w:val="21"/>
          <w:szCs w:val="21"/>
        </w:rPr>
        <w:t>12</w:t>
      </w:r>
      <w:r>
        <w:rPr>
          <w:rFonts w:ascii="微软雅黑" w:hAnsi="微软雅黑"/>
          <w:sz w:val="21"/>
          <w:szCs w:val="21"/>
        </w:rPr>
        <w:t xml:space="preserve"> </w:t>
      </w:r>
      <w:r>
        <w:rPr>
          <w:rFonts w:hint="eastAsia" w:ascii="微软雅黑" w:hAnsi="微软雅黑"/>
          <w:sz w:val="21"/>
          <w:szCs w:val="21"/>
        </w:rPr>
        <w:t>展览建筑的采光标准值不应低于表4.0.12的规定。</w:t>
      </w:r>
    </w:p>
    <w:p>
      <w:pPr>
        <w:pStyle w:val="39"/>
        <w:numPr>
          <w:ilvl w:val="0"/>
          <w:numId w:val="3"/>
        </w:numPr>
        <w:tabs>
          <w:tab w:val="clear" w:pos="902"/>
        </w:tabs>
        <w:ind w:firstLineChars="0"/>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448"/>
        <w:gridCol w:w="1332"/>
        <w:gridCol w:w="1333"/>
        <w:gridCol w:w="1332"/>
        <w:gridCol w:w="13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56"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448"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65"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65"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56"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448"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室内天然光照度标准值（lx）</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33"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展厅（单层及顶层）</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33"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登录厅、连接通道</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333"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656"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448"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库房、楼梯间、卫生间</w:t>
            </w:r>
          </w:p>
        </w:tc>
        <w:tc>
          <w:tcPr>
            <w:tcW w:w="133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33"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33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333"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34"/>
    </w:tbl>
    <w:p>
      <w:pPr>
        <w:pStyle w:val="39"/>
        <w:ind w:left="840" w:firstLine="0" w:firstLineChars="0"/>
        <w:rPr>
          <w:sz w:val="24"/>
          <w:lang w:val="en-US"/>
        </w:rPr>
      </w:pPr>
      <w:bookmarkStart w:id="35" w:name="_Toc264569232"/>
      <w:bookmarkStart w:id="36" w:name="_Toc290149054"/>
      <w:bookmarkStart w:id="37" w:name="_Toc264043625"/>
      <w:bookmarkStart w:id="38" w:name="_Toc275165382"/>
      <w:bookmarkStart w:id="39" w:name="_Toc290209312"/>
      <w:bookmarkStart w:id="40" w:name="_Toc512608180"/>
      <w:bookmarkStart w:id="41" w:name="_Toc290209336"/>
      <w:bookmarkStart w:id="42" w:name="_Toc312399791"/>
    </w:p>
    <w:p>
      <w:pPr>
        <w:pStyle w:val="39"/>
        <w:numPr>
          <w:ilvl w:val="0"/>
          <w:numId w:val="4"/>
        </w:numPr>
        <w:ind w:firstLineChars="0"/>
        <w:jc w:val="left"/>
        <w:rPr>
          <w:sz w:val="32"/>
          <w:lang w:val="en-US"/>
        </w:rPr>
      </w:pPr>
      <w:r>
        <w:rPr>
          <w:rFonts w:hint="eastAsia"/>
          <w:b/>
          <w:sz w:val="21"/>
          <w:szCs w:val="21"/>
          <w:lang w:val="en-US"/>
        </w:rPr>
        <w:t>《绿色建筑评价标准技术细则2019》相关内容</w:t>
      </w:r>
    </w:p>
    <w:p>
      <w:pPr>
        <w:pStyle w:val="3"/>
        <w:ind w:left="360" w:leftChars="200"/>
      </w:pPr>
      <w:r>
        <w:rPr>
          <w:rFonts w:hint="eastAsia"/>
        </w:rPr>
        <w:t>《绿色建筑评价标准技术细则2019》指出：</w:t>
      </w:r>
    </w:p>
    <w:p>
      <w:pPr>
        <w:pStyle w:val="3"/>
        <w:ind w:left="36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pPr>
        <w:pStyle w:val="3"/>
        <w:ind w:left="36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pPr>
        <w:pStyle w:val="3"/>
        <w:ind w:left="360" w:leftChars="200"/>
      </w:pPr>
      <w:r>
        <w:rPr>
          <w:rFonts w:hint="eastAsia"/>
        </w:rPr>
        <w:t>3</w:t>
      </w:r>
      <w:r>
        <w:t>.</w:t>
      </w:r>
      <w:r>
        <w:rPr>
          <w:rFonts w:hint="eastAsia"/>
        </w:rPr>
        <w:t>公共建筑主要功能空间为《建筑采光设计标准》G</w:t>
      </w:r>
      <w:r>
        <w:t>B50033</w:t>
      </w:r>
      <w:r>
        <w:rPr>
          <w:rFonts w:hint="eastAsia"/>
        </w:rPr>
        <w:t>中</w:t>
      </w:r>
      <w:r>
        <w:rPr>
          <w:rFonts w:hint="eastAsia"/>
          <w:kern w:val="2"/>
        </w:rPr>
        <w:t>Ⅱ~</w:t>
      </w:r>
      <w:r>
        <w:rPr>
          <w:rFonts w:hint="eastAsia"/>
        </w:rPr>
        <w:t>Ⅳ级有采光标准值要求的场所。</w:t>
      </w:r>
    </w:p>
    <w:p>
      <w:pPr>
        <w:pStyle w:val="2"/>
        <w:ind w:left="432" w:hanging="432"/>
      </w:pPr>
      <w:bookmarkStart w:id="43" w:name="_Toc5648"/>
      <w:r>
        <w:rPr>
          <w:rFonts w:hint="eastAsia"/>
        </w:rPr>
        <w:t>采光分析</w:t>
      </w:r>
      <w:r>
        <w:t>概述</w:t>
      </w:r>
      <w:bookmarkEnd w:id="35"/>
      <w:bookmarkEnd w:id="36"/>
      <w:bookmarkEnd w:id="37"/>
      <w:bookmarkEnd w:id="38"/>
      <w:bookmarkEnd w:id="39"/>
      <w:bookmarkEnd w:id="40"/>
      <w:bookmarkEnd w:id="41"/>
      <w:bookmarkEnd w:id="42"/>
      <w:bookmarkEnd w:id="43"/>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tabs>
          <w:tab w:val="left" w:pos="862"/>
          <w:tab w:val="clear" w:pos="578"/>
        </w:tabs>
        <w:ind w:left="862"/>
      </w:pPr>
      <w:bookmarkStart w:id="44" w:name="_Toc512608181"/>
      <w:bookmarkStart w:id="45" w:name="_Toc26183"/>
      <w:r>
        <w:rPr>
          <w:rFonts w:hint="eastAsia"/>
        </w:rPr>
        <w:t>基本原理</w:t>
      </w:r>
      <w:bookmarkEnd w:id="44"/>
      <w:bookmarkEnd w:id="45"/>
    </w:p>
    <w:p>
      <w:pPr>
        <w:pStyle w:val="14"/>
        <w:numPr>
          <w:ilvl w:val="0"/>
          <w:numId w:val="5"/>
        </w:numPr>
        <w:spacing w:line="360" w:lineRule="auto"/>
        <w:ind w:firstLineChars="0"/>
        <w:rPr>
          <w:b/>
          <w:sz w:val="21"/>
          <w:szCs w:val="21"/>
        </w:rPr>
      </w:pPr>
      <w:r>
        <w:rPr>
          <w:rFonts w:hint="eastAsia"/>
          <w:b/>
          <w:sz w:val="21"/>
          <w:szCs w:val="21"/>
        </w:rPr>
        <w:t>动态采光</w:t>
      </w:r>
    </w:p>
    <w:p>
      <w:pPr>
        <w:pStyle w:val="3"/>
        <w:ind w:firstLine="420" w:firstLineChars="200"/>
      </w:pPr>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pPr>
        <w:pStyle w:val="3"/>
      </w:pPr>
      <w:bookmarkStart w:id="46" w:name="_Toc275165387"/>
      <w:bookmarkStart w:id="47" w:name="_Toc264043630"/>
      <w:bookmarkStart w:id="48" w:name="_Toc290209341"/>
      <w:bookmarkStart w:id="49" w:name="_Toc264569237"/>
      <w:bookmarkStart w:id="50" w:name="_Toc290149059"/>
      <w:bookmarkStart w:id="51" w:name="_Toc290209317"/>
      <w:bookmarkStart w:id="52" w:name="_Toc312399796"/>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6"/>
    <w:bookmarkEnd w:id="47"/>
    <w:bookmarkEnd w:id="48"/>
    <w:bookmarkEnd w:id="49"/>
    <w:bookmarkEnd w:id="50"/>
    <w:bookmarkEnd w:id="51"/>
    <w:bookmarkEnd w:id="52"/>
    <w:p>
      <w:pPr>
        <w:pStyle w:val="4"/>
        <w:tabs>
          <w:tab w:val="left" w:pos="862"/>
          <w:tab w:val="clear" w:pos="578"/>
        </w:tabs>
        <w:ind w:left="862"/>
      </w:pPr>
      <w:bookmarkStart w:id="53" w:name="_Toc19728"/>
      <w:r>
        <w:rPr>
          <w:rFonts w:hint="eastAsia"/>
        </w:rPr>
        <w:t>计算方法</w:t>
      </w:r>
      <w:bookmarkEnd w:id="53"/>
    </w:p>
    <w:p>
      <w:pPr>
        <w:pStyle w:val="3"/>
        <w:ind w:left="360" w:leftChars="200"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《绿色建筑评价标准技术细则2019》中也明确动态采光计算参数、计算条件细节：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pPr>
        <w:pStyle w:val="4"/>
        <w:tabs>
          <w:tab w:val="left" w:pos="862"/>
          <w:tab w:val="clear" w:pos="578"/>
        </w:tabs>
        <w:ind w:left="862"/>
      </w:pPr>
      <w:bookmarkStart w:id="54" w:name="_Toc5017"/>
      <w:r>
        <w:t>软件</w:t>
      </w:r>
      <w:r>
        <w:rPr>
          <w:rFonts w:hint="eastAsia"/>
        </w:rPr>
        <w:t>选用</w:t>
      </w:r>
      <w:bookmarkEnd w:id="54"/>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ind w:left="432" w:hanging="432"/>
      </w:pPr>
      <w:bookmarkStart w:id="55" w:name="_Toc512608187"/>
      <w:bookmarkStart w:id="56" w:name="_Toc3010"/>
      <w:r>
        <w:rPr>
          <w:rFonts w:hint="eastAsia"/>
        </w:rPr>
        <w:t>采光计算</w:t>
      </w:r>
      <w:r>
        <w:t>参数</w:t>
      </w:r>
      <w:r>
        <w:rPr>
          <w:rFonts w:hint="eastAsia"/>
        </w:rPr>
        <w:t>取值</w:t>
      </w:r>
      <w:bookmarkEnd w:id="55"/>
      <w:bookmarkEnd w:id="56"/>
    </w:p>
    <w:p>
      <w:pPr>
        <w:pStyle w:val="4"/>
      </w:pPr>
      <w:bookmarkStart w:id="57" w:name="_Toc290209316"/>
      <w:bookmarkStart w:id="58" w:name="_Toc275165386"/>
      <w:bookmarkStart w:id="59" w:name="_Toc264569236"/>
      <w:bookmarkStart w:id="60" w:name="_Toc264043629"/>
      <w:bookmarkStart w:id="61" w:name="_Toc290149058"/>
      <w:bookmarkStart w:id="62" w:name="_Toc290209340"/>
      <w:bookmarkStart w:id="63" w:name="_Toc312399795"/>
      <w:bookmarkStart w:id="64" w:name="_Toc512608188"/>
      <w:bookmarkStart w:id="65" w:name="_Toc19116"/>
      <w:r>
        <w:t>模拟</w:t>
      </w:r>
      <w:bookmarkEnd w:id="57"/>
      <w:bookmarkEnd w:id="58"/>
      <w:bookmarkEnd w:id="59"/>
      <w:bookmarkEnd w:id="60"/>
      <w:bookmarkEnd w:id="61"/>
      <w:bookmarkEnd w:id="62"/>
      <w:bookmarkEnd w:id="63"/>
      <w:r>
        <w:rPr>
          <w:rFonts w:hint="eastAsia"/>
        </w:rPr>
        <w:t>分析条件说明</w:t>
      </w:r>
      <w:bookmarkEnd w:id="64"/>
      <w:bookmarkEnd w:id="65"/>
    </w:p>
    <w:p>
      <w:pPr>
        <w:pStyle w:val="3"/>
        <w:rPr>
          <w:rFonts w:ascii="宋体" w:hAnsi="宋体"/>
          <w:b/>
          <w:lang w:val="en-US"/>
        </w:rPr>
      </w:pPr>
      <w:r>
        <w:rPr>
          <w:rFonts w:hint="eastAsia" w:ascii="宋体" w:hAnsi="宋体"/>
          <w:b/>
          <w:lang w:val="en-US"/>
        </w:rPr>
        <w:t>光气候数据来源：</w:t>
      </w:r>
      <w:bookmarkStart w:id="66" w:name="气象数据"/>
      <w:r>
        <w:rPr>
          <w:rFonts w:hint="eastAsia"/>
          <w:lang w:val="en-US"/>
        </w:rPr>
        <w:t>《中国建筑热环境分析专用气象数据集》</w:t>
      </w:r>
      <w:bookmarkEnd w:id="66"/>
    </w:p>
    <w:p>
      <w:pPr>
        <w:pStyle w:val="3"/>
      </w:pPr>
      <w:r>
        <w:rPr>
          <w:rFonts w:hint="eastAsia"/>
          <w:b/>
        </w:rPr>
        <w:t>计算</w:t>
      </w:r>
      <w:r>
        <w:rPr>
          <w:b/>
        </w:rPr>
        <w:t>光线反射次数</w:t>
      </w:r>
      <w:r>
        <w:t>：</w:t>
      </w:r>
      <w:bookmarkStart w:id="67" w:name="光线反射次数"/>
      <w:r>
        <w:rPr>
          <w:rFonts w:hint="eastAsia"/>
        </w:rPr>
        <w:t>3</w:t>
      </w:r>
      <w:bookmarkEnd w:id="67"/>
      <w:r>
        <w:rPr>
          <w:rFonts w:hint="eastAsia"/>
        </w:rPr>
        <w:t>次；</w:t>
      </w:r>
    </w:p>
    <w:p>
      <w:pPr>
        <w:pStyle w:val="3"/>
      </w:pPr>
      <w:r>
        <w:rPr>
          <w:rFonts w:hint="eastAsia"/>
          <w:b/>
        </w:rPr>
        <w:t>分析参考平面</w:t>
      </w:r>
      <w:r>
        <w:rPr>
          <w:rFonts w:hint="eastAsia"/>
        </w:rPr>
        <w:t>：功能房间取距地面</w:t>
      </w:r>
      <w:bookmarkStart w:id="68" w:name="分析面高"/>
      <w:r>
        <w:rPr>
          <w:rFonts w:hint="eastAsia"/>
        </w:rPr>
        <w:t>0.75</w:t>
      </w:r>
      <w:bookmarkEnd w:id="68"/>
      <w:r>
        <w:rPr>
          <w:rFonts w:hint="eastAsia"/>
        </w:rPr>
        <w:t>米；</w:t>
      </w:r>
    </w:p>
    <w:p>
      <w:pPr>
        <w:pStyle w:val="3"/>
      </w:pPr>
      <w:bookmarkStart w:id="69"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70" w:name="网格划分小房间面积"/>
            <w:r>
              <w:rPr>
                <w:rFonts w:hint="eastAsia"/>
              </w:rPr>
              <w:t>10</w:t>
            </w:r>
            <w:bookmarkEnd w:id="70"/>
          </w:p>
        </w:tc>
        <w:tc>
          <w:tcPr>
            <w:tcW w:w="3272" w:type="dxa"/>
            <w:shd w:val="clear" w:color="auto" w:fill="auto"/>
            <w:vAlign w:val="center"/>
          </w:tcPr>
          <w:p>
            <w:bookmarkStart w:id="71" w:name="小房间网格大小"/>
            <w:r>
              <w:rPr>
                <w:rFonts w:hint="eastAsia"/>
              </w:rPr>
              <w:t>0.25</w:t>
            </w:r>
            <w:bookmarkEnd w:id="7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72" w:name="网格划分房间面积"/>
            <w:r>
              <w:rPr>
                <w:rFonts w:hint="eastAsia"/>
              </w:rPr>
              <w:t>10~100</w:t>
            </w:r>
            <w:bookmarkEnd w:id="72"/>
          </w:p>
        </w:tc>
        <w:tc>
          <w:tcPr>
            <w:tcW w:w="3272" w:type="dxa"/>
            <w:shd w:val="clear" w:color="auto" w:fill="auto"/>
            <w:vAlign w:val="center"/>
          </w:tcPr>
          <w:p>
            <w:bookmarkStart w:id="73" w:name="网格大小"/>
            <w:r>
              <w:rPr>
                <w:rFonts w:hint="eastAsia"/>
              </w:rPr>
              <w:t>0.50</w:t>
            </w:r>
            <w:bookmarkEnd w:id="7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74" w:name="网格划分大房间面积"/>
            <w:r>
              <w:rPr>
                <w:rFonts w:hint="eastAsia"/>
              </w:rPr>
              <w:t>100</w:t>
            </w:r>
            <w:bookmarkEnd w:id="74"/>
          </w:p>
        </w:tc>
        <w:tc>
          <w:tcPr>
            <w:tcW w:w="3272" w:type="dxa"/>
            <w:shd w:val="clear" w:color="auto" w:fill="auto"/>
            <w:vAlign w:val="center"/>
          </w:tcPr>
          <w:p>
            <w:bookmarkStart w:id="75" w:name="大房间网格大小"/>
            <w:r>
              <w:rPr>
                <w:rFonts w:hint="eastAsia"/>
              </w:rPr>
              <w:t>1.00</w:t>
            </w:r>
            <w:bookmarkEnd w:id="75"/>
          </w:p>
        </w:tc>
      </w:tr>
    </w:tbl>
    <w:p>
      <w:pPr>
        <w:pStyle w:val="3"/>
      </w:pPr>
      <w:r>
        <w:rPr>
          <w:rFonts w:hint="eastAsia"/>
          <w:b/>
        </w:rPr>
        <w:t>周边环境：</w:t>
      </w:r>
      <w:r>
        <w:rPr>
          <w:rFonts w:hint="eastAsia"/>
        </w:rPr>
        <w:t>考虑分析区内的建筑物之间遮挡；</w:t>
      </w:r>
    </w:p>
    <w:p>
      <w:pPr>
        <w:pStyle w:val="4"/>
      </w:pPr>
      <w:bookmarkStart w:id="76" w:name="_Toc14249"/>
      <w:r>
        <w:rPr>
          <w:rFonts w:hint="eastAsia"/>
        </w:rPr>
        <w:t>建筑饰面材料参数</w:t>
      </w:r>
      <w:bookmarkEnd w:id="69"/>
      <w:bookmarkEnd w:id="76"/>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r>
              <w:rPr>
                <w:rFonts w:hint="eastAsia"/>
              </w:rPr>
              <w:t>位置</w:t>
            </w:r>
          </w:p>
        </w:tc>
        <w:tc>
          <w:tcPr>
            <w:tcW w:w="1661" w:type="dxa"/>
            <w:tcBorders>
              <w:top w:val="single" w:color="auto" w:sz="12" w:space="0"/>
              <w:bottom w:val="single" w:color="auto" w:sz="4" w:space="0"/>
            </w:tcBorders>
            <w:shd w:val="clear" w:color="auto" w:fill="E6E6E6"/>
            <w:vAlign w:val="center"/>
          </w:tcPr>
          <w:p>
            <w:r>
              <w:rPr>
                <w:rFonts w:hint="eastAsia"/>
              </w:rPr>
              <w:t>顶棚</w:t>
            </w:r>
          </w:p>
        </w:tc>
        <w:tc>
          <w:tcPr>
            <w:tcW w:w="1661" w:type="dxa"/>
            <w:tcBorders>
              <w:top w:val="single" w:color="auto" w:sz="12" w:space="0"/>
              <w:bottom w:val="single" w:color="auto" w:sz="4" w:space="0"/>
            </w:tcBorders>
            <w:shd w:val="clear" w:color="auto" w:fill="E6E6E6"/>
          </w:tcPr>
          <w:p>
            <w:r>
              <w:rPr>
                <w:rFonts w:hint="eastAsia"/>
              </w:rPr>
              <w:t>地面</w:t>
            </w:r>
          </w:p>
        </w:tc>
        <w:tc>
          <w:tcPr>
            <w:tcW w:w="1661" w:type="dxa"/>
            <w:tcBorders>
              <w:top w:val="single" w:color="auto" w:sz="12" w:space="0"/>
              <w:bottom w:val="single" w:color="auto" w:sz="4" w:space="0"/>
            </w:tcBorders>
            <w:shd w:val="clear" w:color="auto" w:fill="E6E6E6"/>
          </w:tcPr>
          <w:p>
            <w:r>
              <w:rPr>
                <w:rFonts w:hint="eastAsia"/>
              </w:rPr>
              <w:t>墙面</w:t>
            </w:r>
          </w:p>
        </w:tc>
        <w:tc>
          <w:tcPr>
            <w:tcW w:w="166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r>
              <w:rPr>
                <w:rFonts w:hint="eastAsia"/>
              </w:rPr>
              <w:t>反射比材料设计取值</w:t>
            </w:r>
          </w:p>
        </w:tc>
        <w:tc>
          <w:tcPr>
            <w:tcW w:w="1661" w:type="dxa"/>
            <w:tcBorders>
              <w:top w:val="single" w:color="auto" w:sz="4" w:space="0"/>
            </w:tcBorders>
            <w:shd w:val="clear" w:color="auto" w:fill="auto"/>
            <w:vAlign w:val="center"/>
          </w:tcPr>
          <w:p>
            <w:bookmarkStart w:id="77" w:name="顶棚反射比"/>
            <w:r>
              <w:rPr>
                <w:rFonts w:hint="eastAsia"/>
              </w:rPr>
              <w:t>0.75</w:t>
            </w:r>
            <w:bookmarkEnd w:id="77"/>
          </w:p>
        </w:tc>
        <w:tc>
          <w:tcPr>
            <w:tcW w:w="1661" w:type="dxa"/>
            <w:tcBorders>
              <w:top w:val="single" w:color="auto" w:sz="4" w:space="0"/>
            </w:tcBorders>
            <w:vAlign w:val="center"/>
          </w:tcPr>
          <w:p>
            <w:bookmarkStart w:id="78" w:name="地面反射比"/>
            <w:r>
              <w:rPr>
                <w:rFonts w:hint="eastAsia"/>
              </w:rPr>
              <w:t>0.30</w:t>
            </w:r>
            <w:bookmarkEnd w:id="78"/>
          </w:p>
        </w:tc>
        <w:tc>
          <w:tcPr>
            <w:tcW w:w="1661" w:type="dxa"/>
            <w:tcBorders>
              <w:top w:val="single" w:color="auto" w:sz="4" w:space="0"/>
            </w:tcBorders>
            <w:vAlign w:val="center"/>
          </w:tcPr>
          <w:p>
            <w:bookmarkStart w:id="79" w:name="墙面反射比"/>
            <w:r>
              <w:rPr>
                <w:rFonts w:hint="eastAsia"/>
              </w:rPr>
              <w:t>0.60</w:t>
            </w:r>
            <w:bookmarkEnd w:id="79"/>
          </w:p>
        </w:tc>
        <w:tc>
          <w:tcPr>
            <w:tcW w:w="1662" w:type="dxa"/>
            <w:tcBorders>
              <w:top w:val="single" w:color="auto" w:sz="4" w:space="0"/>
            </w:tcBorders>
            <w:vAlign w:val="center"/>
          </w:tcPr>
          <w:p>
            <w:bookmarkStart w:id="80" w:name="外表面反射比"/>
            <w:r>
              <w:rPr>
                <w:rFonts w:hint="eastAsia"/>
              </w:rPr>
              <w:t>0.50</w:t>
            </w:r>
            <w:bookmarkEnd w:id="80"/>
          </w:p>
        </w:tc>
      </w:tr>
    </w:tbl>
    <w:p>
      <w:pPr>
        <w:pStyle w:val="14"/>
        <w:spacing w:line="360" w:lineRule="auto"/>
        <w:ind w:firstLine="360"/>
        <w:rPr>
          <w:rFonts w:ascii="Times New Roman" w:hAnsi="Times New Roman"/>
          <w:sz w:val="18"/>
          <w:szCs w:val="18"/>
        </w:rPr>
      </w:pPr>
    </w:p>
    <w:p>
      <w:pPr>
        <w:pStyle w:val="4"/>
      </w:pPr>
      <w:bookmarkStart w:id="81" w:name="_Toc21427"/>
      <w:r>
        <w:rPr>
          <w:rFonts w:hint="eastAsia"/>
        </w:rPr>
        <w:t>门窗类型参数</w:t>
      </w:r>
      <w:bookmarkEnd w:id="81"/>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82" w:name="_Toc30211"/>
      <w:bookmarkStart w:id="83" w:name="窗"/>
      <w:r>
        <w:t>普通</w:t>
      </w:r>
      <w:r>
        <w:rPr>
          <w:rFonts w:hint="eastAsia"/>
        </w:rPr>
        <w:t>窗</w:t>
      </w:r>
      <w:bookmarkEnd w:id="82"/>
    </w:p>
    <w:bookmarkEnd w:id="83"/>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C0612</w:t>
            </w:r>
          </w:p>
        </w:tc>
        <w:tc>
          <w:tcPr>
            <w:vAlign w:val="center"/>
          </w:tcPr>
          <w:p>
            <w:r>
              <w:t>600</w:t>
            </w:r>
          </w:p>
        </w:tc>
        <w:tc>
          <w:tcPr>
            <w:vAlign w:val="center"/>
          </w:tcPr>
          <w:p>
            <w:r>
              <w:t>1200</w:t>
            </w:r>
          </w:p>
        </w:tc>
        <w:tc>
          <w:tcPr>
            <w:vAlign w:val="center"/>
          </w:tcPr>
          <w:p>
            <w:r>
              <w:t>单层铝窗</w:t>
            </w:r>
          </w:p>
        </w:tc>
        <w:tc>
          <w:tcPr>
            <w:vAlign w:val="center"/>
          </w:tcPr>
          <w:p>
            <w:r>
              <w:t>双银Low-E</w:t>
            </w:r>
          </w:p>
        </w:tc>
        <w:tc>
          <w:tcPr>
            <w:vAlign w:val="center"/>
          </w:tcPr>
          <w:p>
            <w:r>
              <w:t>0.68</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C0615</w:t>
            </w:r>
          </w:p>
        </w:tc>
        <w:tc>
          <w:tcPr>
            <w:vAlign w:val="center"/>
          </w:tcPr>
          <w:p>
            <w:r>
              <w:t>600</w:t>
            </w:r>
          </w:p>
        </w:tc>
        <w:tc>
          <w:tcPr>
            <w:vAlign w:val="center"/>
          </w:tcPr>
          <w:p>
            <w:r>
              <w:t>1500</w:t>
            </w:r>
          </w:p>
        </w:tc>
        <w:tc>
          <w:tcPr>
            <w:vAlign w:val="center"/>
          </w:tcPr>
          <w:p>
            <w:r>
              <w:t>双层木窗</w:t>
            </w:r>
          </w:p>
        </w:tc>
        <w:tc>
          <w:tcPr>
            <w:vAlign w:val="center"/>
          </w:tcPr>
          <w:p>
            <w:r>
              <w:t>硬镀膜低辐射玻璃</w:t>
            </w:r>
          </w:p>
        </w:tc>
        <w:tc>
          <w:tcPr>
            <w:vAlign w:val="center"/>
          </w:tcPr>
          <w:p>
            <w:r>
              <w:t>0.39</w:t>
            </w:r>
          </w:p>
        </w:tc>
        <w:tc>
          <w:tcPr>
            <w:vAlign w:val="center"/>
          </w:tcPr>
          <w:p>
            <w:r>
              <w:t>0.10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C0620</w:t>
            </w:r>
          </w:p>
        </w:tc>
        <w:tc>
          <w:tcPr>
            <w:vAlign w:val="center"/>
          </w:tcPr>
          <w:p>
            <w:r>
              <w:t>600</w:t>
            </w:r>
          </w:p>
        </w:tc>
        <w:tc>
          <w:tcPr>
            <w:vAlign w:val="center"/>
          </w:tcPr>
          <w:p>
            <w:r>
              <w:t>1000</w:t>
            </w:r>
          </w:p>
        </w:tc>
        <w:tc>
          <w:tcPr>
            <w:vAlign w:val="center"/>
          </w:tcPr>
          <w:p>
            <w:r>
              <w:t>双层木窗</w:t>
            </w:r>
          </w:p>
        </w:tc>
        <w:tc>
          <w:tcPr>
            <w:vAlign w:val="center"/>
          </w:tcPr>
          <w:p>
            <w:r>
              <w:t>硬镀膜低辐射玻璃</w:t>
            </w:r>
          </w:p>
        </w:tc>
        <w:tc>
          <w:tcPr>
            <w:vAlign w:val="center"/>
          </w:tcPr>
          <w:p>
            <w:r>
              <w:t>0.39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C0625</w:t>
            </w:r>
          </w:p>
        </w:tc>
        <w:tc>
          <w:tcPr>
            <w:vAlign w:val="center"/>
          </w:tcPr>
          <w:p>
            <w:r>
              <w:t>600</w:t>
            </w:r>
          </w:p>
        </w:tc>
        <w:tc>
          <w:tcPr>
            <w:vAlign w:val="center"/>
          </w:tcPr>
          <w:p>
            <w:r>
              <w:t>2500</w:t>
            </w:r>
          </w:p>
        </w:tc>
        <w:tc>
          <w:tcPr>
            <w:vAlign w:val="center"/>
          </w:tcPr>
          <w:p>
            <w:r>
              <w:t>单层铝窗</w:t>
            </w:r>
          </w:p>
        </w:tc>
        <w:tc>
          <w:tcPr>
            <w:vAlign w:val="center"/>
          </w:tcPr>
          <w:p>
            <w:r>
              <w:t>双银Low-E</w:t>
            </w:r>
          </w:p>
        </w:tc>
        <w:tc>
          <w:tcPr>
            <w:vAlign w:val="center"/>
          </w:tcPr>
          <w:p>
            <w:r>
              <w:t>0.68</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C0630</w:t>
            </w:r>
          </w:p>
        </w:tc>
        <w:tc>
          <w:tcPr>
            <w:vAlign w:val="center"/>
          </w:tcPr>
          <w:p>
            <w:r>
              <w:t>600</w:t>
            </w:r>
          </w:p>
        </w:tc>
        <w:tc>
          <w:tcPr>
            <w:vAlign w:val="center"/>
          </w:tcPr>
          <w:p>
            <w:r>
              <w:t>3000</w:t>
            </w:r>
          </w:p>
        </w:tc>
        <w:tc>
          <w:tcPr>
            <w:vAlign w:val="center"/>
          </w:tcPr>
          <w:p>
            <w:r>
              <w:t>单层铝窗</w:t>
            </w:r>
          </w:p>
        </w:tc>
        <w:tc>
          <w:tcPr>
            <w:vAlign w:val="center"/>
          </w:tcPr>
          <w:p>
            <w:r>
              <w:t>普通白玻</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C1010</w:t>
            </w:r>
          </w:p>
        </w:tc>
        <w:tc>
          <w:tcPr>
            <w:vAlign w:val="center"/>
          </w:tcPr>
          <w:p>
            <w:r>
              <w:t>1200</w:t>
            </w:r>
          </w:p>
        </w:tc>
        <w:tc>
          <w:tcPr>
            <w:vAlign w:val="center"/>
          </w:tcPr>
          <w:p>
            <w:r>
              <w:t>1500</w:t>
            </w:r>
          </w:p>
        </w:tc>
        <w:tc>
          <w:tcPr>
            <w:vAlign w:val="center"/>
          </w:tcPr>
          <w:p>
            <w:r>
              <w:t>单层铝窗</w:t>
            </w:r>
          </w:p>
        </w:tc>
        <w:tc>
          <w:tcPr>
            <w:vAlign w:val="center"/>
          </w:tcPr>
          <w:p>
            <w:r>
              <w:t>普通白玻</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C1115</w:t>
            </w:r>
          </w:p>
        </w:tc>
        <w:tc>
          <w:tcPr>
            <w:vAlign w:val="center"/>
          </w:tcPr>
          <w:p>
            <w:r>
              <w:t>1067</w:t>
            </w:r>
          </w:p>
        </w:tc>
        <w:tc>
          <w:tcPr>
            <w:vAlign w:val="center"/>
          </w:tcPr>
          <w:p>
            <w:r>
              <w:t>800</w:t>
            </w:r>
          </w:p>
        </w:tc>
        <w:tc>
          <w:tcPr>
            <w:vAlign w:val="center"/>
          </w:tcPr>
          <w:p>
            <w:r>
              <w:t>双层木窗</w:t>
            </w:r>
          </w:p>
        </w:tc>
        <w:tc>
          <w:tcPr>
            <w:vAlign w:val="center"/>
          </w:tcPr>
          <w:p>
            <w:r>
              <w:t>硬镀膜低辐射玻璃</w:t>
            </w:r>
          </w:p>
        </w:tc>
        <w:tc>
          <w:tcPr>
            <w:vAlign w:val="center"/>
          </w:tcPr>
          <w:p>
            <w:r>
              <w:t>0.39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C1212</w:t>
            </w:r>
          </w:p>
        </w:tc>
        <w:tc>
          <w:tcPr>
            <w:vAlign w:val="center"/>
          </w:tcPr>
          <w:p>
            <w:r>
              <w:t>1200</w:t>
            </w:r>
          </w:p>
        </w:tc>
        <w:tc>
          <w:tcPr>
            <w:vAlign w:val="center"/>
          </w:tcPr>
          <w:p>
            <w:r>
              <w:t>1200</w:t>
            </w:r>
          </w:p>
        </w:tc>
        <w:tc>
          <w:tcPr>
            <w:vAlign w:val="center"/>
          </w:tcPr>
          <w:p>
            <w:r>
              <w:t>单层铝窗</w:t>
            </w:r>
          </w:p>
        </w:tc>
        <w:tc>
          <w:tcPr>
            <w:vAlign w:val="center"/>
          </w:tcPr>
          <w:p>
            <w:r>
              <w:t>双银Low-E</w:t>
            </w:r>
          </w:p>
        </w:tc>
        <w:tc>
          <w:tcPr>
            <w:vAlign w:val="center"/>
          </w:tcPr>
          <w:p>
            <w:r>
              <w:t>0.68</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C1215</w:t>
            </w:r>
          </w:p>
        </w:tc>
        <w:tc>
          <w:tcPr>
            <w:vAlign w:val="center"/>
          </w:tcPr>
          <w:p>
            <w:r>
              <w:t>1200</w:t>
            </w:r>
          </w:p>
        </w:tc>
        <w:tc>
          <w:tcPr>
            <w:vAlign w:val="center"/>
          </w:tcPr>
          <w:p>
            <w:r>
              <w:t>1500</w:t>
            </w:r>
          </w:p>
        </w:tc>
        <w:tc>
          <w:tcPr>
            <w:vAlign w:val="center"/>
          </w:tcPr>
          <w:p>
            <w:r>
              <w:t>双层木窗</w:t>
            </w:r>
          </w:p>
        </w:tc>
        <w:tc>
          <w:tcPr>
            <w:vAlign w:val="center"/>
          </w:tcPr>
          <w:p>
            <w:r>
              <w:t>硬镀膜低辐射玻璃</w:t>
            </w:r>
          </w:p>
        </w:tc>
        <w:tc>
          <w:tcPr>
            <w:vAlign w:val="center"/>
          </w:tcPr>
          <w:p>
            <w:r>
              <w:t>0.39</w:t>
            </w:r>
          </w:p>
        </w:tc>
        <w:tc>
          <w:tcPr>
            <w:vAlign w:val="center"/>
          </w:tcPr>
          <w:p>
            <w:r>
              <w:t>0.10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C1512</w:t>
            </w:r>
          </w:p>
        </w:tc>
        <w:tc>
          <w:tcPr>
            <w:vAlign w:val="center"/>
          </w:tcPr>
          <w:p>
            <w:r>
              <w:t>1500</w:t>
            </w:r>
          </w:p>
        </w:tc>
        <w:tc>
          <w:tcPr>
            <w:vAlign w:val="center"/>
          </w:tcPr>
          <w:p>
            <w:r>
              <w:t>1000</w:t>
            </w:r>
          </w:p>
        </w:tc>
        <w:tc>
          <w:tcPr>
            <w:vAlign w:val="center"/>
          </w:tcPr>
          <w:p>
            <w:r>
              <w:t>单层铝窗</w:t>
            </w:r>
          </w:p>
        </w:tc>
        <w:tc>
          <w:tcPr>
            <w:vAlign w:val="center"/>
          </w:tcPr>
          <w:p>
            <w:r>
              <w:t>双银Low-E</w:t>
            </w:r>
          </w:p>
        </w:tc>
        <w:tc>
          <w:tcPr>
            <w:vAlign w:val="center"/>
          </w:tcPr>
          <w:p>
            <w:r>
              <w:t>0.68</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C1515</w:t>
            </w:r>
          </w:p>
        </w:tc>
        <w:tc>
          <w:tcPr>
            <w:vAlign w:val="center"/>
          </w:tcPr>
          <w:p>
            <w:r>
              <w:t>1500</w:t>
            </w:r>
          </w:p>
        </w:tc>
        <w:tc>
          <w:tcPr>
            <w:vAlign w:val="center"/>
          </w:tcPr>
          <w:p>
            <w:r>
              <w:t>1500</w:t>
            </w:r>
          </w:p>
        </w:tc>
        <w:tc>
          <w:tcPr>
            <w:vAlign w:val="center"/>
          </w:tcPr>
          <w:p>
            <w:r>
              <w:t>双层木窗</w:t>
            </w:r>
          </w:p>
        </w:tc>
        <w:tc>
          <w:tcPr>
            <w:vAlign w:val="center"/>
          </w:tcPr>
          <w:p>
            <w:r>
              <w:t>硬镀膜低辐射玻璃</w:t>
            </w:r>
          </w:p>
        </w:tc>
        <w:tc>
          <w:tcPr>
            <w:vAlign w:val="center"/>
          </w:tcPr>
          <w:p>
            <w:r>
              <w:t>0.39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C1518</w:t>
            </w:r>
          </w:p>
        </w:tc>
        <w:tc>
          <w:tcPr>
            <w:vAlign w:val="center"/>
          </w:tcPr>
          <w:p>
            <w:r>
              <w:t>1500</w:t>
            </w:r>
          </w:p>
        </w:tc>
        <w:tc>
          <w:tcPr>
            <w:vAlign w:val="center"/>
          </w:tcPr>
          <w:p>
            <w:r>
              <w:t>800</w:t>
            </w:r>
          </w:p>
        </w:tc>
        <w:tc>
          <w:tcPr>
            <w:vAlign w:val="center"/>
          </w:tcPr>
          <w:p>
            <w:r>
              <w:t>单层铝窗</w:t>
            </w:r>
          </w:p>
        </w:tc>
        <w:tc>
          <w:tcPr>
            <w:vAlign w:val="center"/>
          </w:tcPr>
          <w:p>
            <w:r>
              <w:t>双银Low-E</w:t>
            </w:r>
          </w:p>
        </w:tc>
        <w:tc>
          <w:tcPr>
            <w:vAlign w:val="center"/>
          </w:tcPr>
          <w:p>
            <w:r>
              <w:t>0.68</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C1520</w:t>
            </w:r>
          </w:p>
        </w:tc>
        <w:tc>
          <w:tcPr>
            <w:vAlign w:val="center"/>
          </w:tcPr>
          <w:p>
            <w:r>
              <w:t>1500</w:t>
            </w:r>
          </w:p>
        </w:tc>
        <w:tc>
          <w:tcPr>
            <w:vAlign w:val="center"/>
          </w:tcPr>
          <w:p>
            <w:r>
              <w:t>2000</w:t>
            </w:r>
          </w:p>
        </w:tc>
        <w:tc>
          <w:tcPr>
            <w:vAlign w:val="center"/>
          </w:tcPr>
          <w:p>
            <w:r>
              <w:t>双层木窗</w:t>
            </w:r>
          </w:p>
        </w:tc>
        <w:tc>
          <w:tcPr>
            <w:vAlign w:val="center"/>
          </w:tcPr>
          <w:p>
            <w:r>
              <w:t>硬镀膜低辐射玻璃</w:t>
            </w:r>
          </w:p>
        </w:tc>
        <w:tc>
          <w:tcPr>
            <w:vAlign w:val="center"/>
          </w:tcPr>
          <w:p>
            <w:r>
              <w:t>0.39</w:t>
            </w:r>
          </w:p>
        </w:tc>
        <w:tc>
          <w:tcPr>
            <w:vAlign w:val="center"/>
          </w:tcPr>
          <w:p>
            <w:r>
              <w:t>0.10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C1555</w:t>
            </w:r>
          </w:p>
        </w:tc>
        <w:tc>
          <w:tcPr>
            <w:vAlign w:val="center"/>
          </w:tcPr>
          <w:p>
            <w:r>
              <w:t>1500</w:t>
            </w:r>
          </w:p>
        </w:tc>
        <w:tc>
          <w:tcPr>
            <w:vAlign w:val="center"/>
          </w:tcPr>
          <w:p>
            <w:r>
              <w:t>1200</w:t>
            </w:r>
          </w:p>
        </w:tc>
        <w:tc>
          <w:tcPr>
            <w:vAlign w:val="center"/>
          </w:tcPr>
          <w:p>
            <w:r>
              <w:t>单层铝窗</w:t>
            </w:r>
          </w:p>
        </w:tc>
        <w:tc>
          <w:tcPr>
            <w:vAlign w:val="center"/>
          </w:tcPr>
          <w:p>
            <w:r>
              <w:t>普通白玻</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C1715</w:t>
            </w:r>
          </w:p>
        </w:tc>
        <w:tc>
          <w:tcPr>
            <w:vAlign w:val="center"/>
          </w:tcPr>
          <w:p>
            <w:r>
              <w:t>1700</w:t>
            </w:r>
          </w:p>
        </w:tc>
        <w:tc>
          <w:tcPr>
            <w:vAlign w:val="center"/>
          </w:tcPr>
          <w:p>
            <w:r>
              <w:t>1500</w:t>
            </w:r>
          </w:p>
        </w:tc>
        <w:tc>
          <w:tcPr>
            <w:vAlign w:val="center"/>
          </w:tcPr>
          <w:p>
            <w:r>
              <w:t>双层木窗</w:t>
            </w:r>
          </w:p>
        </w:tc>
        <w:tc>
          <w:tcPr>
            <w:vAlign w:val="center"/>
          </w:tcPr>
          <w:p>
            <w:r>
              <w:t>遮阳Low-E</w:t>
            </w:r>
          </w:p>
        </w:tc>
        <w:tc>
          <w:tcPr>
            <w:vAlign w:val="center"/>
          </w:tcPr>
          <w:p>
            <w:r>
              <w:t>0.57</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w:t>
            </w:r>
          </w:p>
        </w:tc>
        <w:tc>
          <w:tcPr>
            <w:vAlign w:val="center"/>
          </w:tcPr>
          <w:p>
            <w:r>
              <w:t>2100</w:t>
            </w:r>
          </w:p>
        </w:tc>
        <w:tc>
          <w:tcPr>
            <w:vAlign w:val="center"/>
          </w:tcPr>
          <w:p>
            <w:r>
              <w:t>2000</w:t>
            </w:r>
          </w:p>
        </w:tc>
        <w:tc>
          <w:tcPr>
            <w:vAlign w:val="center"/>
          </w:tcPr>
          <w:p>
            <w:r>
              <w:t>单层铝窗</w:t>
            </w:r>
          </w:p>
        </w:tc>
        <w:tc>
          <w:tcPr>
            <w:vAlign w:val="center"/>
          </w:tcPr>
          <w:p>
            <w:r>
              <w:t>普通白玻</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C1812</w:t>
            </w:r>
          </w:p>
        </w:tc>
        <w:tc>
          <w:tcPr>
            <w:vAlign w:val="center"/>
          </w:tcPr>
          <w:p>
            <w:r>
              <w:t>1800</w:t>
            </w:r>
          </w:p>
        </w:tc>
        <w:tc>
          <w:tcPr>
            <w:vAlign w:val="center"/>
          </w:tcPr>
          <w:p>
            <w:r>
              <w:t>1200</w:t>
            </w:r>
          </w:p>
        </w:tc>
        <w:tc>
          <w:tcPr>
            <w:vAlign w:val="center"/>
          </w:tcPr>
          <w:p>
            <w:r>
              <w:t>单层铝窗</w:t>
            </w:r>
          </w:p>
        </w:tc>
        <w:tc>
          <w:tcPr>
            <w:vAlign w:val="center"/>
          </w:tcPr>
          <w:p>
            <w:r>
              <w:t>夹层玻璃</w:t>
            </w:r>
          </w:p>
        </w:tc>
        <w:tc>
          <w:tcPr>
            <w:vAlign w:val="center"/>
          </w:tcPr>
          <w:p>
            <w:r>
              <w:t>0.86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C1815</w:t>
            </w:r>
          </w:p>
        </w:tc>
        <w:tc>
          <w:tcPr>
            <w:vAlign w:val="center"/>
          </w:tcPr>
          <w:p>
            <w:r>
              <w:t>1800</w:t>
            </w:r>
          </w:p>
        </w:tc>
        <w:tc>
          <w:tcPr>
            <w:vAlign w:val="center"/>
          </w:tcPr>
          <w:p>
            <w:r>
              <w:t>100</w:t>
            </w:r>
          </w:p>
        </w:tc>
        <w:tc>
          <w:tcPr>
            <w:vAlign w:val="center"/>
          </w:tcPr>
          <w:p>
            <w:r>
              <w:t>单层铝窗</w:t>
            </w:r>
          </w:p>
        </w:tc>
        <w:tc>
          <w:tcPr>
            <w:vAlign w:val="center"/>
          </w:tcPr>
          <w:p>
            <w:r>
              <w:t>夹层玻璃</w:t>
            </w:r>
          </w:p>
        </w:tc>
        <w:tc>
          <w:tcPr>
            <w:vAlign w:val="center"/>
          </w:tcPr>
          <w:p>
            <w:r>
              <w:t>0.86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C1818</w:t>
            </w:r>
          </w:p>
        </w:tc>
        <w:tc>
          <w:tcPr>
            <w:vAlign w:val="center"/>
          </w:tcPr>
          <w:p>
            <w:r>
              <w:t>2000</w:t>
            </w:r>
          </w:p>
        </w:tc>
        <w:tc>
          <w:tcPr>
            <w:vAlign w:val="center"/>
          </w:tcPr>
          <w:p>
            <w:r>
              <w:t>1500</w:t>
            </w:r>
          </w:p>
        </w:tc>
        <w:tc>
          <w:tcPr>
            <w:vAlign w:val="center"/>
          </w:tcPr>
          <w:p>
            <w:r>
              <w:t>单层铝窗</w:t>
            </w:r>
          </w:p>
        </w:tc>
        <w:tc>
          <w:tcPr>
            <w:vAlign w:val="center"/>
          </w:tcPr>
          <w:p>
            <w:r>
              <w:t>高透Low-E</w:t>
            </w:r>
          </w:p>
        </w:tc>
        <w:tc>
          <w:tcPr>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C188</w:t>
            </w:r>
          </w:p>
        </w:tc>
        <w:tc>
          <w:tcPr>
            <w:vAlign w:val="center"/>
          </w:tcPr>
          <w:p>
            <w:r>
              <w:t>2000</w:t>
            </w:r>
          </w:p>
        </w:tc>
        <w:tc>
          <w:tcPr>
            <w:vAlign w:val="center"/>
          </w:tcPr>
          <w:p>
            <w:r>
              <w:t>2500</w:t>
            </w:r>
          </w:p>
        </w:tc>
        <w:tc>
          <w:tcPr>
            <w:vAlign w:val="center"/>
          </w:tcPr>
          <w:p>
            <w:r>
              <w:t>单层铝窗</w:t>
            </w:r>
          </w:p>
        </w:tc>
        <w:tc>
          <w:tcPr>
            <w:vAlign w:val="center"/>
          </w:tcPr>
          <w:p>
            <w:r>
              <w:t>普通白玻</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C2012</w:t>
            </w:r>
          </w:p>
        </w:tc>
        <w:tc>
          <w:tcPr>
            <w:vAlign w:val="center"/>
          </w:tcPr>
          <w:p>
            <w:r>
              <w:t>2000</w:t>
            </w:r>
          </w:p>
        </w:tc>
        <w:tc>
          <w:tcPr>
            <w:vAlign w:val="center"/>
          </w:tcPr>
          <w:p>
            <w:r>
              <w:t>1200</w:t>
            </w:r>
          </w:p>
        </w:tc>
        <w:tc>
          <w:tcPr>
            <w:vAlign w:val="center"/>
          </w:tcPr>
          <w:p>
            <w:r>
              <w:t>单层铝窗</w:t>
            </w:r>
          </w:p>
        </w:tc>
        <w:tc>
          <w:tcPr>
            <w:vAlign w:val="center"/>
          </w:tcPr>
          <w:p>
            <w:r>
              <w:t>夹层玻璃</w:t>
            </w:r>
          </w:p>
        </w:tc>
        <w:tc>
          <w:tcPr>
            <w:vAlign w:val="center"/>
          </w:tcPr>
          <w:p>
            <w:r>
              <w:t>0.86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C2015</w:t>
            </w:r>
          </w:p>
        </w:tc>
        <w:tc>
          <w:tcPr>
            <w:vAlign w:val="center"/>
          </w:tcPr>
          <w:p>
            <w:r>
              <w:t>2000</w:t>
            </w:r>
          </w:p>
        </w:tc>
        <w:tc>
          <w:tcPr>
            <w:vAlign w:val="center"/>
          </w:tcPr>
          <w:p>
            <w:r>
              <w:t>800</w:t>
            </w:r>
          </w:p>
        </w:tc>
        <w:tc>
          <w:tcPr>
            <w:vAlign w:val="center"/>
          </w:tcPr>
          <w:p>
            <w:r>
              <w:t>单层铝窗</w:t>
            </w:r>
          </w:p>
        </w:tc>
        <w:tc>
          <w:tcPr>
            <w:vAlign w:val="center"/>
          </w:tcPr>
          <w:p>
            <w:r>
              <w:t>双银Low-E</w:t>
            </w:r>
          </w:p>
        </w:tc>
        <w:tc>
          <w:tcPr>
            <w:vAlign w:val="center"/>
          </w:tcPr>
          <w:p>
            <w:r>
              <w:t>0.68</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C2020</w:t>
            </w:r>
          </w:p>
        </w:tc>
        <w:tc>
          <w:tcPr>
            <w:vAlign w:val="center"/>
          </w:tcPr>
          <w:p>
            <w:r>
              <w:t>2000</w:t>
            </w:r>
          </w:p>
        </w:tc>
        <w:tc>
          <w:tcPr>
            <w:vAlign w:val="center"/>
          </w:tcPr>
          <w:p>
            <w:r>
              <w:t>3000</w:t>
            </w:r>
          </w:p>
        </w:tc>
        <w:tc>
          <w:tcPr>
            <w:vAlign w:val="center"/>
          </w:tcPr>
          <w:p>
            <w:r>
              <w:t>单层铝窗</w:t>
            </w:r>
          </w:p>
        </w:tc>
        <w:tc>
          <w:tcPr>
            <w:vAlign w:val="center"/>
          </w:tcPr>
          <w:p>
            <w:r>
              <w:t>普通白玻</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C2315</w:t>
            </w:r>
          </w:p>
        </w:tc>
        <w:tc>
          <w:tcPr>
            <w:vAlign w:val="center"/>
          </w:tcPr>
          <w:p>
            <w:r>
              <w:t>2300</w:t>
            </w:r>
          </w:p>
        </w:tc>
        <w:tc>
          <w:tcPr>
            <w:vAlign w:val="center"/>
          </w:tcPr>
          <w:p>
            <w:r>
              <w:t>1500</w:t>
            </w:r>
          </w:p>
        </w:tc>
        <w:tc>
          <w:tcPr>
            <w:vAlign w:val="center"/>
          </w:tcPr>
          <w:p>
            <w:r>
              <w:t>双层木窗</w:t>
            </w:r>
          </w:p>
        </w:tc>
        <w:tc>
          <w:tcPr>
            <w:vAlign w:val="center"/>
          </w:tcPr>
          <w:p>
            <w:r>
              <w:t>硬镀膜低辐射玻璃</w:t>
            </w:r>
          </w:p>
        </w:tc>
        <w:tc>
          <w:tcPr>
            <w:vAlign w:val="center"/>
          </w:tcPr>
          <w:p>
            <w:r>
              <w:t>0.39</w:t>
            </w:r>
          </w:p>
        </w:tc>
        <w:tc>
          <w:tcPr>
            <w:vAlign w:val="center"/>
          </w:tcPr>
          <w:p>
            <w:r>
              <w:t>0.10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C2515</w:t>
            </w:r>
          </w:p>
        </w:tc>
        <w:tc>
          <w:tcPr>
            <w:vAlign w:val="center"/>
          </w:tcPr>
          <w:p>
            <w:r>
              <w:t>2500</w:t>
            </w:r>
          </w:p>
        </w:tc>
        <w:tc>
          <w:tcPr>
            <w:vAlign w:val="center"/>
          </w:tcPr>
          <w:p>
            <w:r>
              <w:t>500</w:t>
            </w:r>
          </w:p>
        </w:tc>
        <w:tc>
          <w:tcPr>
            <w:vAlign w:val="center"/>
          </w:tcPr>
          <w:p>
            <w:r>
              <w:t>双层木窗</w:t>
            </w:r>
          </w:p>
        </w:tc>
        <w:tc>
          <w:tcPr>
            <w:vAlign w:val="center"/>
          </w:tcPr>
          <w:p>
            <w:r>
              <w:t>硬镀膜低辐射玻璃</w:t>
            </w:r>
          </w:p>
        </w:tc>
        <w:tc>
          <w:tcPr>
            <w:vAlign w:val="center"/>
          </w:tcPr>
          <w:p>
            <w:r>
              <w:t>0.39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C2912</w:t>
            </w:r>
          </w:p>
        </w:tc>
        <w:tc>
          <w:tcPr>
            <w:vAlign w:val="center"/>
          </w:tcPr>
          <w:p>
            <w:r>
              <w:t>2927</w:t>
            </w:r>
          </w:p>
        </w:tc>
        <w:tc>
          <w:tcPr>
            <w:vAlign w:val="center"/>
          </w:tcPr>
          <w:p>
            <w:r>
              <w:t>1500</w:t>
            </w:r>
          </w:p>
        </w:tc>
        <w:tc>
          <w:tcPr>
            <w:vAlign w:val="center"/>
          </w:tcPr>
          <w:p>
            <w:r>
              <w:t>单层铝窗</w:t>
            </w:r>
          </w:p>
        </w:tc>
        <w:tc>
          <w:tcPr>
            <w:vAlign w:val="center"/>
          </w:tcPr>
          <w:p>
            <w:r>
              <w:t>普通白玻</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C3028</w:t>
            </w:r>
          </w:p>
        </w:tc>
        <w:tc>
          <w:tcPr>
            <w:vAlign w:val="center"/>
          </w:tcPr>
          <w:p>
            <w:r>
              <w:t>3000</w:t>
            </w:r>
          </w:p>
        </w:tc>
        <w:tc>
          <w:tcPr>
            <w:vAlign w:val="center"/>
          </w:tcPr>
          <w:p>
            <w:r>
              <w:t>1500</w:t>
            </w:r>
          </w:p>
        </w:tc>
        <w:tc>
          <w:tcPr>
            <w:vAlign w:val="center"/>
          </w:tcPr>
          <w:p>
            <w:r>
              <w:t>单层铝窗</w:t>
            </w:r>
          </w:p>
        </w:tc>
        <w:tc>
          <w:tcPr>
            <w:vAlign w:val="center"/>
          </w:tcPr>
          <w:p>
            <w:r>
              <w:t>双银Low-E</w:t>
            </w:r>
          </w:p>
        </w:tc>
        <w:tc>
          <w:tcPr>
            <w:vAlign w:val="center"/>
          </w:tcPr>
          <w:p>
            <w:r>
              <w:t>0.68</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C3418</w:t>
            </w:r>
          </w:p>
        </w:tc>
        <w:tc>
          <w:tcPr>
            <w:vAlign w:val="center"/>
          </w:tcPr>
          <w:p>
            <w:r>
              <w:t>3410</w:t>
            </w:r>
          </w:p>
        </w:tc>
        <w:tc>
          <w:tcPr>
            <w:vAlign w:val="center"/>
          </w:tcPr>
          <w:p>
            <w:r>
              <w:t>800</w:t>
            </w:r>
          </w:p>
        </w:tc>
        <w:tc>
          <w:tcPr>
            <w:vAlign w:val="center"/>
          </w:tcPr>
          <w:p>
            <w:r>
              <w:t>双层木窗</w:t>
            </w:r>
          </w:p>
        </w:tc>
        <w:tc>
          <w:tcPr>
            <w:vAlign w:val="center"/>
          </w:tcPr>
          <w:p>
            <w:r>
              <w:t>硬镀膜低辐射玻璃</w:t>
            </w:r>
          </w:p>
        </w:tc>
        <w:tc>
          <w:tcPr>
            <w:vAlign w:val="center"/>
          </w:tcPr>
          <w:p>
            <w:r>
              <w:t>0.39</w:t>
            </w:r>
          </w:p>
        </w:tc>
        <w:tc>
          <w:tcPr>
            <w:vAlign w:val="center"/>
          </w:tcPr>
          <w:p>
            <w:r>
              <w:t>0.10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C3512</w:t>
            </w:r>
          </w:p>
        </w:tc>
        <w:tc>
          <w:tcPr>
            <w:vAlign w:val="center"/>
          </w:tcPr>
          <w:p>
            <w:r>
              <w:t>3539</w:t>
            </w:r>
          </w:p>
        </w:tc>
        <w:tc>
          <w:tcPr>
            <w:vAlign w:val="center"/>
          </w:tcPr>
          <w:p>
            <w:r>
              <w:t>1200</w:t>
            </w:r>
          </w:p>
        </w:tc>
        <w:tc>
          <w:tcPr>
            <w:vAlign w:val="center"/>
          </w:tcPr>
          <w:p>
            <w:r>
              <w:t>单层铝窗</w:t>
            </w:r>
          </w:p>
        </w:tc>
        <w:tc>
          <w:tcPr>
            <w:vAlign w:val="center"/>
          </w:tcPr>
          <w:p>
            <w:r>
              <w:t>双银Low-E</w:t>
            </w:r>
          </w:p>
        </w:tc>
        <w:tc>
          <w:tcPr>
            <w:vAlign w:val="center"/>
          </w:tcPr>
          <w:p>
            <w:r>
              <w:t>0.68</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C555</w:t>
            </w:r>
          </w:p>
        </w:tc>
        <w:tc>
          <w:tcPr>
            <w:vAlign w:val="center"/>
          </w:tcPr>
          <w:p>
            <w:r>
              <w:t>2671</w:t>
            </w:r>
          </w:p>
        </w:tc>
        <w:tc>
          <w:tcPr>
            <w:vAlign w:val="center"/>
          </w:tcPr>
          <w:p>
            <w:r>
              <w:t>1500</w:t>
            </w:r>
          </w:p>
        </w:tc>
        <w:tc>
          <w:tcPr>
            <w:vAlign w:val="center"/>
          </w:tcPr>
          <w:p>
            <w:r>
              <w:t>单层铝窗</w:t>
            </w:r>
          </w:p>
        </w:tc>
        <w:tc>
          <w:tcPr>
            <w:vAlign w:val="center"/>
          </w:tcPr>
          <w:p>
            <w:r>
              <w:t>双银Low-E</w:t>
            </w:r>
          </w:p>
        </w:tc>
        <w:tc>
          <w:tcPr>
            <w:vAlign w:val="center"/>
          </w:tcPr>
          <w:p>
            <w:r>
              <w:t>0.68</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C888</w:t>
            </w:r>
          </w:p>
        </w:tc>
        <w:tc>
          <w:tcPr>
            <w:vAlign w:val="center"/>
          </w:tcPr>
          <w:p>
            <w:r>
              <w:t>2000</w:t>
            </w:r>
          </w:p>
        </w:tc>
        <w:tc>
          <w:tcPr>
            <w:vAlign w:val="center"/>
          </w:tcPr>
          <w:p>
            <w:r>
              <w:t>2000</w:t>
            </w:r>
          </w:p>
        </w:tc>
        <w:tc>
          <w:tcPr>
            <w:vAlign w:val="center"/>
          </w:tcPr>
          <w:p>
            <w:r>
              <w:t>单层铝窗</w:t>
            </w:r>
          </w:p>
        </w:tc>
        <w:tc>
          <w:tcPr>
            <w:vAlign w:val="center"/>
          </w:tcPr>
          <w:p>
            <w:r>
              <w:t>普通白玻</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C89</w:t>
            </w:r>
          </w:p>
        </w:tc>
        <w:tc>
          <w:tcPr>
            <w:vAlign w:val="center"/>
          </w:tcPr>
          <w:p>
            <w:r>
              <w:t>2269</w:t>
            </w:r>
          </w:p>
        </w:tc>
        <w:tc>
          <w:tcPr>
            <w:vAlign w:val="center"/>
          </w:tcPr>
          <w:p>
            <w:r>
              <w:t>2000</w:t>
            </w:r>
          </w:p>
        </w:tc>
        <w:tc>
          <w:tcPr>
            <w:vAlign w:val="center"/>
          </w:tcPr>
          <w:p>
            <w:r>
              <w:t>单层铝窗</w:t>
            </w:r>
          </w:p>
        </w:tc>
        <w:tc>
          <w:tcPr>
            <w:vAlign w:val="center"/>
          </w:tcPr>
          <w:p>
            <w:r>
              <w:t>普通白玻</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Cct</w:t>
            </w:r>
          </w:p>
        </w:tc>
        <w:tc>
          <w:tcPr>
            <w:vAlign w:val="center"/>
          </w:tcPr>
          <w:p>
            <w:r>
              <w:t>1200</w:t>
            </w:r>
          </w:p>
        </w:tc>
        <w:tc>
          <w:tcPr>
            <w:vAlign w:val="center"/>
          </w:tcPr>
          <w:p>
            <w:r>
              <w:t>800</w:t>
            </w:r>
          </w:p>
        </w:tc>
        <w:tc>
          <w:tcPr>
            <w:vAlign w:val="center"/>
          </w:tcPr>
          <w:p>
            <w:r>
              <w:t>双层木窗</w:t>
            </w:r>
          </w:p>
        </w:tc>
        <w:tc>
          <w:tcPr>
            <w:vAlign w:val="center"/>
          </w:tcPr>
          <w:p>
            <w:r>
              <w:t>硬镀膜低辐射玻璃</w:t>
            </w:r>
          </w:p>
        </w:tc>
        <w:tc>
          <w:tcPr>
            <w:vAlign w:val="center"/>
          </w:tcPr>
          <w:p>
            <w:r>
              <w:t>0.39</w:t>
            </w:r>
          </w:p>
        </w:tc>
        <w:tc>
          <w:tcPr>
            <w:vAlign w:val="center"/>
          </w:tcPr>
          <w:p>
            <w:r>
              <w:t>0.10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Cty</w:t>
            </w:r>
          </w:p>
        </w:tc>
        <w:tc>
          <w:tcPr>
            <w:vAlign w:val="center"/>
          </w:tcPr>
          <w:p>
            <w:r>
              <w:t>600</w:t>
            </w:r>
          </w:p>
        </w:tc>
        <w:tc>
          <w:tcPr>
            <w:vAlign w:val="center"/>
          </w:tcPr>
          <w:p>
            <w:r>
              <w:t>3600</w:t>
            </w:r>
          </w:p>
        </w:tc>
        <w:tc>
          <w:tcPr>
            <w:vAlign w:val="center"/>
          </w:tcPr>
          <w:p>
            <w:r>
              <w:t>双层木窗</w:t>
            </w:r>
          </w:p>
        </w:tc>
        <w:tc>
          <w:tcPr>
            <w:vAlign w:val="center"/>
          </w:tcPr>
          <w:p>
            <w:r>
              <w:t>硬镀膜低辐射玻璃</w:t>
            </w:r>
          </w:p>
        </w:tc>
        <w:tc>
          <w:tcPr>
            <w:vAlign w:val="center"/>
          </w:tcPr>
          <w:p>
            <w:r>
              <w:t>0.39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84" w:name="_Toc3452"/>
      <w:bookmarkStart w:id="85" w:name="幕墙"/>
      <w:r>
        <w:rPr>
          <w:rFonts w:hint="eastAsia"/>
        </w:rPr>
        <w:t>玻璃幕墙</w:t>
      </w:r>
      <w:bookmarkEnd w:id="84"/>
    </w:p>
    <w:bookmarkEnd w:id="85"/>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3804</w:t>
            </w:r>
          </w:p>
        </w:tc>
        <w:tc>
          <w:tcPr>
            <w:vAlign w:val="center"/>
          </w:tcPr>
          <w:p>
            <w:r>
              <w:t>4300</w:t>
            </w:r>
          </w:p>
        </w:tc>
        <w:tc>
          <w:tcPr>
            <w:vAlign w:val="center"/>
          </w:tcPr>
          <w:p>
            <w:r>
              <w:t>双层铝窗</w:t>
            </w:r>
          </w:p>
        </w:tc>
        <w:tc>
          <w:tcPr>
            <w:vAlign w:val="center"/>
          </w:tcPr>
          <w:p>
            <w:r>
              <w:t>双银Low-E</w:t>
            </w:r>
          </w:p>
        </w:tc>
        <w:tc>
          <w:tcPr>
            <w:vAlign w:val="center"/>
          </w:tcPr>
          <w:p>
            <w:r>
              <w:t>0.68</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86" w:name="窗污染折减系数"/>
      <w:bookmarkEnd w:id="86"/>
    </w:p>
    <w:p>
      <w:pPr>
        <w:pStyle w:val="2"/>
        <w:ind w:left="432" w:hanging="432"/>
      </w:pPr>
      <w:bookmarkStart w:id="87" w:name="_Toc26306"/>
      <w:r>
        <w:rPr>
          <w:rFonts w:hint="eastAsia"/>
        </w:rPr>
        <w:t>动态采光达标统计</w:t>
      </w:r>
      <w:bookmarkEnd w:id="87"/>
    </w:p>
    <w:p>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79"/>
        <w:gridCol w:w="743"/>
        <w:gridCol w:w="160"/>
        <w:gridCol w:w="1090"/>
        <w:gridCol w:w="165"/>
        <w:gridCol w:w="585"/>
        <w:gridCol w:w="750"/>
        <w:gridCol w:w="80"/>
        <w:gridCol w:w="942"/>
        <w:gridCol w:w="473"/>
        <w:gridCol w:w="549"/>
        <w:gridCol w:w="1431"/>
        <w:gridCol w:w="58"/>
        <w:gridCol w:w="1489"/>
        <w:gridCol w:w="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pPr>
              <w:jc w:val="center"/>
            </w:pPr>
            <w:r>
              <w:t>楼层</w:t>
            </w:r>
          </w:p>
        </w:tc>
        <w:tc>
          <w:tcPr>
            <w:gridSpan w:val="2"/>
            <w:shd w:val="clear" w:color="auto" w:fill="E6E6E6"/>
            <w:vAlign w:val="center"/>
          </w:tcPr>
          <w:p>
            <w:pPr>
              <w:jc w:val="center"/>
            </w:pPr>
            <w:r>
              <w:t>房间</w:t>
            </w:r>
            <w:r>
              <w:br w:type="textWrapping"/>
            </w:r>
            <w:r>
              <w:t>编号</w:t>
            </w:r>
          </w:p>
        </w:tc>
        <w:tc>
          <w:tcPr>
            <w:shd w:val="clear" w:color="auto" w:fill="E6E6E6"/>
            <w:vAlign w:val="center"/>
          </w:tcPr>
          <w:p>
            <w:pPr>
              <w:jc w:val="center"/>
            </w:pPr>
            <w:r>
              <w:t>房间类型</w:t>
            </w:r>
          </w:p>
        </w:tc>
        <w:tc>
          <w:tcPr>
            <w:gridSpan w:val="2"/>
            <w:shd w:val="clear" w:color="auto" w:fill="E6E6E6"/>
            <w:vAlign w:val="center"/>
          </w:tcPr>
          <w:p>
            <w:pPr>
              <w:jc w:val="center"/>
            </w:pPr>
            <w:r>
              <w:t>采光</w:t>
            </w:r>
            <w:r>
              <w:br w:type="textWrapping"/>
            </w:r>
            <w:r>
              <w:t>等级</w:t>
            </w:r>
          </w:p>
        </w:tc>
        <w:tc>
          <w:tcPr>
            <w:shd w:val="clear" w:color="auto" w:fill="E6E6E6"/>
            <w:vAlign w:val="center"/>
          </w:tcPr>
          <w:p>
            <w:pPr>
              <w:jc w:val="center"/>
            </w:pPr>
            <w:r>
              <w:t>采光</w:t>
            </w:r>
            <w:r>
              <w:br w:type="textWrapping"/>
            </w:r>
            <w:r>
              <w:t>类型</w:t>
            </w:r>
          </w:p>
        </w:tc>
        <w:tc>
          <w:tcPr>
            <w:gridSpan w:val="2"/>
            <w:shd w:val="clear" w:color="auto" w:fill="E6E6E6"/>
            <w:vAlign w:val="center"/>
          </w:tcPr>
          <w:p>
            <w:pPr>
              <w:jc w:val="center"/>
            </w:pPr>
            <w:r>
              <w:t>设计照度</w:t>
            </w:r>
            <w:r>
              <w:br w:type="textWrapping"/>
            </w:r>
            <w:r>
              <w:t>要求(Lx)</w:t>
            </w:r>
          </w:p>
        </w:tc>
        <w:tc>
          <w:tcPr>
            <w:gridSpan w:val="2"/>
            <w:shd w:val="clear" w:color="auto" w:fill="E6E6E6"/>
            <w:vAlign w:val="center"/>
          </w:tcPr>
          <w:p>
            <w:pPr>
              <w:jc w:val="center"/>
            </w:pPr>
            <w:r>
              <w:t>房间面积</w:t>
            </w:r>
            <w:r>
              <w:br w:type="textWrapping"/>
            </w:r>
            <w:r>
              <w:t>(m2)</w:t>
            </w:r>
          </w:p>
        </w:tc>
        <w:tc>
          <w:tcPr>
            <w:gridSpan w:val="2"/>
            <w:shd w:val="clear" w:color="auto" w:fill="E6E6E6"/>
            <w:vAlign w:val="center"/>
          </w:tcPr>
          <w:p>
            <w:pPr>
              <w:jc w:val="center"/>
            </w:pPr>
            <w:r>
              <w:t>达标面积</w:t>
            </w:r>
            <w:r>
              <w:br w:type="textWrapping"/>
            </w:r>
            <w:r>
              <w:t>比例(%)</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1</w:t>
            </w:r>
          </w:p>
        </w:tc>
        <w:tc>
          <w:tcPr>
            <w:gridSpan w:val="2"/>
            <w:vAlign w:val="center"/>
          </w:tcPr>
          <w:p>
            <w:pPr>
              <w:jc w:val="center"/>
            </w:pPr>
            <w:r>
              <w:t>1001</w:t>
            </w:r>
          </w:p>
        </w:tc>
        <w:tc>
          <w:tcPr>
            <w:vAlign w:val="center"/>
          </w:tcPr>
          <w:p>
            <w:pPr>
              <w:jc w:val="center"/>
            </w:pPr>
            <w:r>
              <w:t>体育馆场地</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81.92</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1001</w:t>
            </w:r>
          </w:p>
        </w:tc>
        <w:tc>
          <w:tcPr>
            <w:vAlign w:val="center"/>
          </w:tcPr>
          <w:p>
            <w:pPr>
              <w:jc w:val="center"/>
            </w:pPr>
            <w:r>
              <w:t>多功能活动区</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81.63</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1001</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50.44</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1001</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101.44</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1001</w:t>
            </w:r>
          </w:p>
        </w:tc>
        <w:tc>
          <w:tcPr>
            <w:vAlign w:val="center"/>
          </w:tcPr>
          <w:p>
            <w:pPr>
              <w:jc w:val="center"/>
            </w:pPr>
            <w:r>
              <w:t>活动室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54.93</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1001</w:t>
            </w:r>
          </w:p>
        </w:tc>
        <w:tc>
          <w:tcPr>
            <w:vAlign w:val="center"/>
          </w:tcPr>
          <w:p>
            <w:pPr>
              <w:jc w:val="center"/>
            </w:pPr>
            <w:r>
              <w:t>活动室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44.86</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1001</w:t>
            </w:r>
          </w:p>
        </w:tc>
        <w:tc>
          <w:tcPr>
            <w:vAlign w:val="center"/>
          </w:tcPr>
          <w:p>
            <w:pPr>
              <w:jc w:val="center"/>
            </w:pPr>
            <w:r>
              <w:t>活动室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70.85</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1001</w:t>
            </w:r>
          </w:p>
        </w:tc>
        <w:tc>
          <w:tcPr>
            <w:vAlign w:val="center"/>
          </w:tcPr>
          <w:p>
            <w:pPr>
              <w:jc w:val="center"/>
            </w:pPr>
            <w:r>
              <w:t>活动室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167.10</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1002</w:t>
            </w:r>
          </w:p>
        </w:tc>
        <w:tc>
          <w:tcPr>
            <w:vAlign w:val="center"/>
          </w:tcPr>
          <w:p>
            <w:pPr>
              <w:jc w:val="center"/>
            </w:pPr>
            <w:r>
              <w:t>多功能活动区</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94.64</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1002</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32.03</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1002</w:t>
            </w:r>
          </w:p>
        </w:tc>
        <w:tc>
          <w:tcPr>
            <w:vAlign w:val="center"/>
          </w:tcPr>
          <w:p>
            <w:pPr>
              <w:jc w:val="center"/>
            </w:pPr>
            <w:r>
              <w:t>档案室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51.25</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1003</w:t>
            </w:r>
          </w:p>
        </w:tc>
        <w:tc>
          <w:tcPr>
            <w:vAlign w:val="center"/>
          </w:tcPr>
          <w:p>
            <w:pPr>
              <w:jc w:val="center"/>
            </w:pPr>
            <w:r>
              <w:t>诊室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51.25</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1017</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42.82</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2</w:t>
            </w:r>
          </w:p>
        </w:tc>
        <w:tc>
          <w:tcPr>
            <w:gridSpan w:val="2"/>
            <w:vAlign w:val="center"/>
          </w:tcPr>
          <w:p>
            <w:pPr>
              <w:jc w:val="center"/>
            </w:pPr>
            <w:r>
              <w:t>2001</w:t>
            </w:r>
          </w:p>
        </w:tc>
        <w:tc>
          <w:tcPr>
            <w:vAlign w:val="center"/>
          </w:tcPr>
          <w:p>
            <w:pPr>
              <w:jc w:val="center"/>
            </w:pPr>
            <w:r>
              <w:t>体育馆场地</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133.77</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2001</w:t>
            </w:r>
          </w:p>
        </w:tc>
        <w:tc>
          <w:tcPr>
            <w:vAlign w:val="center"/>
          </w:tcPr>
          <w:p>
            <w:pPr>
              <w:jc w:val="center"/>
            </w:pPr>
            <w:r>
              <w:t>活动室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81.63</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2001</w:t>
            </w:r>
          </w:p>
        </w:tc>
        <w:tc>
          <w:tcPr>
            <w:vAlign w:val="center"/>
          </w:tcPr>
          <w:p>
            <w:pPr>
              <w:jc w:val="center"/>
            </w:pPr>
            <w:r>
              <w:t>活动室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42.78</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2001</w:t>
            </w:r>
          </w:p>
        </w:tc>
        <w:tc>
          <w:tcPr>
            <w:vAlign w:val="center"/>
          </w:tcPr>
          <w:p>
            <w:pPr>
              <w:jc w:val="center"/>
            </w:pPr>
            <w:r>
              <w:t>餐厅</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115.38</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2002</w:t>
            </w:r>
          </w:p>
        </w:tc>
        <w:tc>
          <w:tcPr>
            <w:vAlign w:val="center"/>
          </w:tcPr>
          <w:p>
            <w:pPr>
              <w:jc w:val="center"/>
            </w:pPr>
            <w:r>
              <w:t>会议室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29.84</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2002</w:t>
            </w:r>
          </w:p>
        </w:tc>
        <w:tc>
          <w:tcPr>
            <w:vAlign w:val="center"/>
          </w:tcPr>
          <w:p>
            <w:pPr>
              <w:jc w:val="center"/>
            </w:pPr>
            <w:r>
              <w:t>办公室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50.44</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2003</w:t>
            </w:r>
          </w:p>
        </w:tc>
        <w:tc>
          <w:tcPr>
            <w:vAlign w:val="center"/>
          </w:tcPr>
          <w:p>
            <w:pPr>
              <w:jc w:val="center"/>
            </w:pPr>
            <w:r>
              <w:t>办公室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22.15</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2003</w:t>
            </w:r>
          </w:p>
        </w:tc>
        <w:tc>
          <w:tcPr>
            <w:vAlign w:val="center"/>
          </w:tcPr>
          <w:p>
            <w:pPr>
              <w:jc w:val="center"/>
            </w:pPr>
            <w:r>
              <w:t>活动室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67.53</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2004</w:t>
            </w:r>
          </w:p>
        </w:tc>
        <w:tc>
          <w:tcPr>
            <w:vAlign w:val="center"/>
          </w:tcPr>
          <w:p>
            <w:pPr>
              <w:jc w:val="center"/>
            </w:pPr>
            <w:r>
              <w:t>办公室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22.49</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2006</w:t>
            </w:r>
          </w:p>
        </w:tc>
        <w:tc>
          <w:tcPr>
            <w:vAlign w:val="center"/>
          </w:tcPr>
          <w:p>
            <w:pPr>
              <w:jc w:val="center"/>
            </w:pPr>
            <w:r>
              <w:t>阅览室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65.92</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房间类型</w:t>
            </w:r>
          </w:p>
        </w:tc>
        <w:tc>
          <w:tcPr>
            <w:gridSpan w:val="3"/>
            <w:shd w:val="clear" w:color="auto" w:fill="E6E6E6"/>
            <w:vAlign w:val="center"/>
          </w:tcPr>
          <w:p>
            <w:pPr>
              <w:jc w:val="center"/>
            </w:pPr>
            <w:r>
              <w:t>采光类型</w:t>
            </w:r>
          </w:p>
        </w:tc>
        <w:tc>
          <w:tcPr>
            <w:gridSpan w:val="3"/>
            <w:shd w:val="clear" w:color="auto" w:fill="E6E6E6"/>
            <w:vAlign w:val="center"/>
          </w:tcPr>
          <w:p>
            <w:pPr>
              <w:jc w:val="center"/>
            </w:pPr>
            <w:r>
              <w:t>设计照度(Lx)</w:t>
            </w:r>
          </w:p>
        </w:tc>
        <w:tc>
          <w:tcPr>
            <w:gridSpan w:val="2"/>
            <w:shd w:val="clear" w:color="auto" w:fill="E6E6E6"/>
            <w:vAlign w:val="center"/>
          </w:tcPr>
          <w:p>
            <w:pPr>
              <w:jc w:val="center"/>
            </w:pPr>
            <w:r>
              <w:t>总面积(m2)</w:t>
            </w:r>
          </w:p>
        </w:tc>
        <w:tc>
          <w:tcPr>
            <w:gridSpan w:val="2"/>
            <w:shd w:val="clear" w:color="auto" w:fill="E6E6E6"/>
            <w:vAlign w:val="center"/>
          </w:tcPr>
          <w:p>
            <w:pPr>
              <w:jc w:val="center"/>
            </w:pPr>
            <w:r>
              <w:t>达标面积比例(%)</w:t>
            </w:r>
          </w:p>
        </w:tc>
        <w:tc>
          <w:tcPr>
            <w:gridSpan w:val="3"/>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体育馆场地</w:t>
            </w:r>
          </w:p>
        </w:tc>
        <w:tc>
          <w:tcPr>
            <w:gridSpan w:val="3"/>
            <w:vAlign w:val="center"/>
          </w:tcPr>
          <w:p>
            <w:pPr>
              <w:jc w:val="center"/>
            </w:pPr>
            <w:r>
              <w:t>侧面</w:t>
            </w:r>
          </w:p>
        </w:tc>
        <w:tc>
          <w:tcPr>
            <w:gridSpan w:val="3"/>
            <w:vAlign w:val="center"/>
          </w:tcPr>
          <w:p>
            <w:pPr>
              <w:jc w:val="center"/>
            </w:pPr>
            <w:r>
              <w:t>300</w:t>
            </w:r>
          </w:p>
        </w:tc>
        <w:tc>
          <w:tcPr>
            <w:gridSpan w:val="2"/>
            <w:vAlign w:val="center"/>
          </w:tcPr>
          <w:p>
            <w:pPr>
              <w:jc w:val="center"/>
            </w:pPr>
            <w:r>
              <w:t>215.69</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多功能活动区</w:t>
            </w:r>
          </w:p>
        </w:tc>
        <w:tc>
          <w:tcPr>
            <w:gridSpan w:val="3"/>
            <w:vAlign w:val="center"/>
          </w:tcPr>
          <w:p>
            <w:pPr>
              <w:jc w:val="center"/>
            </w:pPr>
            <w:r>
              <w:t>侧面</w:t>
            </w:r>
          </w:p>
        </w:tc>
        <w:tc>
          <w:tcPr>
            <w:gridSpan w:val="3"/>
            <w:vAlign w:val="center"/>
          </w:tcPr>
          <w:p>
            <w:pPr>
              <w:jc w:val="center"/>
            </w:pPr>
            <w:r>
              <w:t>450</w:t>
            </w:r>
          </w:p>
        </w:tc>
        <w:tc>
          <w:tcPr>
            <w:gridSpan w:val="2"/>
            <w:vAlign w:val="center"/>
          </w:tcPr>
          <w:p>
            <w:pPr>
              <w:jc w:val="center"/>
            </w:pPr>
            <w:r>
              <w:t>176.26</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展厅（单层及顶层）</w:t>
            </w:r>
          </w:p>
        </w:tc>
        <w:tc>
          <w:tcPr>
            <w:gridSpan w:val="3"/>
            <w:vAlign w:val="center"/>
          </w:tcPr>
          <w:p>
            <w:pPr>
              <w:jc w:val="center"/>
            </w:pPr>
            <w:r>
              <w:t>侧面</w:t>
            </w:r>
          </w:p>
        </w:tc>
        <w:tc>
          <w:tcPr>
            <w:gridSpan w:val="3"/>
            <w:vAlign w:val="center"/>
          </w:tcPr>
          <w:p>
            <w:pPr>
              <w:jc w:val="center"/>
            </w:pPr>
            <w:r>
              <w:t>450</w:t>
            </w:r>
          </w:p>
        </w:tc>
        <w:tc>
          <w:tcPr>
            <w:gridSpan w:val="2"/>
            <w:vAlign w:val="center"/>
          </w:tcPr>
          <w:p>
            <w:pPr>
              <w:jc w:val="center"/>
            </w:pPr>
            <w:r>
              <w:t>226.72</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活动室</w:t>
            </w:r>
          </w:p>
        </w:tc>
        <w:tc>
          <w:tcPr>
            <w:gridSpan w:val="3"/>
            <w:vAlign w:val="center"/>
          </w:tcPr>
          <w:p>
            <w:pPr>
              <w:jc w:val="center"/>
            </w:pPr>
            <w:r>
              <w:t>侧面</w:t>
            </w:r>
          </w:p>
        </w:tc>
        <w:tc>
          <w:tcPr>
            <w:gridSpan w:val="3"/>
            <w:vAlign w:val="center"/>
          </w:tcPr>
          <w:p>
            <w:pPr>
              <w:jc w:val="center"/>
            </w:pPr>
            <w:r>
              <w:t>450</w:t>
            </w:r>
          </w:p>
        </w:tc>
        <w:tc>
          <w:tcPr>
            <w:gridSpan w:val="2"/>
            <w:vAlign w:val="center"/>
          </w:tcPr>
          <w:p>
            <w:pPr>
              <w:jc w:val="center"/>
            </w:pPr>
            <w:r>
              <w:t>529.68</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档案室</w:t>
            </w:r>
          </w:p>
        </w:tc>
        <w:tc>
          <w:tcPr>
            <w:gridSpan w:val="3"/>
            <w:vAlign w:val="center"/>
          </w:tcPr>
          <w:p>
            <w:pPr>
              <w:jc w:val="center"/>
            </w:pPr>
            <w:r>
              <w:t>侧面</w:t>
            </w:r>
          </w:p>
        </w:tc>
        <w:tc>
          <w:tcPr>
            <w:gridSpan w:val="3"/>
            <w:vAlign w:val="center"/>
          </w:tcPr>
          <w:p>
            <w:pPr>
              <w:jc w:val="center"/>
            </w:pPr>
            <w:r>
              <w:t>300</w:t>
            </w:r>
          </w:p>
        </w:tc>
        <w:tc>
          <w:tcPr>
            <w:gridSpan w:val="2"/>
            <w:vAlign w:val="center"/>
          </w:tcPr>
          <w:p>
            <w:pPr>
              <w:jc w:val="center"/>
            </w:pPr>
            <w:r>
              <w:t>51.25</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诊室</w:t>
            </w:r>
          </w:p>
        </w:tc>
        <w:tc>
          <w:tcPr>
            <w:gridSpan w:val="3"/>
            <w:vAlign w:val="center"/>
          </w:tcPr>
          <w:p>
            <w:pPr>
              <w:jc w:val="center"/>
            </w:pPr>
            <w:r>
              <w:t>侧面</w:t>
            </w:r>
          </w:p>
        </w:tc>
        <w:tc>
          <w:tcPr>
            <w:gridSpan w:val="3"/>
            <w:vAlign w:val="center"/>
          </w:tcPr>
          <w:p>
            <w:pPr>
              <w:jc w:val="center"/>
            </w:pPr>
            <w:r>
              <w:t>450</w:t>
            </w:r>
          </w:p>
        </w:tc>
        <w:tc>
          <w:tcPr>
            <w:gridSpan w:val="2"/>
            <w:vAlign w:val="center"/>
          </w:tcPr>
          <w:p>
            <w:pPr>
              <w:jc w:val="center"/>
            </w:pPr>
            <w:r>
              <w:t>51.25</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餐厅</w:t>
            </w:r>
          </w:p>
        </w:tc>
        <w:tc>
          <w:tcPr>
            <w:gridSpan w:val="3"/>
            <w:vAlign w:val="center"/>
          </w:tcPr>
          <w:p>
            <w:pPr>
              <w:jc w:val="center"/>
            </w:pPr>
            <w:r>
              <w:t>侧面</w:t>
            </w:r>
          </w:p>
        </w:tc>
        <w:tc>
          <w:tcPr>
            <w:gridSpan w:val="3"/>
            <w:vAlign w:val="center"/>
          </w:tcPr>
          <w:p>
            <w:pPr>
              <w:jc w:val="center"/>
            </w:pPr>
            <w:r>
              <w:t>300</w:t>
            </w:r>
          </w:p>
        </w:tc>
        <w:tc>
          <w:tcPr>
            <w:gridSpan w:val="2"/>
            <w:vAlign w:val="center"/>
          </w:tcPr>
          <w:p>
            <w:pPr>
              <w:jc w:val="center"/>
            </w:pPr>
            <w:r>
              <w:t>115.38</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会议室</w:t>
            </w:r>
          </w:p>
        </w:tc>
        <w:tc>
          <w:tcPr>
            <w:gridSpan w:val="3"/>
            <w:vAlign w:val="center"/>
          </w:tcPr>
          <w:p>
            <w:pPr>
              <w:jc w:val="center"/>
            </w:pPr>
            <w:r>
              <w:t>侧面</w:t>
            </w:r>
          </w:p>
        </w:tc>
        <w:tc>
          <w:tcPr>
            <w:gridSpan w:val="3"/>
            <w:vAlign w:val="center"/>
          </w:tcPr>
          <w:p>
            <w:pPr>
              <w:jc w:val="center"/>
            </w:pPr>
            <w:r>
              <w:t>450</w:t>
            </w:r>
          </w:p>
        </w:tc>
        <w:tc>
          <w:tcPr>
            <w:gridSpan w:val="2"/>
            <w:vAlign w:val="center"/>
          </w:tcPr>
          <w:p>
            <w:pPr>
              <w:jc w:val="center"/>
            </w:pPr>
            <w:r>
              <w:t>29.84</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办公室</w:t>
            </w:r>
          </w:p>
        </w:tc>
        <w:tc>
          <w:tcPr>
            <w:gridSpan w:val="3"/>
            <w:vAlign w:val="center"/>
          </w:tcPr>
          <w:p>
            <w:pPr>
              <w:jc w:val="center"/>
            </w:pPr>
            <w:r>
              <w:t>侧面</w:t>
            </w:r>
          </w:p>
        </w:tc>
        <w:tc>
          <w:tcPr>
            <w:gridSpan w:val="3"/>
            <w:vAlign w:val="center"/>
          </w:tcPr>
          <w:p>
            <w:pPr>
              <w:jc w:val="center"/>
            </w:pPr>
            <w:r>
              <w:t>450</w:t>
            </w:r>
          </w:p>
        </w:tc>
        <w:tc>
          <w:tcPr>
            <w:gridSpan w:val="2"/>
            <w:vAlign w:val="center"/>
          </w:tcPr>
          <w:p>
            <w:pPr>
              <w:jc w:val="center"/>
            </w:pPr>
            <w:r>
              <w:t>95.08</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阅览室</w:t>
            </w:r>
          </w:p>
        </w:tc>
        <w:tc>
          <w:tcPr>
            <w:gridSpan w:val="3"/>
            <w:vAlign w:val="center"/>
          </w:tcPr>
          <w:p>
            <w:pPr>
              <w:jc w:val="center"/>
            </w:pPr>
            <w:r>
              <w:t>侧面</w:t>
            </w:r>
          </w:p>
        </w:tc>
        <w:tc>
          <w:tcPr>
            <w:gridSpan w:val="3"/>
            <w:vAlign w:val="center"/>
          </w:tcPr>
          <w:p>
            <w:pPr>
              <w:jc w:val="center"/>
            </w:pPr>
            <w:r>
              <w:t>450</w:t>
            </w:r>
          </w:p>
        </w:tc>
        <w:tc>
          <w:tcPr>
            <w:gridSpan w:val="2"/>
            <w:vAlign w:val="center"/>
          </w:tcPr>
          <w:p>
            <w:pPr>
              <w:jc w:val="center"/>
            </w:pPr>
            <w:r>
              <w:t>65.92</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10"/>
            <w:vAlign w:val="center"/>
          </w:tcPr>
          <w:p>
            <w:pPr>
              <w:jc w:val="center"/>
            </w:pPr>
            <w:r>
              <w:t>多区域面积加权平均</w:t>
            </w:r>
          </w:p>
        </w:tc>
        <w:tc>
          <w:tcPr>
            <w:gridSpan w:val="2"/>
            <w:vAlign w:val="center"/>
          </w:tcPr>
          <w:p>
            <w:pPr>
              <w:jc w:val="center"/>
            </w:pPr>
            <w:r>
              <w:t>100</w:t>
            </w:r>
          </w:p>
        </w:tc>
        <w:tc>
          <w:tcPr>
            <w:gridSpan w:val="3"/>
            <w:vAlign w:val="center"/>
          </w:tcPr>
          <w:p>
            <w:pPr>
              <w:jc w:val="center"/>
            </w:pPr>
            <w:r>
              <w:rPr>
                <w:b/>
              </w:rPr>
              <w:t>3分</w:t>
            </w:r>
          </w:p>
        </w:tc>
      </w:tr>
    </w:tbl>
    <w:p>
      <w:pPr>
        <w:rPr>
          <w:lang w:val="en-US"/>
        </w:rPr>
      </w:pPr>
      <w:bookmarkStart w:id="88" w:name="达标率表格"/>
      <w:bookmarkEnd w:id="88"/>
    </w:p>
    <w:p>
      <w:pPr>
        <w:pStyle w:val="2"/>
        <w:ind w:left="432" w:hanging="432"/>
      </w:pPr>
      <w:bookmarkStart w:id="89" w:name="_Toc513555457"/>
      <w:bookmarkStart w:id="90" w:name="_Toc27402"/>
      <w:r>
        <w:rPr>
          <w:rFonts w:hint="eastAsia"/>
        </w:rPr>
        <w:t>动态采光</w:t>
      </w:r>
      <w:bookmarkEnd w:id="89"/>
      <w:r>
        <w:rPr>
          <w:rFonts w:hint="eastAsia"/>
        </w:rPr>
        <w:t>统计图</w:t>
      </w:r>
      <w:bookmarkEnd w:id="90"/>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91" w:name="逐日统计图"/>
      <w:bookmarkEnd w:id="91"/>
      <w:r>
        <w:drawing>
          <wp:inline distT="0" distB="0" distL="0" distR="0">
            <wp:extent cx="5667375" cy="3124200"/>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7"/>
                    <a:stretch>
                      <a:fillRect/>
                    </a:stretch>
                  </pic:blipFill>
                  <pic:spPr>
                    <a:xfrm>
                      <a:off x="0" y="0"/>
                      <a:ext cx="5667375" cy="3124200"/>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动态采光逐日统计图</w:t>
      </w:r>
    </w:p>
    <w:p>
      <w:pPr>
        <w:pStyle w:val="3"/>
        <w:jc w:val="center"/>
        <w:rPr>
          <w:b/>
          <w:bCs/>
          <w:lang w:val="en-US"/>
        </w:rPr>
      </w:pPr>
      <w:bookmarkStart w:id="92" w:name="逐月统计图"/>
      <w:bookmarkEnd w:id="92"/>
      <w:r>
        <w:drawing>
          <wp:inline distT="0" distB="0" distL="0" distR="0">
            <wp:extent cx="5667375" cy="312420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8"/>
                    <a:stretch>
                      <a:fillRect/>
                    </a:stretch>
                  </pic:blipFill>
                  <pic:spPr>
                    <a:xfrm>
                      <a:off x="0" y="0"/>
                      <a:ext cx="5667375" cy="3124200"/>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动态采光逐月统计图</w:t>
      </w:r>
    </w:p>
    <w:p/>
    <w:p>
      <w:pPr>
        <w:pStyle w:val="2"/>
        <w:ind w:left="432" w:hanging="432"/>
      </w:pPr>
      <w:bookmarkStart w:id="93" w:name="_Toc8278"/>
      <w:r>
        <w:rPr>
          <w:rFonts w:hint="eastAsia"/>
        </w:rPr>
        <w:t>评价结论</w:t>
      </w:r>
      <w:bookmarkEnd w:id="93"/>
    </w:p>
    <w:p>
      <w:pPr>
        <w:pStyle w:val="3"/>
        <w:ind w:firstLine="420" w:firstLineChars="200"/>
      </w:pPr>
      <w:r>
        <w:t>《绿色建筑评价标准》GB/T 50378-2019的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r>
              <w:t>采光总面积（</w:t>
            </w:r>
            <w:r>
              <w:rPr>
                <w:rFonts w:hint="eastAsia"/>
              </w:rPr>
              <w:t>m</w:t>
            </w:r>
            <w:r>
              <w:rPr>
                <w:vertAlign w:val="superscript"/>
              </w:rPr>
              <w:t>2</w:t>
            </w:r>
            <w:r>
              <w:t>）</w:t>
            </w:r>
          </w:p>
        </w:tc>
        <w:tc>
          <w:tcPr>
            <w:tcW w:w="2528" w:type="dxa"/>
            <w:shd w:val="clear" w:color="auto" w:fill="E6E6E6"/>
            <w:vAlign w:val="center"/>
          </w:tcPr>
          <w:p>
            <w:bookmarkStart w:id="94" w:name="动态评价指标"/>
            <w:r>
              <w:rPr>
                <w:rFonts w:hint="eastAsia"/>
              </w:rPr>
              <w:t>达标面积比例(%)</w:t>
            </w:r>
            <w:bookmarkEnd w:id="94"/>
          </w:p>
        </w:tc>
        <w:tc>
          <w:tcPr>
            <w:tcW w:w="2126" w:type="dxa"/>
            <w:shd w:val="clear" w:color="auto" w:fill="E6E6E6"/>
            <w:vAlign w:val="center"/>
          </w:tcPr>
          <w:p>
            <w:r>
              <w:rPr>
                <w:rFonts w:hint="eastAsia"/>
              </w:rPr>
              <w:t>标准</w:t>
            </w:r>
            <w:r>
              <w:t>要求</w:t>
            </w:r>
            <w:r>
              <w:rPr>
                <w:rFonts w:hint="eastAsia"/>
              </w:rPr>
              <w:t>（</w:t>
            </w:r>
            <w:bookmarkStart w:id="95" w:name="动态评价指标单位"/>
            <w:r>
              <w:rPr>
                <w:rFonts w:hint="eastAsia"/>
              </w:rPr>
              <w:t>%</w:t>
            </w:r>
            <w:bookmarkEnd w:id="95"/>
            <w:r>
              <w:rPr>
                <w:rFonts w:hint="eastAsia"/>
              </w:rPr>
              <w:t>）</w:t>
            </w:r>
          </w:p>
        </w:tc>
        <w:tc>
          <w:tcPr>
            <w:tcW w:w="1855" w:type="dxa"/>
            <w:shd w:val="clear" w:color="auto" w:fill="E6E6E6"/>
            <w:vAlign w:val="center"/>
          </w:tcPr>
          <w:p>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pPr>
              <w:pStyle w:val="3"/>
              <w:jc w:val="center"/>
            </w:pPr>
            <w:bookmarkStart w:id="96" w:name="采光面积"/>
            <w:r>
              <w:t>1557.07</w:t>
            </w:r>
            <w:bookmarkEnd w:id="96"/>
          </w:p>
        </w:tc>
        <w:tc>
          <w:tcPr>
            <w:tcW w:w="2528" w:type="dxa"/>
            <w:vAlign w:val="center"/>
          </w:tcPr>
          <w:p>
            <w:pPr>
              <w:pStyle w:val="3"/>
              <w:jc w:val="center"/>
            </w:pPr>
            <w:bookmarkStart w:id="97" w:name="平均时数"/>
            <w:r>
              <w:t>100</w:t>
            </w:r>
            <w:bookmarkEnd w:id="97"/>
          </w:p>
        </w:tc>
        <w:tc>
          <w:tcPr>
            <w:tcW w:w="2126" w:type="dxa"/>
            <w:vAlign w:val="center"/>
          </w:tcPr>
          <w:p>
            <w:pPr>
              <w:pStyle w:val="3"/>
              <w:jc w:val="center"/>
            </w:pPr>
            <w:bookmarkStart w:id="98" w:name="动态评价指标要求"/>
            <w:r>
              <w:rPr>
                <w:rFonts w:hint="eastAsia"/>
              </w:rPr>
              <w:t>60</w:t>
            </w:r>
            <w:bookmarkEnd w:id="98"/>
          </w:p>
        </w:tc>
        <w:tc>
          <w:tcPr>
            <w:tcW w:w="1855" w:type="dxa"/>
            <w:vAlign w:val="center"/>
          </w:tcPr>
          <w:p>
            <w:pPr>
              <w:pStyle w:val="3"/>
              <w:jc w:val="center"/>
            </w:pPr>
            <w:bookmarkStart w:id="99" w:name="动态采光得分"/>
            <w:r>
              <w:rPr>
                <w:rFonts w:hint="eastAsia"/>
              </w:rPr>
              <w:t>3</w:t>
            </w:r>
            <w:bookmarkEnd w:id="99"/>
          </w:p>
        </w:tc>
      </w:tr>
    </w:tbl>
    <w:p>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10</w:t>
    </w:r>
    <w:r>
      <w:fldChar w:fldCharType="end"/>
    </w:r>
    <w:r>
      <w:rPr>
        <w:b/>
      </w:rPr>
      <w:t>/</w:t>
    </w:r>
    <w:r>
      <w:fldChar w:fldCharType="begin"/>
    </w:r>
    <w:r>
      <w:instrText xml:space="preserve"> NUMPAGES  \* Arabic  \* MERGEFORMAT </w:instrText>
    </w:r>
    <w:r>
      <w:fldChar w:fldCharType="separate"/>
    </w:r>
    <w:r>
      <w:t>10</w:t>
    </w:r>
    <w:r>
      <w:fldChar w:fldCharType="end"/>
    </w:r>
    <w:r>
      <w:tab/>
    </w:r>
    <w:r>
      <w:t>Dali202</w:t>
    </w:r>
    <w:r>
      <w:rPr>
        <w:rFonts w:hint="eastAsia"/>
      </w:rPr>
      <w:t>2</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tabs>
          <w:tab w:val="left" w:pos="902"/>
        </w:tabs>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3">
    <w:nsid w:val="71005A1B"/>
    <w:multiLevelType w:val="multilevel"/>
    <w:tmpl w:val="71005A1B"/>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3EDB0FB1"/>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annotation text"/>
    <w:basedOn w:val="1"/>
    <w:link w:val="36"/>
    <w:autoRedefine/>
    <w:qFormat/>
    <w:uiPriority w:val="0"/>
  </w:style>
  <w:style w:type="paragraph" w:styleId="14">
    <w:name w:val="Body Text Indent"/>
    <w:basedOn w:val="1"/>
    <w:link w:val="29"/>
    <w:autoRedefine/>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autoRedefine/>
    <w:qFormat/>
    <w:uiPriority w:val="0"/>
  </w:style>
  <w:style w:type="paragraph" w:styleId="17">
    <w:name w:val="footer"/>
    <w:basedOn w:val="1"/>
    <w:link w:val="33"/>
    <w:autoRedefine/>
    <w:qFormat/>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autoRedefine/>
    <w:qFormat/>
    <w:uiPriority w:val="0"/>
    <w:rPr>
      <w:b/>
      <w:bCs/>
    </w:rPr>
  </w:style>
  <w:style w:type="table" w:styleId="23">
    <w:name w:val="Table Grid"/>
    <w:basedOn w:val="22"/>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FollowedHyperlink"/>
    <w:autoRedefine/>
    <w:qFormat/>
    <w:uiPriority w:val="0"/>
    <w:rPr>
      <w:color w:val="800080"/>
      <w:u w:val="single"/>
    </w:rPr>
  </w:style>
  <w:style w:type="character" w:styleId="27">
    <w:name w:val="Hyperlink"/>
    <w:autoRedefine/>
    <w:qFormat/>
    <w:uiPriority w:val="99"/>
    <w:rPr>
      <w:color w:val="0000FF"/>
      <w:u w:val="single"/>
    </w:rPr>
  </w:style>
  <w:style w:type="character" w:styleId="28">
    <w:name w:val="annotation reference"/>
    <w:autoRedefine/>
    <w:qFormat/>
    <w:uiPriority w:val="0"/>
    <w:rPr>
      <w:sz w:val="21"/>
      <w:szCs w:val="21"/>
    </w:rPr>
  </w:style>
  <w:style w:type="character" w:customStyle="1" w:styleId="29">
    <w:name w:val="正文文本缩进 字符"/>
    <w:link w:val="14"/>
    <w:autoRedefine/>
    <w:qFormat/>
    <w:uiPriority w:val="0"/>
    <w:rPr>
      <w:rFonts w:ascii="宋体" w:hAnsi="宋体" w:eastAsia="宋体"/>
      <w:kern w:val="2"/>
      <w:sz w:val="24"/>
      <w:szCs w:val="24"/>
      <w:lang w:val="en-US" w:eastAsia="zh-CN" w:bidi="ar-SA"/>
    </w:rPr>
  </w:style>
  <w:style w:type="paragraph" w:customStyle="1" w:styleId="30">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autoRedefine/>
    <w:qFormat/>
    <w:locked/>
    <w:uiPriority w:val="0"/>
    <w:rPr>
      <w:rFonts w:ascii="宋体" w:hAnsi="宋体" w:eastAsia="宋体"/>
      <w:kern w:val="2"/>
      <w:sz w:val="24"/>
      <w:szCs w:val="24"/>
      <w:lang w:val="en-US" w:eastAsia="zh-CN" w:bidi="ar-SA"/>
    </w:rPr>
  </w:style>
  <w:style w:type="character" w:customStyle="1" w:styleId="32">
    <w:name w:val="Char Char21"/>
    <w:autoRedefine/>
    <w:qFormat/>
    <w:uiPriority w:val="0"/>
    <w:rPr>
      <w:rFonts w:ascii="宋体" w:hAnsi="宋体" w:eastAsia="宋体" w:cs="Times New Roman"/>
      <w:sz w:val="24"/>
      <w:szCs w:val="24"/>
    </w:rPr>
  </w:style>
  <w:style w:type="character" w:customStyle="1" w:styleId="33">
    <w:name w:val="页脚 字符"/>
    <w:link w:val="17"/>
    <w:autoRedefine/>
    <w:qFormat/>
    <w:uiPriority w:val="0"/>
    <w:rPr>
      <w:rFonts w:eastAsia="宋体"/>
      <w:sz w:val="18"/>
      <w:szCs w:val="18"/>
      <w:lang w:val="en-GB" w:eastAsia="zh-CN" w:bidi="ar-SA"/>
    </w:rPr>
  </w:style>
  <w:style w:type="character" w:customStyle="1" w:styleId="34">
    <w:name w:val="Char Char1"/>
    <w:autoRedefine/>
    <w:qFormat/>
    <w:uiPriority w:val="0"/>
    <w:rPr>
      <w:rFonts w:ascii="宋体" w:hAnsi="宋体" w:eastAsia="宋体"/>
      <w:kern w:val="2"/>
      <w:sz w:val="24"/>
      <w:szCs w:val="24"/>
      <w:lang w:val="en-US" w:eastAsia="zh-CN" w:bidi="ar-SA"/>
    </w:rPr>
  </w:style>
  <w:style w:type="character" w:customStyle="1" w:styleId="35">
    <w:name w:val="Char Char"/>
    <w:autoRedefine/>
    <w:qFormat/>
    <w:locked/>
    <w:uiPriority w:val="0"/>
    <w:rPr>
      <w:rFonts w:ascii="宋体" w:hAnsi="宋体" w:eastAsia="宋体"/>
      <w:kern w:val="2"/>
      <w:sz w:val="24"/>
      <w:szCs w:val="24"/>
      <w:lang w:val="en-US" w:eastAsia="zh-CN" w:bidi="ar-SA"/>
    </w:rPr>
  </w:style>
  <w:style w:type="character" w:customStyle="1" w:styleId="36">
    <w:name w:val="批注文字 字符"/>
    <w:link w:val="13"/>
    <w:autoRedefine/>
    <w:qFormat/>
    <w:uiPriority w:val="0"/>
    <w:rPr>
      <w:sz w:val="18"/>
      <w:lang w:val="en-GB"/>
    </w:rPr>
  </w:style>
  <w:style w:type="character" w:customStyle="1" w:styleId="37">
    <w:name w:val="批注主题 字符"/>
    <w:link w:val="21"/>
    <w:autoRedefine/>
    <w:qFormat/>
    <w:uiPriority w:val="0"/>
    <w:rPr>
      <w:b/>
      <w:bCs/>
      <w:sz w:val="18"/>
      <w:lang w:val="en-GB"/>
    </w:rPr>
  </w:style>
  <w:style w:type="character" w:customStyle="1" w:styleId="38">
    <w:name w:val="批注框文本 字符"/>
    <w:link w:val="16"/>
    <w:autoRedefine/>
    <w:qFormat/>
    <w:uiPriority w:val="0"/>
    <w:rPr>
      <w:sz w:val="18"/>
      <w:szCs w:val="18"/>
      <w:lang w:val="en-GB"/>
    </w:rPr>
  </w:style>
  <w:style w:type="paragraph" w:styleId="39">
    <w:name w:val="List Paragraph"/>
    <w:basedOn w:val="1"/>
    <w:autoRedefine/>
    <w:qFormat/>
    <w:uiPriority w:val="34"/>
    <w:pPr>
      <w:ind w:firstLine="420" w:firstLineChars="200"/>
    </w:pPr>
  </w:style>
  <w:style w:type="character" w:customStyle="1" w:styleId="40">
    <w:name w:val="标题 1 字符"/>
    <w:basedOn w:val="24"/>
    <w:link w:val="2"/>
    <w:autoRedefine/>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0CFBF-97A8-4600-A818-A6DC68791CA9}">
  <ds:schemaRefs/>
</ds:datastoreItem>
</file>

<file path=docProps/app.xml><?xml version="1.0" encoding="utf-8"?>
<Properties xmlns="http://schemas.openxmlformats.org/officeDocument/2006/extended-properties" xmlns:vt="http://schemas.openxmlformats.org/officeDocument/2006/docPropsVTypes">
  <Template>公建平均照度达标率计算书.dotx</Template>
  <Pages>10</Pages>
  <Words>1070</Words>
  <Characters>6101</Characters>
  <Lines>50</Lines>
  <Paragraphs>14</Paragraphs>
  <TotalTime>0</TotalTime>
  <ScaleCrop>false</ScaleCrop>
  <LinksUpToDate>false</LinksUpToDate>
  <CharactersWithSpaces>7157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2020-08-11T06:38:00Z</dcterms:created>
  <dc:creator>王会一</dc:creator>
  <cp:lastModifiedBy>HEYI</cp:lastModifiedBy>
  <cp:lastPrinted>2411-12-31T16:00:00Z</cp:lastPrinted>
  <dcterms:modified xsi:type="dcterms:W3CDTF">2024-03-04T13:01:36Z</dcterms:modified>
  <dc:title>公共建筑采光达标率计算书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380AE36782A64EC6939AA121060ABF32_12</vt:lpwstr>
  </property>
</Properties>
</file>