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成都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2024年03月14日</w:t>
            </w:r>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r>
        <w:drawing>
          <wp:inline distT="0" distB="0" distL="0" distR="0">
            <wp:extent cx="1628775" cy="16287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997"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建筑通风计算软件Vent20</w:t>
            </w:r>
            <w:r>
              <w:rPr>
                <w:rFonts w:ascii="宋体" w:hAnsi="宋体"/>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997"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8" w:name="目录"/>
      <w:r>
        <w:rPr>
          <w:rFonts w:ascii="宋体" w:hAnsi="宋体"/>
          <w:bCs w:val="0"/>
          <w:caps/>
        </w:rPr>
        <w:fldChar w:fldCharType="begin"/>
      </w:r>
      <w:r>
        <w:rPr>
          <w:rFonts w:ascii="宋体" w:hAnsi="宋体"/>
          <w:bCs w:val="0"/>
          <w:caps/>
        </w:rPr>
        <w:instrText xml:space="preserve"> HYPERLINK \l _Toc31440 </w:instrText>
      </w:r>
      <w:r>
        <w:rPr>
          <w:rFonts w:ascii="宋体" w:hAnsi="宋体"/>
          <w:bCs w:val="0"/>
          <w:caps/>
        </w:rPr>
        <w:fldChar w:fldCharType="separate"/>
      </w:r>
      <w:r>
        <w:rPr>
          <w:rFonts w:hint="eastAsia"/>
        </w:rPr>
        <w:t>1 项目概况</w:t>
      </w:r>
      <w:r>
        <w:tab/>
      </w:r>
      <w:r>
        <w:fldChar w:fldCharType="begin"/>
      </w:r>
      <w:r>
        <w:instrText xml:space="preserve"> PAGEREF _Toc31440 \h </w:instrText>
      </w:r>
      <w:r>
        <w:fldChar w:fldCharType="separate"/>
      </w:r>
      <w:r>
        <w:t>3</w:t>
      </w:r>
      <w:r>
        <w:fldChar w:fldCharType="end"/>
      </w:r>
      <w:r>
        <w:rPr>
          <w:rFonts w:ascii="宋体" w:hAnsi="宋体"/>
          <w:bCs w:val="0"/>
          <w:caps/>
        </w:rPr>
        <w:fldChar w:fldCharType="end"/>
      </w:r>
    </w:p>
    <w:p>
      <w:pPr>
        <w:pStyle w:val="20"/>
        <w:tabs>
          <w:tab w:val="right" w:leader="dot" w:pos="9070"/>
          <w:tab w:val="clear" w:pos="540"/>
          <w:tab w:val="clear" w:pos="840"/>
          <w:tab w:val="clear" w:pos="9360"/>
        </w:tabs>
      </w:pPr>
      <w:r>
        <w:fldChar w:fldCharType="begin"/>
      </w:r>
      <w:r>
        <w:instrText xml:space="preserve"> HYPERLINK \l _Toc418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_Toc418 \h </w:instrText>
      </w:r>
      <w:r>
        <w:fldChar w:fldCharType="separate"/>
      </w:r>
      <w:r>
        <w:t>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_Toc8985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_Toc8985 \h </w:instrText>
      </w:r>
      <w:r>
        <w:fldChar w:fldCharType="separate"/>
      </w:r>
      <w:r>
        <w:t>5</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_Toc19039 </w:instrText>
      </w:r>
      <w:r>
        <w:fldChar w:fldCharType="separate"/>
      </w:r>
      <w:r>
        <w:rPr>
          <w:rFonts w:hint="eastAsia"/>
        </w:rPr>
        <w:t>2 计算</w:t>
      </w:r>
      <w:r>
        <w:t>依据</w:t>
      </w:r>
      <w:r>
        <w:tab/>
      </w:r>
      <w:r>
        <w:fldChar w:fldCharType="begin"/>
      </w:r>
      <w:r>
        <w:instrText xml:space="preserve"> PAGEREF _Toc19039 \h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_Toc26942 </w:instrText>
      </w:r>
      <w:r>
        <w:fldChar w:fldCharType="separate"/>
      </w:r>
      <w:r>
        <w:rPr>
          <w:rFonts w:hint="eastAsia"/>
        </w:rPr>
        <w:t>3 参考</w:t>
      </w:r>
      <w:r>
        <w:t>标准</w:t>
      </w:r>
      <w:r>
        <w:tab/>
      </w:r>
      <w:r>
        <w:fldChar w:fldCharType="begin"/>
      </w:r>
      <w:r>
        <w:instrText xml:space="preserve"> PAGEREF _Toc26942 \h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_Toc26492 </w:instrText>
      </w:r>
      <w:r>
        <w:fldChar w:fldCharType="separate"/>
      </w:r>
      <w:r>
        <w:rPr>
          <w:rFonts w:hint="eastAsia"/>
        </w:rPr>
        <w:t>4 计算原理</w:t>
      </w:r>
      <w:r>
        <w:tab/>
      </w:r>
      <w:r>
        <w:fldChar w:fldCharType="begin"/>
      </w:r>
      <w:r>
        <w:instrText xml:space="preserve"> PAGEREF _Toc26492 \h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_Toc20830 </w:instrText>
      </w:r>
      <w:r>
        <w:fldChar w:fldCharType="separate"/>
      </w:r>
      <w:r>
        <w:rPr>
          <w:rFonts w:hint="eastAsia"/>
          <w:lang w:val="en-GB"/>
        </w:rPr>
        <w:t xml:space="preserve">4.1 </w:t>
      </w:r>
      <w:r>
        <w:rPr>
          <w:rFonts w:hint="eastAsia"/>
        </w:rPr>
        <w:t>风场计算域</w:t>
      </w:r>
      <w:r>
        <w:tab/>
      </w:r>
      <w:r>
        <w:fldChar w:fldCharType="begin"/>
      </w:r>
      <w:r>
        <w:instrText xml:space="preserve"> PAGEREF _Toc20830 \h </w:instrText>
      </w:r>
      <w:r>
        <w:fldChar w:fldCharType="separate"/>
      </w:r>
      <w:r>
        <w:t>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_Toc18000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_Toc18000 \h </w:instrText>
      </w:r>
      <w:r>
        <w:fldChar w:fldCharType="separate"/>
      </w:r>
      <w:r>
        <w:t>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_Toc28259 </w:instrText>
      </w:r>
      <w:r>
        <w:fldChar w:fldCharType="separate"/>
      </w:r>
      <w:r>
        <w:rPr>
          <w:rFonts w:hint="eastAsia" w:eastAsia="宋体"/>
          <w:szCs w:val="24"/>
          <w:lang w:val="en-GB"/>
        </w:rPr>
        <w:t xml:space="preserve">4.1.2 </w:t>
      </w:r>
      <w:r>
        <w:rPr>
          <w:rFonts w:hint="eastAsia"/>
        </w:rPr>
        <w:t>夏季工况风场计算域</w:t>
      </w:r>
      <w:r>
        <w:tab/>
      </w:r>
      <w:r>
        <w:fldChar w:fldCharType="begin"/>
      </w:r>
      <w:r>
        <w:instrText xml:space="preserve"> PAGEREF _Toc28259 \h </w:instrText>
      </w:r>
      <w:r>
        <w:fldChar w:fldCharType="separate"/>
      </w:r>
      <w:r>
        <w:t>7</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_Toc17762 </w:instrText>
      </w:r>
      <w:r>
        <w:fldChar w:fldCharType="separate"/>
      </w:r>
      <w:r>
        <w:rPr>
          <w:rFonts w:hint="eastAsia" w:eastAsia="宋体"/>
          <w:szCs w:val="24"/>
          <w:lang w:val="en-GB"/>
        </w:rPr>
        <w:t xml:space="preserve">4.1.3 </w:t>
      </w:r>
      <w:r>
        <w:rPr>
          <w:rFonts w:hint="eastAsia"/>
        </w:rPr>
        <w:t>过渡季工况风场计算域</w:t>
      </w:r>
      <w:r>
        <w:tab/>
      </w:r>
      <w:r>
        <w:fldChar w:fldCharType="begin"/>
      </w:r>
      <w:r>
        <w:instrText xml:space="preserve"> PAGEREF _Toc17762 \h </w:instrText>
      </w:r>
      <w:r>
        <w:fldChar w:fldCharType="separate"/>
      </w:r>
      <w:r>
        <w:t>7</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_Toc26352 </w:instrText>
      </w:r>
      <w:r>
        <w:fldChar w:fldCharType="separate"/>
      </w:r>
      <w:r>
        <w:rPr>
          <w:rFonts w:hint="eastAsia"/>
          <w:lang w:val="en-GB"/>
        </w:rPr>
        <w:t xml:space="preserve">4.2 </w:t>
      </w:r>
      <w:r>
        <w:rPr>
          <w:rFonts w:hint="eastAsia"/>
        </w:rPr>
        <w:t>网格划分</w:t>
      </w:r>
      <w:r>
        <w:tab/>
      </w:r>
      <w:r>
        <w:fldChar w:fldCharType="begin"/>
      </w:r>
      <w:r>
        <w:instrText xml:space="preserve"> PAGEREF _Toc26352 \h </w:instrText>
      </w:r>
      <w:r>
        <w:fldChar w:fldCharType="separate"/>
      </w:r>
      <w:r>
        <w:t>8</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_Toc4630 </w:instrText>
      </w:r>
      <w:r>
        <w:fldChar w:fldCharType="separate"/>
      </w:r>
      <w:r>
        <w:rPr>
          <w:rFonts w:hint="eastAsia"/>
          <w:lang w:val="en-GB"/>
        </w:rPr>
        <w:t xml:space="preserve">4.3 </w:t>
      </w:r>
      <w:r>
        <w:rPr>
          <w:rFonts w:hint="eastAsia"/>
        </w:rPr>
        <w:t>边界条件</w:t>
      </w:r>
      <w:r>
        <w:tab/>
      </w:r>
      <w:r>
        <w:fldChar w:fldCharType="begin"/>
      </w:r>
      <w:r>
        <w:instrText xml:space="preserve"> PAGEREF _Toc4630 \h </w:instrText>
      </w:r>
      <w:r>
        <w:fldChar w:fldCharType="separate"/>
      </w:r>
      <w:r>
        <w:t>11</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_Toc5855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_Toc5855 \h </w:instrText>
      </w:r>
      <w:r>
        <w:fldChar w:fldCharType="separate"/>
      </w:r>
      <w:r>
        <w:t>11</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_Toc5315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_Toc5315 \h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_Toc22922 </w:instrText>
      </w:r>
      <w:r>
        <w:fldChar w:fldCharType="separate"/>
      </w:r>
      <w:r>
        <w:rPr>
          <w:rFonts w:hint="eastAsia"/>
          <w:lang w:val="en-GB"/>
        </w:rPr>
        <w:t xml:space="preserve">4.4 </w:t>
      </w:r>
      <w:r>
        <w:rPr>
          <w:rFonts w:hint="eastAsia"/>
        </w:rPr>
        <w:t>湍流模型</w:t>
      </w:r>
      <w:r>
        <w:tab/>
      </w:r>
      <w:r>
        <w:fldChar w:fldCharType="begin"/>
      </w:r>
      <w:r>
        <w:instrText xml:space="preserve"> PAGEREF _Toc22922 \h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_Toc26188 </w:instrText>
      </w:r>
      <w:r>
        <w:fldChar w:fldCharType="separate"/>
      </w:r>
      <w:r>
        <w:rPr>
          <w:rFonts w:hint="eastAsia"/>
          <w:lang w:val="en-GB"/>
        </w:rPr>
        <w:t xml:space="preserve">4.5 </w:t>
      </w:r>
      <w:r>
        <w:rPr>
          <w:rFonts w:hint="eastAsia"/>
        </w:rPr>
        <w:t>求解计算</w:t>
      </w:r>
      <w:r>
        <w:tab/>
      </w:r>
      <w:r>
        <w:fldChar w:fldCharType="begin"/>
      </w:r>
      <w:r>
        <w:instrText xml:space="preserve"> PAGEREF _Toc26188 \h </w:instrText>
      </w:r>
      <w:r>
        <w:fldChar w:fldCharType="separate"/>
      </w:r>
      <w:r>
        <w:t>13</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_Toc11120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_Toc11120 \h </w:instrText>
      </w:r>
      <w:r>
        <w:fldChar w:fldCharType="separate"/>
      </w:r>
      <w:r>
        <w:t>14</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_Toc1529 </w:instrText>
      </w:r>
      <w:r>
        <w:fldChar w:fldCharType="separate"/>
      </w:r>
      <w:r>
        <w:rPr>
          <w:rFonts w:hint="eastAsia"/>
        </w:rPr>
        <w:t>5 结果</w:t>
      </w:r>
      <w:r>
        <w:t>分析</w:t>
      </w:r>
      <w:r>
        <w:tab/>
      </w:r>
      <w:r>
        <w:fldChar w:fldCharType="begin"/>
      </w:r>
      <w:r>
        <w:instrText xml:space="preserve"> PAGEREF _Toc1529 \h </w:instrText>
      </w:r>
      <w:r>
        <w:fldChar w:fldCharType="separate"/>
      </w:r>
      <w:r>
        <w:t>15</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_Toc22365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_Toc22365 \h </w:instrText>
      </w:r>
      <w:r>
        <w:fldChar w:fldCharType="separate"/>
      </w:r>
      <w:r>
        <w:t>15</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_Toc11878 </w:instrText>
      </w:r>
      <w:r>
        <w:fldChar w:fldCharType="separate"/>
      </w:r>
      <w:r>
        <w:rPr>
          <w:rFonts w:hint="eastAsia"/>
          <w:lang w:val="en-GB"/>
        </w:rPr>
        <w:t xml:space="preserve">5.2 </w:t>
      </w:r>
      <w:r>
        <w:rPr>
          <w:rFonts w:hint="eastAsia"/>
        </w:rPr>
        <w:t>冬季工况</w:t>
      </w:r>
      <w:r>
        <w:tab/>
      </w:r>
      <w:r>
        <w:fldChar w:fldCharType="begin"/>
      </w:r>
      <w:r>
        <w:instrText xml:space="preserve"> PAGEREF _Toc11878 \h </w:instrText>
      </w:r>
      <w:r>
        <w:fldChar w:fldCharType="separate"/>
      </w:r>
      <w:r>
        <w:t>15</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_Toc11422 </w:instrText>
      </w:r>
      <w:r>
        <w:fldChar w:fldCharType="separate"/>
      </w:r>
      <w:r>
        <w:rPr>
          <w:rFonts w:hint="eastAsia" w:eastAsia="宋体"/>
          <w:szCs w:val="24"/>
          <w:lang w:val="en-GB"/>
        </w:rPr>
        <w:t xml:space="preserve">5.2.1 </w:t>
      </w:r>
      <w:r>
        <w:rPr>
          <w:rFonts w:hint="eastAsia"/>
        </w:rPr>
        <w:t>风速达标分析</w:t>
      </w:r>
      <w:r>
        <w:tab/>
      </w:r>
      <w:r>
        <w:fldChar w:fldCharType="begin"/>
      </w:r>
      <w:r>
        <w:instrText xml:space="preserve"> PAGEREF _Toc11422 \h </w:instrText>
      </w:r>
      <w:r>
        <w:fldChar w:fldCharType="separate"/>
      </w:r>
      <w:r>
        <w:t>15</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_Toc14637 </w:instrText>
      </w:r>
      <w:r>
        <w:fldChar w:fldCharType="separate"/>
      </w:r>
      <w:r>
        <w:rPr>
          <w:rFonts w:hint="eastAsia" w:eastAsia="宋体"/>
          <w:szCs w:val="24"/>
          <w:lang w:val="en-GB"/>
        </w:rPr>
        <w:t xml:space="preserve">5.2.2 </w:t>
      </w:r>
      <w:r>
        <w:rPr>
          <w:rFonts w:hint="eastAsia"/>
        </w:rPr>
        <w:t>风速放大系数达标分析</w:t>
      </w:r>
      <w:r>
        <w:tab/>
      </w:r>
      <w:r>
        <w:fldChar w:fldCharType="begin"/>
      </w:r>
      <w:r>
        <w:instrText xml:space="preserve"> PAGEREF _Toc14637 \h </w:instrText>
      </w:r>
      <w:r>
        <w:fldChar w:fldCharType="separate"/>
      </w:r>
      <w:r>
        <w:t>16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_Toc2631 </w:instrText>
      </w:r>
      <w:r>
        <w:fldChar w:fldCharType="separate"/>
      </w:r>
      <w:r>
        <w:rPr>
          <w:rFonts w:hint="eastAsia" w:eastAsia="宋体"/>
          <w:szCs w:val="24"/>
          <w:lang w:val="en-GB"/>
        </w:rPr>
        <w:t xml:space="preserve">5.2.3 </w:t>
      </w:r>
      <w:r>
        <w:rPr>
          <w:rFonts w:hint="eastAsia"/>
        </w:rPr>
        <w:t>冬季工况风速/风速放大系数达标结果汇总</w:t>
      </w:r>
      <w:r>
        <w:tab/>
      </w:r>
      <w:r>
        <w:fldChar w:fldCharType="begin"/>
      </w:r>
      <w:r>
        <w:instrText xml:space="preserve"> PAGEREF _Toc2631 \h </w:instrText>
      </w:r>
      <w:r>
        <w:fldChar w:fldCharType="separate"/>
      </w:r>
      <w:r>
        <w:t>17</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_Toc19799 </w:instrText>
      </w:r>
      <w:r>
        <w:fldChar w:fldCharType="separate"/>
      </w:r>
      <w:r>
        <w:rPr>
          <w:rFonts w:hint="eastAsia" w:eastAsia="宋体"/>
          <w:szCs w:val="24"/>
          <w:lang w:val="en-GB"/>
        </w:rPr>
        <w:t xml:space="preserve">5.2.4 </w:t>
      </w:r>
      <w:r>
        <w:rPr>
          <w:rFonts w:hint="eastAsia"/>
        </w:rPr>
        <w:t>建筑迎风面和背风面风压分析</w:t>
      </w:r>
      <w:r>
        <w:tab/>
      </w:r>
      <w:r>
        <w:fldChar w:fldCharType="begin"/>
      </w:r>
      <w:r>
        <w:instrText xml:space="preserve"> PAGEREF _Toc19799 \h </w:instrText>
      </w:r>
      <w:r>
        <w:fldChar w:fldCharType="separate"/>
      </w:r>
      <w:r>
        <w:t>17</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_Toc20740 </w:instrText>
      </w:r>
      <w:r>
        <w:fldChar w:fldCharType="separate"/>
      </w:r>
      <w:r>
        <w:rPr>
          <w:rFonts w:hint="eastAsia"/>
          <w:lang w:val="en-GB"/>
        </w:rPr>
        <w:t xml:space="preserve">5.3 </w:t>
      </w:r>
      <w:r>
        <w:rPr>
          <w:rFonts w:hint="eastAsia"/>
        </w:rPr>
        <w:t>夏季工况</w:t>
      </w:r>
      <w:r>
        <w:tab/>
      </w:r>
      <w:r>
        <w:fldChar w:fldCharType="begin"/>
      </w:r>
      <w:r>
        <w:instrText xml:space="preserve"> PAGEREF _Toc20740 \h </w:instrText>
      </w:r>
      <w:r>
        <w:fldChar w:fldCharType="separate"/>
      </w:r>
      <w:r>
        <w:t>19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_Toc20368 </w:instrText>
      </w:r>
      <w:r>
        <w:fldChar w:fldCharType="separate"/>
      </w:r>
      <w:r>
        <w:rPr>
          <w:rFonts w:hint="eastAsia" w:eastAsia="宋体"/>
          <w:szCs w:val="24"/>
          <w:lang w:val="en-GB"/>
        </w:rPr>
        <w:t xml:space="preserve">5.3.1 </w:t>
      </w:r>
      <w:r>
        <w:rPr>
          <w:rFonts w:hint="eastAsia"/>
        </w:rPr>
        <w:t>无风区计算分析</w:t>
      </w:r>
      <w:r>
        <w:tab/>
      </w:r>
      <w:r>
        <w:fldChar w:fldCharType="begin"/>
      </w:r>
      <w:r>
        <w:instrText xml:space="preserve"> PAGEREF _Toc20368 \h </w:instrText>
      </w:r>
      <w:r>
        <w:fldChar w:fldCharType="separate"/>
      </w:r>
      <w:r>
        <w:t>19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_Toc9886 </w:instrText>
      </w:r>
      <w:r>
        <w:fldChar w:fldCharType="separate"/>
      </w:r>
      <w:r>
        <w:rPr>
          <w:rFonts w:hint="eastAsia" w:eastAsia="宋体"/>
          <w:szCs w:val="24"/>
          <w:lang w:val="en-GB"/>
        </w:rPr>
        <w:t xml:space="preserve">5.3.2 </w:t>
      </w:r>
      <w:r>
        <w:rPr>
          <w:rFonts w:hint="eastAsia"/>
        </w:rPr>
        <w:t>旋涡区分析</w:t>
      </w:r>
      <w:r>
        <w:tab/>
      </w:r>
      <w:r>
        <w:fldChar w:fldCharType="begin"/>
      </w:r>
      <w:r>
        <w:instrText xml:space="preserve"> PAGEREF _Toc9886 \h </w:instrText>
      </w:r>
      <w:r>
        <w:fldChar w:fldCharType="separate"/>
      </w:r>
      <w:r>
        <w:t>20</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_Toc6931 </w:instrText>
      </w:r>
      <w:r>
        <w:fldChar w:fldCharType="separate"/>
      </w:r>
      <w:r>
        <w:rPr>
          <w:rFonts w:hint="eastAsia" w:eastAsia="宋体"/>
          <w:szCs w:val="24"/>
          <w:lang w:val="en-GB"/>
        </w:rPr>
        <w:t xml:space="preserve">5.3.3 </w:t>
      </w:r>
      <w:r>
        <w:rPr>
          <w:rFonts w:hint="eastAsia"/>
        </w:rPr>
        <w:t>旋涡区/无风区达标结果汇总</w:t>
      </w:r>
      <w:r>
        <w:tab/>
      </w:r>
      <w:r>
        <w:fldChar w:fldCharType="begin"/>
      </w:r>
      <w:r>
        <w:instrText xml:space="preserve"> PAGEREF _Toc6931 \h </w:instrText>
      </w:r>
      <w:r>
        <w:fldChar w:fldCharType="separate"/>
      </w:r>
      <w:r>
        <w:t>20</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_Toc15305 </w:instrText>
      </w:r>
      <w:r>
        <w:fldChar w:fldCharType="separate"/>
      </w:r>
      <w:r>
        <w:rPr>
          <w:rFonts w:hint="eastAsia" w:eastAsia="宋体"/>
          <w:szCs w:val="24"/>
          <w:lang w:val="en-GB"/>
        </w:rPr>
        <w:t xml:space="preserve">5.3.4 </w:t>
      </w:r>
      <w:r>
        <w:rPr>
          <w:rFonts w:hint="eastAsia"/>
        </w:rPr>
        <w:t>外窗内外表面风压差达标分析</w:t>
      </w:r>
      <w:r>
        <w:tab/>
      </w:r>
      <w:r>
        <w:fldChar w:fldCharType="begin"/>
      </w:r>
      <w:r>
        <w:instrText xml:space="preserve"> PAGEREF _Toc15305 \h </w:instrText>
      </w:r>
      <w:r>
        <w:fldChar w:fldCharType="separate"/>
      </w:r>
      <w:r>
        <w:t>21</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_Toc24215 </w:instrText>
      </w:r>
      <w:r>
        <w:fldChar w:fldCharType="separate"/>
      </w:r>
      <w:r>
        <w:rPr>
          <w:rFonts w:hint="eastAsia"/>
          <w:lang w:val="en-GB"/>
        </w:rPr>
        <w:t xml:space="preserve">5.4 </w:t>
      </w:r>
      <w:r>
        <w:rPr>
          <w:rFonts w:hint="eastAsia"/>
        </w:rPr>
        <w:t>过渡季工况</w:t>
      </w:r>
      <w:r>
        <w:tab/>
      </w:r>
      <w:r>
        <w:fldChar w:fldCharType="begin"/>
      </w:r>
      <w:r>
        <w:instrText xml:space="preserve"> PAGEREF _Toc24215 \h </w:instrText>
      </w:r>
      <w:r>
        <w:fldChar w:fldCharType="separate"/>
      </w:r>
      <w:r>
        <w:t>22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_Toc10707 </w:instrText>
      </w:r>
      <w:r>
        <w:fldChar w:fldCharType="separate"/>
      </w:r>
      <w:r>
        <w:rPr>
          <w:rFonts w:hint="eastAsia" w:eastAsia="宋体"/>
          <w:szCs w:val="24"/>
          <w:lang w:val="en-GB"/>
        </w:rPr>
        <w:t xml:space="preserve">5.4.1 </w:t>
      </w:r>
      <w:r>
        <w:rPr>
          <w:rFonts w:hint="eastAsia"/>
        </w:rPr>
        <w:t>无风区计算分析</w:t>
      </w:r>
      <w:r>
        <w:tab/>
      </w:r>
      <w:r>
        <w:fldChar w:fldCharType="begin"/>
      </w:r>
      <w:r>
        <w:instrText xml:space="preserve"> PAGEREF _Toc10707 \h </w:instrText>
      </w:r>
      <w:r>
        <w:fldChar w:fldCharType="separate"/>
      </w:r>
      <w:r>
        <w:t>22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_Toc9690 </w:instrText>
      </w:r>
      <w:r>
        <w:fldChar w:fldCharType="separate"/>
      </w:r>
      <w:r>
        <w:rPr>
          <w:rFonts w:hint="eastAsia" w:eastAsia="宋体"/>
          <w:szCs w:val="24"/>
          <w:lang w:val="en-GB"/>
        </w:rPr>
        <w:t xml:space="preserve">5.4.2 </w:t>
      </w:r>
      <w:r>
        <w:rPr>
          <w:rFonts w:hint="eastAsia"/>
        </w:rPr>
        <w:t>旋涡区分析</w:t>
      </w:r>
      <w:r>
        <w:tab/>
      </w:r>
      <w:r>
        <w:fldChar w:fldCharType="begin"/>
      </w:r>
      <w:r>
        <w:instrText xml:space="preserve"> PAGEREF _Toc9690 \h </w:instrText>
      </w:r>
      <w:r>
        <w:fldChar w:fldCharType="separate"/>
      </w:r>
      <w:r>
        <w:t>23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_Toc28286 </w:instrText>
      </w:r>
      <w:r>
        <w:fldChar w:fldCharType="separate"/>
      </w:r>
      <w:r>
        <w:rPr>
          <w:rFonts w:hint="eastAsia" w:eastAsia="宋体"/>
          <w:szCs w:val="24"/>
          <w:lang w:val="en-GB"/>
        </w:rPr>
        <w:t xml:space="preserve">5.4.3 </w:t>
      </w:r>
      <w:r>
        <w:rPr>
          <w:rFonts w:hint="eastAsia"/>
        </w:rPr>
        <w:t>旋涡区/无风区达标结果汇总</w:t>
      </w:r>
      <w:r>
        <w:tab/>
      </w:r>
      <w:r>
        <w:fldChar w:fldCharType="begin"/>
      </w:r>
      <w:r>
        <w:instrText xml:space="preserve"> PAGEREF _Toc28286 \h </w:instrText>
      </w:r>
      <w:r>
        <w:fldChar w:fldCharType="separate"/>
      </w:r>
      <w:r>
        <w:t>23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_Toc7318 </w:instrText>
      </w:r>
      <w:r>
        <w:fldChar w:fldCharType="separate"/>
      </w:r>
      <w:r>
        <w:rPr>
          <w:rFonts w:hint="eastAsia" w:eastAsia="宋体"/>
          <w:szCs w:val="24"/>
          <w:lang w:val="en-GB"/>
        </w:rPr>
        <w:t xml:space="preserve">5.4.4 </w:t>
      </w:r>
      <w:r>
        <w:rPr>
          <w:rFonts w:hint="eastAsia"/>
        </w:rPr>
        <w:t>外窗内外表面风压差达标分析</w:t>
      </w:r>
      <w:r>
        <w:tab/>
      </w:r>
      <w:r>
        <w:fldChar w:fldCharType="begin"/>
      </w:r>
      <w:r>
        <w:instrText xml:space="preserve"> PAGEREF _Toc7318 \h </w:instrText>
      </w:r>
      <w:r>
        <w:fldChar w:fldCharType="separate"/>
      </w:r>
      <w:r>
        <w:t>23</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_Toc32694 </w:instrText>
      </w:r>
      <w:r>
        <w:fldChar w:fldCharType="separate"/>
      </w:r>
      <w:r>
        <w:rPr>
          <w:rFonts w:hint="eastAsia"/>
          <w:lang w:val="en-GB"/>
        </w:rPr>
        <w:t xml:space="preserve">5.5 </w:t>
      </w:r>
      <w:r>
        <w:rPr>
          <w:rFonts w:hint="eastAsia"/>
        </w:rPr>
        <w:t>结论</w:t>
      </w:r>
      <w:r>
        <w:tab/>
      </w:r>
      <w:r>
        <w:fldChar w:fldCharType="begin"/>
      </w:r>
      <w:r>
        <w:instrText xml:space="preserve"> PAGEREF _Toc32694 \h </w:instrText>
      </w:r>
      <w:r>
        <w:fldChar w:fldCharType="separate"/>
      </w:r>
      <w:r>
        <w:t>25</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_Toc15821 </w:instrText>
      </w:r>
      <w:r>
        <w:fldChar w:fldCharType="separate"/>
      </w:r>
      <w:r>
        <w:rPr>
          <w:rFonts w:hint="eastAsia" w:eastAsia="宋体"/>
          <w:szCs w:val="24"/>
          <w:lang w:val="en-GB"/>
        </w:rPr>
        <w:t xml:space="preserve">5.5.1 </w:t>
      </w:r>
      <w:r>
        <w:rPr>
          <w:rFonts w:hint="eastAsia"/>
        </w:rPr>
        <w:t>冬季工况达标判断</w:t>
      </w:r>
      <w:r>
        <w:tab/>
      </w:r>
      <w:r>
        <w:fldChar w:fldCharType="begin"/>
      </w:r>
      <w:r>
        <w:instrText xml:space="preserve"> PAGEREF _Toc15821 \h </w:instrText>
      </w:r>
      <w:r>
        <w:fldChar w:fldCharType="separate"/>
      </w:r>
      <w:r>
        <w:t>25</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_Toc32273 </w:instrText>
      </w:r>
      <w:r>
        <w:fldChar w:fldCharType="separate"/>
      </w:r>
      <w:r>
        <w:rPr>
          <w:rFonts w:hint="eastAsia" w:eastAsia="宋体"/>
          <w:szCs w:val="24"/>
          <w:lang w:val="en-GB"/>
        </w:rPr>
        <w:t xml:space="preserve">5.5.2 </w:t>
      </w:r>
      <w:r>
        <w:rPr>
          <w:rFonts w:hint="eastAsia"/>
        </w:rPr>
        <w:t>过渡季、夏季工况达标判断</w:t>
      </w:r>
      <w:r>
        <w:tab/>
      </w:r>
      <w:r>
        <w:fldChar w:fldCharType="begin"/>
      </w:r>
      <w:r>
        <w:instrText xml:space="preserve"> PAGEREF _Toc32273 \h </w:instrText>
      </w:r>
      <w:r>
        <w:fldChar w:fldCharType="separate"/>
      </w:r>
      <w:r>
        <w:t>25</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9" w:name="_Toc31440"/>
      <w:bookmarkStart w:id="10" w:name="_Toc452108759"/>
      <w:r>
        <w:rPr>
          <w:rFonts w:hint="eastAsia"/>
        </w:rPr>
        <w:t>项目概况</w:t>
      </w:r>
      <w:bookmarkEnd w:id="9"/>
    </w:p>
    <w:p>
      <w:pPr>
        <w:pStyle w:val="3"/>
        <w:ind w:firstLine="420"/>
        <w:rPr>
          <w:lang w:val="en-US"/>
        </w:rPr>
      </w:pPr>
      <w:bookmarkStart w:id="11" w:name="项目概况"/>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2" w:name="_Toc418"/>
      <w:bookmarkStart w:id="13" w:name="_Toc452108760"/>
      <w:r>
        <w:rPr>
          <w:rFonts w:hint="eastAsia"/>
        </w:rPr>
        <w:t>总</w:t>
      </w:r>
      <w:r>
        <w:t>平面图</w:t>
      </w:r>
      <w:bookmarkEnd w:id="1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993"/>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4040E7"/>
          </w:tcPr>
          <w:p>
            <w:pPr>
              <w:pStyle w:val="3"/>
              <w:spacing w:line="400" w:lineRule="exact"/>
              <w:ind w:firstLine="0" w:firstLineChars="0"/>
              <w:rPr>
                <w:lang w:val="en-US"/>
              </w:rPr>
            </w:pPr>
            <w:bookmarkStart w:id="14" w:name="总平面图图例表"/>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游憩广场</w:t>
            </w:r>
          </w:p>
        </w:tc>
        <w:tc>
          <w:tcPr>
            <w:tcW w:w="993" w:type="dxa"/>
            <w:tcBorders>
              <w:top w:val="single" w:color="auto" w:sz="4" w:space="0"/>
              <w:left w:val="single" w:color="auto" w:sz="4" w:space="0"/>
              <w:bottom w:val="single" w:color="auto" w:sz="4" w:space="0"/>
              <w:right w:val="single" w:color="auto" w:sz="4" w:space="0"/>
            </w:tcBorders>
            <w:shd w:val="clear" w:color="auto" w:fill="E6AE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FFFFE7"/>
          </w:tcPr>
          <w:p>
            <w:pPr>
              <w:pStyle w:val="3"/>
              <w:spacing w:line="400" w:lineRule="exact"/>
              <w:ind w:firstLine="0" w:firstLineChars="0"/>
              <w:rPr>
                <w:lang w:val="en-US"/>
              </w:rPr>
            </w:pPr>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AECA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tc>
      </w:tr>
      <w:bookmarkEnd w:id="14"/>
    </w:tbl>
    <w:p>
      <w:pPr>
        <w:pStyle w:val="3"/>
        <w:ind w:firstLine="0" w:firstLineChars="0"/>
        <w:jc w:val="center"/>
        <w:rPr>
          <w:lang w:val="en-US"/>
        </w:rPr>
      </w:pPr>
      <w:r>
        <w:rPr>
          <w:rFonts w:hint="eastAsia"/>
          <w:lang w:val="en-US"/>
        </w:rPr>
        <w:t xml:space="preserve"> </w:t>
      </w:r>
      <w:bookmarkStart w:id="15" w:name="总平面图"/>
      <w:r>
        <w:drawing>
          <wp:inline distT="0" distB="0" distL="0" distR="0">
            <wp:extent cx="5667375" cy="31337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0"/>
                    <a:stretch>
                      <a:fillRect/>
                    </a:stretch>
                  </pic:blipFill>
                  <pic:spPr>
                    <a:xfrm>
                      <a:off x="0" y="0"/>
                      <a:ext cx="5667375" cy="31337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6" w:name="_Toc8985"/>
      <w:bookmarkStart w:id="17" w:name="_Toc452108761"/>
      <w:r>
        <w:rPr>
          <w:rFonts w:hint="eastAsia"/>
        </w:rPr>
        <w:t>三</w:t>
      </w:r>
      <w:r>
        <w:t>维视图</w:t>
      </w:r>
      <w:bookmarkEnd w:id="1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993"/>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4040E7"/>
          </w:tcPr>
          <w:p>
            <w:pPr>
              <w:pStyle w:val="3"/>
              <w:spacing w:line="400" w:lineRule="exact"/>
              <w:ind w:firstLine="0" w:firstLineChars="0"/>
              <w:rPr>
                <w:lang w:val="en-US"/>
              </w:rPr>
            </w:pPr>
            <w:bookmarkStart w:id="18" w:name="三维视图图例表"/>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游憩广场</w:t>
            </w:r>
          </w:p>
        </w:tc>
        <w:tc>
          <w:tcPr>
            <w:tcW w:w="993" w:type="dxa"/>
            <w:tcBorders>
              <w:top w:val="single" w:color="auto" w:sz="4" w:space="0"/>
              <w:left w:val="single" w:color="auto" w:sz="4" w:space="0"/>
              <w:bottom w:val="single" w:color="auto" w:sz="4" w:space="0"/>
              <w:right w:val="single" w:color="auto" w:sz="4" w:space="0"/>
            </w:tcBorders>
            <w:shd w:val="clear" w:color="auto" w:fill="E6AE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FFFFE7"/>
          </w:tcPr>
          <w:p>
            <w:pPr>
              <w:pStyle w:val="3"/>
              <w:spacing w:line="400" w:lineRule="exact"/>
              <w:ind w:firstLine="0" w:firstLineChars="0"/>
              <w:rPr>
                <w:lang w:val="en-US"/>
              </w:rPr>
            </w:pPr>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AECA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tc>
      </w:tr>
    </w:tbl>
    <w:p>
      <w:pPr>
        <w:pStyle w:val="3"/>
        <w:ind w:firstLine="0" w:firstLineChars="0"/>
        <w:jc w:val="center"/>
        <w:rPr>
          <w:lang w:val="en-US"/>
        </w:rPr>
      </w:pPr>
      <w:r>
        <w:rPr>
          <w:rFonts w:hint="eastAsia"/>
          <w:lang w:val="en-US"/>
        </w:rPr>
        <w:t xml:space="preserve"> </w:t>
      </w:r>
      <w:bookmarkStart w:id="19" w:name="三维视图"/>
      <w:r>
        <w:drawing>
          <wp:inline distT="0" distB="0" distL="0" distR="0">
            <wp:extent cx="5667375" cy="31337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1"/>
                    <a:stretch>
                      <a:fillRect/>
                    </a:stretch>
                  </pic:blipFill>
                  <pic:spPr>
                    <a:xfrm>
                      <a:off x="0" y="0"/>
                      <a:ext cx="5667375" cy="31337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0" w:name="_Toc19039"/>
      <w:bookmarkStart w:id="21" w:name="TitleFormat"/>
      <w:bookmarkStart w:id="22" w:name="_Toc452108762"/>
      <w:r>
        <w:rPr>
          <w:rFonts w:hint="eastAsia"/>
        </w:rPr>
        <w:t>计算</w:t>
      </w:r>
      <w:r>
        <w:t>依据</w:t>
      </w:r>
      <w:bookmarkEnd w:id="20"/>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bookmarkStart w:id="23" w:name="参考标准名称1"/>
      <w:r>
        <w:rPr>
          <w:rFonts w:hint="eastAsia"/>
          <w:lang w:val="en-US"/>
        </w:rPr>
        <w:t>《绿色建筑评价标准》GB/T50378-2019</w:t>
      </w:r>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4" w:name="_Toc26942"/>
      <w:bookmarkStart w:id="25" w:name="_Toc452108763"/>
      <w:r>
        <w:rPr>
          <w:rFonts w:hint="eastAsia"/>
        </w:rPr>
        <w:t>参考</w:t>
      </w:r>
      <w:r>
        <w:t>标准</w:t>
      </w:r>
      <w:bookmarkEnd w:id="24"/>
    </w:p>
    <w:p>
      <w:pPr>
        <w:pStyle w:val="3"/>
        <w:ind w:firstLine="420"/>
        <w:rPr>
          <w:lang w:val="en-US"/>
        </w:rPr>
      </w:pPr>
      <w:r>
        <w:rPr>
          <w:rFonts w:hint="eastAsia"/>
          <w:lang w:val="en-US"/>
        </w:rPr>
        <w:t>室外风环境评价依据为</w:t>
      </w:r>
      <w:bookmarkStart w:id="26" w:name="参考标准名称2"/>
      <w:r>
        <w:rPr>
          <w:rFonts w:hint="eastAsia"/>
          <w:lang w:val="en-US"/>
        </w:rPr>
        <w:t>《绿色建筑评价标准》GB/T50378-2019中有关室外风环境的条目要求。具体要求如下：</w:t>
      </w:r>
    </w:p>
    <w:p>
      <w:pPr>
        <w:pStyle w:val="3"/>
        <w:ind w:firstLine="420"/>
        <w:rPr>
          <w:lang w:val="en-US"/>
        </w:rPr>
      </w:pPr>
      <w:bookmarkStart w:id="27" w:name="_Toc451698935"/>
      <w:bookmarkStart w:id="28" w:name="_Toc452108764"/>
      <w:bookmarkStart w:id="29"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30" w:name="参考标准冬季风速得分"/>
      <w:r>
        <w:rPr>
          <w:lang w:val="en-US"/>
        </w:rPr>
        <w:t>3</w:t>
      </w:r>
      <w:r>
        <w:rPr>
          <w:rFonts w:hint="eastAsia"/>
          <w:lang w:val="en-US"/>
        </w:rPr>
        <w:t>分；除迎风第一排建筑外，建筑迎风面与背风面表面风压差不超过5Pa，得</w:t>
      </w:r>
      <w:bookmarkStart w:id="31" w:name="参考标准冬季风压得分"/>
      <w:r>
        <w:rPr>
          <w:lang w:val="en-US"/>
        </w:rPr>
        <w:t>2</w:t>
      </w:r>
      <w:bookmarkEnd w:id="31"/>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bookmarkStart w:id="32" w:name="参考标准夏季风速得分"/>
      <w:r>
        <w:rPr>
          <w:lang w:val="en-US"/>
        </w:rPr>
        <w:t>3</w:t>
      </w:r>
      <w:r>
        <w:rPr>
          <w:rFonts w:hint="eastAsia"/>
          <w:lang w:val="en-US"/>
        </w:rPr>
        <w:t>分；50%以上可开启外窗室内外表面的风压差大于0.5Pa，得</w:t>
      </w:r>
      <w:bookmarkStart w:id="33" w:name="参考标准夏季风压得分"/>
      <w:r>
        <w:rPr>
          <w:lang w:val="en-US"/>
        </w:rPr>
        <w:t>2</w:t>
      </w:r>
      <w:bookmarkEnd w:id="33"/>
      <w:r>
        <w:rPr>
          <w:rFonts w:hint="eastAsia"/>
          <w:lang w:val="en-US"/>
        </w:rPr>
        <w:t>分。</w:t>
      </w:r>
    </w:p>
    <w:p>
      <w:pPr>
        <w:pStyle w:val="2"/>
      </w:pPr>
      <w:bookmarkStart w:id="34" w:name="_Toc26492"/>
      <w:r>
        <w:rPr>
          <w:rFonts w:hint="eastAsia"/>
        </w:rPr>
        <w:t>计算原理</w:t>
      </w:r>
      <w:bookmarkEnd w:id="34"/>
    </w:p>
    <w:p>
      <w:pPr>
        <w:pStyle w:val="4"/>
        <w:numPr>
          <w:ilvl w:val="1"/>
          <w:numId w:val="3"/>
        </w:numPr>
      </w:pPr>
      <w:bookmarkStart w:id="35" w:name="_Toc509844740"/>
      <w:bookmarkStart w:id="36" w:name="_Toc20830"/>
      <w:bookmarkStart w:id="37" w:name="_Toc451698937"/>
      <w:bookmarkStart w:id="38" w:name="_Toc452108765"/>
      <w:r>
        <w:rPr>
          <w:rFonts w:hint="eastAsia"/>
        </w:rPr>
        <w:t>风场计算域</w:t>
      </w:r>
      <w:bookmarkEnd w:id="35"/>
      <w:bookmarkEnd w:id="36"/>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9" w:name="_Toc18000"/>
      <w:bookmarkStart w:id="40" w:name="季节1"/>
      <w:r>
        <w:rPr>
          <w:rFonts w:hint="eastAsia"/>
        </w:rPr>
        <w:t>冬季工况风场计算域</w:t>
      </w:r>
      <w:bookmarkEnd w:id="39"/>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41" w:name="季节2"/>
      <w:r>
        <w:rPr>
          <w:rFonts w:hint="eastAsia" w:ascii="黑体" w:hAnsi="黑体" w:eastAsia="黑体"/>
          <w:sz w:val="20"/>
          <w:szCs w:val="20"/>
        </w:rPr>
        <w:t>冬季</w:t>
      </w:r>
      <w:bookmarkEnd w:id="41"/>
      <w:r>
        <w:rPr>
          <w:rFonts w:hint="eastAsia" w:ascii="黑体" w:hAnsi="黑体" w:eastAsia="黑体"/>
          <w:sz w:val="20"/>
          <w:szCs w:val="20"/>
        </w:rPr>
        <w:t>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2" w:name="冬季风场X尺寸"/>
            <w:r>
              <w:t>419</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3" w:name="冬季风场Y尺寸"/>
            <w:r>
              <w:t>406</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4" w:name="冬季风场Z尺寸"/>
            <w:r>
              <w:t>109</w:t>
            </w:r>
            <w:bookmarkEnd w:id="44"/>
          </w:p>
        </w:tc>
      </w:tr>
    </w:tbl>
    <w:p>
      <w:pPr>
        <w:pStyle w:val="3"/>
        <w:ind w:firstLine="0" w:firstLineChars="0"/>
        <w:jc w:val="center"/>
        <w:rPr>
          <w:lang w:val="en-US"/>
        </w:rPr>
      </w:pPr>
      <w:bookmarkStart w:id="45" w:name="冬季工况风场计算域图示"/>
      <w:bookmarkEnd w:id="45"/>
      <w:r>
        <w:drawing>
          <wp:inline distT="0" distB="0" distL="0" distR="0">
            <wp:extent cx="5667375" cy="28098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2"/>
                    <a:stretch>
                      <a:fillRect/>
                    </a:stretch>
                  </pic:blipFill>
                  <pic:spPr>
                    <a:xfrm>
                      <a:off x="0" y="0"/>
                      <a:ext cx="5667375" cy="2809875"/>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w:t>
      </w:r>
      <w:bookmarkStart w:id="46" w:name="季节3"/>
      <w:r>
        <w:rPr>
          <w:rFonts w:hint="eastAsia" w:ascii="黑体" w:hAnsi="黑体"/>
        </w:rPr>
        <w:t>冬季</w:t>
      </w:r>
      <w:bookmarkEnd w:id="46"/>
      <w:r>
        <w:rPr>
          <w:rFonts w:hint="eastAsia"/>
        </w:rPr>
        <w:t>工况风场计算域图示</w:t>
      </w:r>
      <w:r>
        <w:rPr>
          <w:rFonts w:hint="eastAsia"/>
          <w:szCs w:val="21"/>
          <w:lang w:val="en-US"/>
        </w:rPr>
        <w:t xml:space="preserve"> </w:t>
      </w:r>
    </w:p>
    <w:p>
      <w:pPr>
        <w:pStyle w:val="5"/>
        <w:numPr>
          <w:ilvl w:val="2"/>
          <w:numId w:val="3"/>
        </w:numPr>
      </w:pPr>
      <w:bookmarkStart w:id="47" w:name="_Toc28259"/>
      <w:r>
        <w:rPr>
          <w:rFonts w:hint="eastAsia"/>
        </w:rPr>
        <w:t>夏季工况风场计算域</w:t>
      </w:r>
      <w:bookmarkEnd w:id="47"/>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 xml:space="preserve"> 夏季工况风场计算域信息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109</w:t>
            </w:r>
          </w:p>
        </w:tc>
      </w:tr>
    </w:tbl>
    <w:p>
      <w:pPr>
        <w:pStyle w:val="3"/>
        <w:ind w:firstLine="0" w:firstLineChars="0"/>
        <w:jc w:val="center"/>
        <w:rPr>
          <w:lang w:val="en-US"/>
        </w:rPr>
      </w:pPr>
      <w:r>
        <w:drawing>
          <wp:inline distT="0" distB="0" distL="0" distR="0">
            <wp:extent cx="5667375" cy="28098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3"/>
                    <a:stretch>
                      <a:fillRect/>
                    </a:stretch>
                  </pic:blipFill>
                  <pic:spPr>
                    <a:xfrm>
                      <a:off x="0" y="0"/>
                      <a:ext cx="5667375" cy="2809875"/>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hint="eastAsia" w:ascii="黑体" w:hAnsi="黑体"/>
        </w:rPr>
        <w:t xml:space="preserve">  夏季</w:t>
      </w:r>
      <w:r>
        <w:rPr>
          <w:rFonts w:hint="eastAsia"/>
        </w:rPr>
        <w:t>工况风场计算域图示</w:t>
      </w:r>
      <w:r>
        <w:rPr>
          <w:rFonts w:hint="eastAsia"/>
          <w:szCs w:val="21"/>
          <w:lang w:val="en-US"/>
        </w:rPr>
        <w:t xml:space="preserve"> </w:t>
      </w:r>
    </w:p>
    <w:p>
      <w:pPr>
        <w:pStyle w:val="5"/>
        <w:numPr>
          <w:ilvl w:val="2"/>
          <w:numId w:val="3"/>
        </w:numPr>
      </w:pPr>
      <w:bookmarkStart w:id="48" w:name="_Toc17762"/>
      <w:r>
        <w:rPr>
          <w:rFonts w:hint="eastAsia"/>
        </w:rPr>
        <w:t>过渡季工况风场计算域</w:t>
      </w:r>
      <w:bookmarkEnd w:id="48"/>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 xml:space="preserve"> 过渡季工况风场计算域信息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109</w:t>
            </w:r>
          </w:p>
        </w:tc>
      </w:tr>
    </w:tbl>
    <w:p>
      <w:pPr>
        <w:pStyle w:val="3"/>
        <w:ind w:firstLine="0" w:firstLineChars="0"/>
        <w:jc w:val="center"/>
        <w:rPr>
          <w:lang w:val="en-US"/>
        </w:rPr>
      </w:pPr>
      <w:r>
        <w:drawing>
          <wp:inline distT="0" distB="0" distL="0" distR="0">
            <wp:extent cx="5667375" cy="28098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3"/>
                    <a:stretch>
                      <a:fillRect/>
                    </a:stretch>
                  </pic:blipFill>
                  <pic:spPr>
                    <a:xfrm>
                      <a:off x="0" y="0"/>
                      <a:ext cx="5667375" cy="2809875"/>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3</w:t>
      </w:r>
      <w:r>
        <w:rPr>
          <w:rFonts w:ascii="黑体" w:hAnsi="黑体"/>
        </w:rPr>
        <w:fldChar w:fldCharType="end"/>
      </w:r>
      <w:r>
        <w:rPr>
          <w:rFonts w:hint="eastAsia" w:ascii="黑体" w:hAnsi="黑体"/>
        </w:rPr>
        <w:t xml:space="preserve">  过渡季</w:t>
      </w:r>
      <w:r>
        <w:rPr>
          <w:rFonts w:hint="eastAsia"/>
        </w:rPr>
        <w:t>工况风场计算域图示</w:t>
      </w:r>
      <w:r>
        <w:rPr>
          <w:rFonts w:hint="eastAsia"/>
          <w:szCs w:val="21"/>
          <w:lang w:val="en-US"/>
        </w:rPr>
        <w:t xml:space="preserve"> </w:t>
      </w:r>
    </w:p>
    <w:p>
      <w:pPr>
        <w:pStyle w:val="3"/>
        <w:ind w:firstLine="315" w:firstLineChars="150"/>
        <w:rPr>
          <w:lang w:val="en-US"/>
        </w:rPr>
      </w:pPr>
      <w:bookmarkStart w:id="49" w:name="计算域"/>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50" w:name="_Toc509844741"/>
      <w:bookmarkStart w:id="51" w:name="_Toc26352"/>
      <w:r>
        <w:rPr>
          <w:rFonts w:hint="eastAsia"/>
        </w:rPr>
        <w:t>网格划分</w:t>
      </w:r>
      <w:bookmarkEnd w:id="50"/>
      <w:bookmarkEnd w:id="51"/>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52" w:name="OLE_LINK276"/>
      <w:bookmarkStart w:id="53" w:name="OLE_LINK277"/>
      <w:r>
        <w:rPr>
          <w:rFonts w:hint="eastAsia"/>
        </w:rPr>
        <w:t>1）普通网格：指除靠近地面和建筑以外的网格，通常不需要特别加密处理</w:t>
      </w:r>
    </w:p>
    <w:p>
      <w:pPr>
        <w:pStyle w:val="12"/>
        <w:numPr>
          <w:ilvl w:val="0"/>
          <w:numId w:val="4"/>
        </w:numPr>
        <w:spacing w:before="156"/>
      </w:pPr>
      <w:bookmarkStart w:id="54" w:name="OLE_LINK15"/>
      <w:r>
        <w:rPr>
          <w:rFonts w:hint="eastAsia"/>
        </w:rPr>
        <w:t>分弧精度：对于有圆弧特征的建筑局部，把圆弧分解为线段时，弦到弧的最大距离；</w:t>
      </w:r>
    </w:p>
    <w:bookmarkEnd w:id="54"/>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bookmarkEnd w:id="52"/>
      <w:bookmarkEnd w:id="53"/>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bookmarkStart w:id="55" w:name="冬季网格总数"/>
            <w:r>
              <w:t>347193</w:t>
            </w:r>
            <w:bookmarkEnd w:id="55"/>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6" w:name="冬季分弧精度"/>
            <w:r>
              <w:t>0.24</w:t>
            </w:r>
            <w:bookmarkEnd w:id="56"/>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7" w:name="冬季初始网格"/>
            <w:r>
              <w:t>8.0</w:t>
            </w:r>
            <w:bookmarkEnd w:id="57"/>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8" w:name="冬季最小细分级数"/>
            <w:r>
              <w:t>1</w:t>
            </w:r>
            <w:bookmarkEnd w:id="58"/>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9" w:name="冬季最大细分级数"/>
            <w:r>
              <w:t>2</w:t>
            </w:r>
            <w:bookmarkEnd w:id="59"/>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0" w:name="冬季远场细分级数"/>
            <w:r>
              <w:t>1</w:t>
            </w:r>
            <w:bookmarkEnd w:id="60"/>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1" w:name="冬季近场细分级数"/>
            <w:r>
              <w:t>2</w:t>
            </w:r>
            <w:bookmarkEnd w:id="61"/>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2" w:name="冬季地面附面层数"/>
            <w:r>
              <w:t>2</w:t>
            </w:r>
            <w:bookmarkEnd w:id="62"/>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3" w:name="冬季建筑附面层数"/>
            <w:r>
              <w:t>0</w:t>
            </w:r>
            <w:bookmarkEnd w:id="63"/>
          </w:p>
        </w:tc>
      </w:tr>
    </w:tbl>
    <w:p>
      <w:pPr>
        <w:rPr>
          <w:szCs w:val="21"/>
          <w:lang w:val="en-US"/>
        </w:rPr>
      </w:pPr>
    </w:p>
    <w:p>
      <w:pPr>
        <w:jc w:val="center"/>
      </w:pPr>
      <w:bookmarkStart w:id="64" w:name="网格图"/>
      <w:bookmarkEnd w:id="64"/>
      <w:r>
        <w:drawing>
          <wp:inline distT="0" distB="0" distL="0" distR="0">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4"/>
                    <a:stretch>
                      <a:fillRect/>
                    </a:stretch>
                  </pic:blipFill>
                  <pic:spPr>
                    <a:xfrm>
                      <a:off x="0" y="0"/>
                      <a:ext cx="5667375" cy="3028950"/>
                    </a:xfrm>
                    <a:prstGeom prst="rect">
                      <a:avLst/>
                    </a:prstGeom>
                  </pic:spPr>
                </pic:pic>
              </a:graphicData>
            </a:graphic>
          </wp:inline>
        </w:drawing>
      </w:r>
    </w:p>
    <w:p>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w:t>
      </w:r>
      <w:bookmarkStart w:id="65" w:name="季节"/>
      <w:r>
        <w:rPr>
          <w:rFonts w:hint="eastAsia" w:ascii="黑体" w:hAnsi="黑体" w:eastAsia="黑体"/>
          <w:sz w:val="20"/>
          <w:szCs w:val="20"/>
        </w:rPr>
        <w:t>冬季</w:t>
      </w:r>
      <w:bookmarkEnd w:id="65"/>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2</w:t>
      </w:r>
      <w:r>
        <w:rPr>
          <w:rFonts w:ascii="黑体" w:hAnsi="黑体"/>
        </w:rPr>
        <w:fldChar w:fldCharType="end"/>
      </w:r>
      <w:r>
        <w:rPr>
          <w:rFonts w:hint="eastAsia" w:ascii="黑体" w:hAnsi="黑体"/>
        </w:rPr>
        <w:t>夏季网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331262</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0.24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w:t>
            </w:r>
          </w:p>
        </w:tc>
      </w:tr>
    </w:tbl>
    <w:p>
      <w:pPr>
        <w:rPr>
          <w:szCs w:val="21"/>
          <w:lang w:val="en-US"/>
        </w:rPr>
      </w:pPr>
    </w:p>
    <w:p>
      <w:pPr>
        <w:jc w:val="center"/>
      </w:pPr>
      <w:r>
        <w:drawing>
          <wp:inline distT="0" distB="0" distL="0" distR="0">
            <wp:extent cx="5667375" cy="30289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5"/>
                    <a:stretch>
                      <a:fillRect/>
                    </a:stretch>
                  </pic:blipFill>
                  <pic:spPr>
                    <a:xfrm>
                      <a:off x="0" y="0"/>
                      <a:ext cx="5667375" cy="3028950"/>
                    </a:xfrm>
                    <a:prstGeom prst="rect">
                      <a:avLst/>
                    </a:prstGeom>
                  </pic:spPr>
                </pic:pic>
              </a:graphicData>
            </a:graphic>
          </wp:inline>
        </w:drawing>
      </w:r>
    </w:p>
    <w:p>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网格图-夏季</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3</w:t>
      </w:r>
      <w:r>
        <w:rPr>
          <w:rFonts w:ascii="黑体" w:hAnsi="黑体"/>
        </w:rPr>
        <w:fldChar w:fldCharType="end"/>
      </w:r>
      <w:r>
        <w:rPr>
          <w:rFonts w:hint="eastAsia" w:ascii="黑体" w:hAnsi="黑体"/>
        </w:rPr>
        <w:t>过渡季网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331262</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0.24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bookmarkEnd w:id="40"/>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bookmarkEnd w:id="11"/>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w:t>
            </w:r>
          </w:p>
        </w:tc>
      </w:tr>
    </w:tbl>
    <w:p>
      <w:pPr>
        <w:rPr>
          <w:szCs w:val="21"/>
          <w:lang w:val="en-US"/>
        </w:rPr>
      </w:pPr>
    </w:p>
    <w:p>
      <w:pPr>
        <w:jc w:val="center"/>
      </w:pPr>
      <w:r>
        <w:drawing>
          <wp:inline distT="0" distB="0" distL="0" distR="0">
            <wp:extent cx="5667375" cy="30289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6"/>
                    <a:stretch>
                      <a:fillRect/>
                    </a:stretch>
                  </pic:blipFill>
                  <pic:spPr>
                    <a:xfrm>
                      <a:off x="0" y="0"/>
                      <a:ext cx="5667375" cy="3028950"/>
                    </a:xfrm>
                    <a:prstGeom prst="rect">
                      <a:avLst/>
                    </a:prstGeom>
                  </pic:spPr>
                </pic:pic>
              </a:graphicData>
            </a:graphic>
          </wp:inline>
        </w:drawing>
      </w:r>
    </w:p>
    <w:p>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网格图-过渡季</w:t>
      </w:r>
    </w:p>
    <w:p>
      <w:pPr>
        <w:pStyle w:val="3"/>
        <w:ind w:firstLine="630" w:firstLineChars="300"/>
        <w:rPr>
          <w:rFonts w:ascii="黑体" w:hAnsi="黑体" w:eastAsia="黑体"/>
          <w:szCs w:val="20"/>
          <w:lang w:val="en-US"/>
        </w:rPr>
      </w:pPr>
      <w:bookmarkStart w:id="66" w:name="网格划分信息"/>
      <w:bookmarkEnd w:id="66"/>
      <w:r>
        <w:rPr>
          <w:rFonts w:hint="eastAsia" w:ascii="黑体" w:hAnsi="黑体" w:eastAsia="黑体"/>
          <w:szCs w:val="20"/>
          <w:lang w:val="en-US"/>
        </w:rPr>
        <w:t>注：前述计算域随风向不同，所以相同的网格方案会产生不同的网格数量。</w:t>
      </w:r>
    </w:p>
    <w:bookmarkEnd w:id="49"/>
    <w:p>
      <w:pPr>
        <w:pStyle w:val="3"/>
        <w:ind w:firstLine="0" w:firstLineChars="0"/>
        <w:rPr>
          <w:rFonts w:ascii="黑体" w:hAnsi="黑体" w:eastAsia="黑体"/>
          <w:szCs w:val="20"/>
          <w:lang w:val="en-US"/>
        </w:rPr>
      </w:pPr>
    </w:p>
    <w:p>
      <w:pPr>
        <w:pStyle w:val="4"/>
        <w:numPr>
          <w:ilvl w:val="1"/>
          <w:numId w:val="3"/>
        </w:numPr>
      </w:pPr>
      <w:bookmarkStart w:id="67" w:name="_Toc509844742"/>
      <w:bookmarkStart w:id="68" w:name="_Toc4630"/>
      <w:r>
        <w:rPr>
          <w:rFonts w:hint="eastAsia"/>
        </w:rPr>
        <w:t>边界条件</w:t>
      </w:r>
      <w:bookmarkEnd w:id="67"/>
      <w:bookmarkEnd w:id="68"/>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69" w:name="_Toc509844743"/>
      <w:bookmarkStart w:id="70" w:name="_Toc5855"/>
      <w:r>
        <w:rPr>
          <w:rFonts w:hint="eastAsia"/>
        </w:rPr>
        <w:t>入口与出口边界条件</w:t>
      </w:r>
      <w:bookmarkEnd w:id="69"/>
      <w:bookmarkEnd w:id="70"/>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25pt;width:71.25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5" r:id="rId18">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75pt;width:15pt;" o:ole="t" filled="f" o:preferrelative="t" stroked="f" coordsize="21600,21600">
            <v:path/>
            <v:fill on="f" focussize="0,0"/>
            <v:stroke on="f" joinstyle="miter"/>
            <v:imagedata r:id="rId21" o:title=""/>
            <o:lock v:ext="edit" aspectratio="t"/>
            <w10:wrap type="none"/>
            <w10:anchorlock/>
          </v:shape>
          <o:OLEObject Type="Embed" ProgID="Equation.3" ShapeID="_x0000_i1026" DrawAspect="Content" ObjectID="_1468075726" r:id="rId20">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4.25pt;" o:ole="t" filled="f" o:preferrelative="t" stroked="f" coordsize="21600,21600">
            <v:path/>
            <v:fill on="f" focussize="0,0"/>
            <v:stroke on="f" joinstyle="miter"/>
            <v:imagedata r:id="rId23" o:title=""/>
            <o:lock v:ext="edit" aspectratio="t"/>
            <w10:wrap type="none"/>
            <w10:anchorlock/>
          </v:shape>
          <o:OLEObject Type="Embed" ProgID="Equation.3" ShapeID="_x0000_i1027" DrawAspect="Content" ObjectID="_1468075727" r:id="rId22">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71" w:name="地面粗糙度指数2"/>
      <w:r>
        <w:rPr>
          <w:rFonts w:hint="eastAsia"/>
          <w:lang w:val="en-US"/>
        </w:rPr>
        <w:t>0.14</w:t>
      </w:r>
      <w:bookmarkEnd w:id="71"/>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72" w:name="_Toc509844744"/>
      <w:bookmarkStart w:id="73" w:name="_Toc5315"/>
      <w:r>
        <w:rPr>
          <w:rFonts w:hint="eastAsia"/>
        </w:rPr>
        <w:t>壁面边界条件</w:t>
      </w:r>
      <w:bookmarkEnd w:id="72"/>
      <w:bookmarkEnd w:id="73"/>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74" w:name="_Toc22922"/>
      <w:r>
        <w:rPr>
          <w:rFonts w:hint="eastAsia"/>
        </w:rPr>
        <w:t>湍流模型</w:t>
      </w:r>
      <w:bookmarkEnd w:id="37"/>
      <w:bookmarkEnd w:id="38"/>
      <w:bookmarkEnd w:id="74"/>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75" w:name="_Toc452108767"/>
      <w:bookmarkStart w:id="76" w:name="_Toc451698939"/>
      <w:bookmarkStart w:id="77" w:name="_Toc26188"/>
      <w:r>
        <w:rPr>
          <w:rFonts w:hint="eastAsia"/>
        </w:rPr>
        <w:t>求解计算</w:t>
      </w:r>
      <w:bookmarkEnd w:id="75"/>
      <w:bookmarkEnd w:id="76"/>
      <w:bookmarkEnd w:id="77"/>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78"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8"/>
      <w:r>
        <w:rPr>
          <w:rFonts w:hint="eastAsia" w:ascii="黑体" w:hAnsi="黑体" w:eastAsia="黑体"/>
          <w:sz w:val="20"/>
          <w:szCs w:val="20"/>
        </w:rPr>
        <w:t xml:space="preserve"> </w:t>
      </w:r>
      <w:bookmarkStart w:id="79" w:name="_Ref225175618"/>
      <w:r>
        <w:rPr>
          <w:rFonts w:hint="eastAsia" w:ascii="黑体" w:hAnsi="黑体" w:eastAsia="黑体"/>
          <w:sz w:val="20"/>
          <w:szCs w:val="20"/>
        </w:rPr>
        <w:t>计算流体力学的控制方程</w:t>
      </w:r>
      <w:bookmarkEnd w:id="79"/>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p>
    <w:p>
      <w:pPr>
        <w:pStyle w:val="4"/>
      </w:pPr>
      <w:bookmarkStart w:id="80" w:name="_Toc509844747"/>
      <w:bookmarkStart w:id="81" w:name="_Toc11120"/>
      <w:r>
        <w:rPr>
          <w:rFonts w:hint="eastAsia"/>
        </w:rPr>
        <w:t>风速放大系数计算</w:t>
      </w:r>
      <w:bookmarkEnd w:id="80"/>
      <w:bookmarkEnd w:id="81"/>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25pt;width:12.75pt;" o:ole="t" filled="f" o:preferrelative="t" stroked="f" coordsize="21600,21600">
            <v:path/>
            <v:fill on="f" focussize="0,0"/>
            <v:stroke on="f" joinstyle="miter"/>
            <v:imagedata r:id="rId65" o:title=""/>
            <o:lock v:ext="edit" aspectratio="t"/>
            <w10:wrap type="none"/>
            <w10:anchorlock/>
          </v:shape>
          <o:OLEObject Type="Embed" ProgID="Equation.3" ShapeID="_x0000_i1028" DrawAspect="Content" ObjectID="_1468075728" r:id="rId64">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pt;width:24pt;" o:ole="t" filled="f" o:preferrelative="t" stroked="f" coordsize="21600,21600">
            <v:path/>
            <v:fill on="f" focussize="0,0"/>
            <v:stroke on="f" joinstyle="miter"/>
            <v:imagedata r:id="rId67" o:title=""/>
            <o:lock v:ext="edit" aspectratio="t"/>
            <w10:wrap type="none"/>
            <w10:anchorlock/>
          </v:shape>
          <o:OLEObject Type="Embed" ProgID="Equation.3" ShapeID="_x0000_i1029" DrawAspect="Content" ObjectID="_1468075729" r:id="rId66">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25pt;width:24pt;" o:ole="t" filled="f" o:preferrelative="t" stroked="f" coordsize="21600,21600">
            <v:path/>
            <v:fill on="f" focussize="0,0"/>
            <v:stroke on="f" joinstyle="miter"/>
            <v:imagedata r:id="rId69" o:title=""/>
            <o:lock v:ext="edit" aspectratio="t"/>
            <w10:wrap type="none"/>
            <w10:anchorlock/>
          </v:shape>
          <o:OLEObject Type="Embed" ProgID="Equation.3" ShapeID="_x0000_i1030" DrawAspect="Content" ObjectID="_1468075730" r:id="rId68">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25pt;width:20.25pt;" o:ole="t" filled="f" o:preferrelative="t" stroked="f" coordsize="21600,21600">
            <v:path/>
            <v:fill on="f" focussize="0,0"/>
            <v:stroke on="f" joinstyle="miter"/>
            <v:imagedata r:id="rId71" o:title=""/>
            <o:lock v:ext="edit" aspectratio="t"/>
            <w10:wrap type="none"/>
            <w10:anchorlock/>
          </v:shape>
          <o:OLEObject Type="Embed" ProgID="Equation.3" ShapeID="_x0000_i1031" DrawAspect="Content" ObjectID="_1468075731" r:id="rId70">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82" w:name="地面粗糙度指数"/>
      <w:r>
        <w:rPr>
          <w:rFonts w:hint="eastAsia"/>
          <w:lang w:val="en-US"/>
        </w:rPr>
        <w:t>0.14</w:t>
      </w:r>
      <w:bookmarkEnd w:id="82"/>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83" w:name="_Toc452108768"/>
      <w:bookmarkStart w:id="84" w:name="_Toc1529"/>
      <w:r>
        <w:rPr>
          <w:rFonts w:hint="eastAsia"/>
        </w:rPr>
        <w:t>结果</w:t>
      </w:r>
      <w:r>
        <w:t>分析</w:t>
      </w:r>
      <w:bookmarkEnd w:id="83"/>
      <w:bookmarkEnd w:id="84"/>
    </w:p>
    <w:p>
      <w:pPr>
        <w:pStyle w:val="4"/>
        <w:rPr>
          <w:szCs w:val="21"/>
        </w:rPr>
      </w:pPr>
      <w:bookmarkStart w:id="85" w:name="_Toc22365"/>
      <w:r>
        <w:rPr>
          <w:rFonts w:hint="eastAsia"/>
          <w:szCs w:val="21"/>
        </w:rPr>
        <w:t>工况</w:t>
      </w:r>
      <w:r>
        <w:rPr>
          <w:szCs w:val="21"/>
        </w:rPr>
        <w:t>表</w:t>
      </w:r>
      <w:bookmarkEnd w:id="85"/>
      <w:bookmarkStart w:id="183" w:name="_GoBack"/>
      <w:bookmarkEnd w:id="183"/>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86"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4"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3.50</w:t>
            </w:r>
          </w:p>
        </w:tc>
        <w:tc>
          <w:tcPr>
            <w:tcW w:w="994" w:type="pct"/>
            <w:tcBorders>
              <w:top w:val="single" w:color="auto" w:sz="4" w:space="0"/>
              <w:left w:val="single" w:color="auto" w:sz="4" w:space="0"/>
              <w:bottom w:val="single" w:color="auto" w:sz="4" w:space="0"/>
              <w:right w:val="single" w:color="auto" w:sz="4" w:space="0"/>
            </w:tcBorders>
          </w:tcPr>
          <w:p>
            <w:pPr>
              <w:rPr>
                <w:rFonts w:ascii="Calibri" w:hAnsi="Calibri"/>
                <w:szCs w:val="21"/>
              </w:rPr>
            </w:pPr>
            <w:r>
              <w:rPr>
                <w:rFonts w:ascii="Calibri" w:hAnsi="Calibri"/>
                <w:szCs w:val="21"/>
              </w:rPr>
              <w:t>NW</w:t>
            </w:r>
          </w:p>
        </w:tc>
        <w:tc>
          <w:tcPr>
            <w:tcW w:w="994" w:type="pct"/>
            <w:tcBorders>
              <w:top w:val="single" w:color="auto" w:sz="4" w:space="0"/>
              <w:left w:val="single" w:color="auto" w:sz="4" w:space="0"/>
              <w:bottom w:val="single" w:color="auto" w:sz="4" w:space="0"/>
              <w:right w:val="single" w:color="auto" w:sz="12" w:space="0"/>
            </w:tcBorders>
          </w:tcPr>
          <w:p>
            <w:pPr>
              <w:rPr>
                <w:rFonts w:ascii="Calibri" w:hAnsi="Calibri"/>
                <w:szCs w:val="21"/>
              </w:rPr>
            </w:pPr>
            <w:r>
              <w:rPr>
                <w:rFonts w:ascii="Calibri" w:hAnsi="Calibri"/>
                <w:szCs w:val="21"/>
              </w:rPr>
              <w:t>135.0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4" w:space="0"/>
              <w:right w:val="single" w:color="auto" w:sz="4" w:space="0"/>
            </w:tcBorders>
          </w:tcPr>
          <w:p>
            <w:pPr>
              <w:rPr>
                <w:rFonts w:ascii="Calibri" w:hAnsi="Calibri"/>
                <w:szCs w:val="21"/>
              </w:rPr>
            </w:pPr>
            <w:r>
              <w:rPr>
                <w:rFonts w:ascii="Calibri" w:hAnsi="Calibri"/>
                <w:szCs w:val="21"/>
              </w:rPr>
              <w:t>2</w:t>
            </w:r>
          </w:p>
        </w:tc>
        <w:tc>
          <w:tcPr>
            <w:tcW w:w="1166"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夏季</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2.60</w:t>
            </w:r>
          </w:p>
        </w:tc>
        <w:tc>
          <w:tcPr>
            <w:tcW w:w="994" w:type="pct"/>
            <w:tcBorders>
              <w:top w:val="single" w:color="auto" w:sz="4" w:space="0"/>
              <w:left w:val="single" w:color="auto" w:sz="4" w:space="0"/>
              <w:bottom w:val="single" w:color="auto" w:sz="4" w:space="0"/>
              <w:right w:val="single" w:color="auto" w:sz="4" w:space="0"/>
            </w:tcBorders>
          </w:tcPr>
          <w:p>
            <w:pPr>
              <w:rPr>
                <w:rFonts w:ascii="Calibri" w:hAnsi="Calibri"/>
                <w:szCs w:val="21"/>
              </w:rPr>
            </w:pPr>
            <w:r>
              <w:rPr>
                <w:rFonts w:ascii="Calibri" w:hAnsi="Calibri"/>
                <w:szCs w:val="21"/>
              </w:rPr>
              <w:t>SSE</w:t>
            </w:r>
          </w:p>
        </w:tc>
        <w:tc>
          <w:tcPr>
            <w:tcW w:w="994" w:type="pct"/>
            <w:tcBorders>
              <w:top w:val="single" w:color="auto" w:sz="4" w:space="0"/>
              <w:left w:val="single" w:color="auto" w:sz="4" w:space="0"/>
              <w:bottom w:val="single" w:color="auto" w:sz="4" w:space="0"/>
              <w:right w:val="single" w:color="auto" w:sz="12" w:space="0"/>
            </w:tcBorders>
          </w:tcPr>
          <w:p>
            <w:pPr>
              <w:rPr>
                <w:rFonts w:ascii="Calibri" w:hAnsi="Calibri"/>
                <w:szCs w:val="21"/>
              </w:rPr>
            </w:pPr>
            <w:r>
              <w:rPr>
                <w:rFonts w:ascii="Calibri" w:hAnsi="Calibri"/>
                <w:szCs w:val="21"/>
              </w:rPr>
              <w:t>292.5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3</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过渡季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2.80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SSE</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292.5</w:t>
            </w:r>
          </w:p>
        </w:tc>
      </w:tr>
      <w:bookmarkEnd w:id="86"/>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2"/>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bookmarkStart w:id="87" w:name="_Toc509844750"/>
      <w:bookmarkStart w:id="88" w:name="_Toc11878"/>
      <w:r>
        <w:rPr>
          <w:rFonts w:hint="eastAsia"/>
        </w:rPr>
        <w:t>冬季工况</w:t>
      </w:r>
      <w:bookmarkEnd w:id="87"/>
      <w:bookmarkEnd w:id="88"/>
    </w:p>
    <w:p>
      <w:pPr>
        <w:ind w:firstLine="420" w:firstLineChars="200"/>
        <w:jc w:val="both"/>
      </w:pPr>
      <w:r>
        <w:rPr>
          <w:rFonts w:hint="eastAsia"/>
          <w:lang w:val="en-US"/>
        </w:rPr>
        <w:t>本项目冬季工况的入口边界风速为</w:t>
      </w:r>
      <w:bookmarkStart w:id="89" w:name="冬季入口边界风速"/>
      <w:r>
        <w:rPr>
          <w:rFonts w:hint="eastAsia" w:ascii="Calibri" w:hAnsi="Calibri"/>
          <w:szCs w:val="21"/>
        </w:rPr>
        <w:t>3.50</w:t>
      </w:r>
      <w:bookmarkEnd w:id="89"/>
      <w:r>
        <w:rPr>
          <w:rFonts w:ascii="Calibri" w:hAnsi="Calibri"/>
          <w:szCs w:val="21"/>
        </w:rPr>
        <w:t>m/s</w:t>
      </w:r>
      <w:r>
        <w:rPr>
          <w:rFonts w:hint="eastAsia" w:ascii="Calibri" w:hAnsi="Calibri"/>
          <w:szCs w:val="21"/>
        </w:rPr>
        <w:t>，风向为</w:t>
      </w:r>
      <w:bookmarkStart w:id="90" w:name="冬季入口边界风向"/>
      <w:r>
        <w:rPr>
          <w:szCs w:val="21"/>
        </w:rPr>
        <w:t>NW</w:t>
      </w:r>
      <w:bookmarkEnd w:id="90"/>
      <w:r>
        <w:rPr>
          <w:rFonts w:hint="eastAsia"/>
          <w:szCs w:val="21"/>
        </w:rPr>
        <w:t>。</w:t>
      </w:r>
    </w:p>
    <w:p>
      <w:pPr>
        <w:pStyle w:val="5"/>
      </w:pPr>
      <w:bookmarkStart w:id="91" w:name="_Toc509844751"/>
      <w:bookmarkStart w:id="92" w:name="_Toc11422"/>
      <w:r>
        <w:rPr>
          <w:rFonts w:hint="eastAsia"/>
        </w:rPr>
        <w:t>风速达标分析</w:t>
      </w:r>
      <w:bookmarkEnd w:id="91"/>
      <w:bookmarkEnd w:id="92"/>
      <w:r>
        <w:rPr>
          <w:rFonts w:hint="eastAsia"/>
        </w:rPr>
        <w:t xml:space="preserve"> </w:t>
      </w:r>
    </w:p>
    <w:p>
      <w:pPr>
        <w:pStyle w:val="3"/>
        <w:ind w:firstLine="420"/>
      </w:pPr>
      <w:r>
        <w:rPr>
          <w:rFonts w:hint="eastAsia"/>
          <w:lang w:val="en-US"/>
        </w:rPr>
        <w:t>下图为整个计算域内风速分布云图，参考图中速度分布可以对项目中建筑布局进行优化。计算域内建筑周围如果有风速超限区域，图中会用速度上限值为5m/s的黑色等值线标示。</w:t>
      </w:r>
    </w:p>
    <w:p>
      <w:pPr>
        <w:pStyle w:val="3"/>
        <w:ind w:firstLine="420"/>
        <w:rPr>
          <w:lang w:val="en-US"/>
        </w:rPr>
      </w:pPr>
      <w:r>
        <w:rPr>
          <w:rFonts w:hint="eastAsia"/>
          <w:lang w:val="en-US"/>
        </w:rPr>
        <w:t>分析下列图数据，</w:t>
      </w:r>
      <w:bookmarkStart w:id="93" w:name="冬季工况人行区风速分析结论"/>
      <w:bookmarkEnd w:id="93"/>
      <w:r>
        <w:rPr>
          <w:lang w:val="en-US"/>
        </w:rPr>
        <w:t>未标示出超标区域，可知人行区域风速小于5m/s，</w:t>
      </w:r>
      <w:r>
        <w:rPr>
          <w:color w:val="0000FF"/>
          <w:lang w:val="en-US"/>
        </w:rPr>
        <w:t>满足</w:t>
      </w:r>
      <w:r>
        <w:rPr>
          <w:lang w:val="en-US"/>
        </w:rPr>
        <w:t>绿标要求。</w:t>
      </w:r>
    </w:p>
    <w:p>
      <w:pPr>
        <w:pStyle w:val="3"/>
        <w:ind w:left="-6" w:leftChars="-3" w:firstLine="4" w:firstLineChars="2"/>
        <w:jc w:val="center"/>
        <w:rPr>
          <w:rFonts w:ascii="Calibri Light" w:hAnsi="Calibri Light" w:eastAsia="黑体"/>
          <w:sz w:val="20"/>
          <w:szCs w:val="20"/>
        </w:rPr>
      </w:pPr>
      <w:bookmarkStart w:id="94" w:name="冬季工况人行区风速云图"/>
      <w:bookmarkEnd w:id="94"/>
      <w:r>
        <w:drawing>
          <wp:inline distT="0" distB="0" distL="0" distR="0">
            <wp:extent cx="5667375" cy="265747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73"/>
                    <a:stretch>
                      <a:fillRect/>
                    </a:stretch>
                  </pic:blipFill>
                  <pic:spPr>
                    <a:xfrm>
                      <a:off x="0" y="0"/>
                      <a:ext cx="5667375" cy="2657475"/>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计算域内-1.5米高度水平面风速云图-冬季</w:t>
      </w:r>
    </w:p>
    <w:p>
      <w:pPr>
        <w:pStyle w:val="3"/>
        <w:ind w:firstLine="420"/>
        <w:rPr>
          <w:lang w:val="en-US"/>
        </w:rPr>
      </w:pPr>
    </w:p>
    <w:p>
      <w:pPr>
        <w:pStyle w:val="5"/>
      </w:pPr>
      <w:bookmarkStart w:id="95" w:name="_Toc509844752"/>
      <w:bookmarkStart w:id="96" w:name="_Toc14637"/>
      <w:r>
        <w:rPr>
          <w:rFonts w:hint="eastAsia"/>
        </w:rPr>
        <w:t>风速放大系数达标分析</w:t>
      </w:r>
      <w:bookmarkEnd w:id="95"/>
      <w:bookmarkEnd w:id="96"/>
    </w:p>
    <w:p>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列云图数据，</w:t>
      </w:r>
      <w:bookmarkStart w:id="97" w:name="冬季工况人行区风速放大系数分析结论"/>
      <w:bookmarkEnd w:id="97"/>
      <w:r>
        <w:rPr>
          <w:lang w:val="en-US"/>
        </w:rPr>
        <w:t>图中未标示出风速放大系数超标区域，因此可知人行区域风速放大系数小于2，</w:t>
      </w:r>
      <w:r>
        <w:rPr>
          <w:color w:val="0000FF"/>
          <w:lang w:val="en-US"/>
        </w:rPr>
        <w:t>满足</w:t>
      </w:r>
      <w:r>
        <w:rPr>
          <w:lang w:val="en-US"/>
        </w:rPr>
        <w:t>绿标要求。</w:t>
      </w:r>
    </w:p>
    <w:p>
      <w:pPr>
        <w:pStyle w:val="13"/>
        <w:jc w:val="center"/>
      </w:pPr>
      <w:bookmarkStart w:id="98" w:name="冬季工况人行区风速放大系数云图"/>
      <w:bookmarkEnd w:id="98"/>
      <w:r>
        <w:drawing>
          <wp:inline distT="0" distB="0" distL="0" distR="0">
            <wp:extent cx="5667375" cy="26289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74"/>
                    <a:stretch>
                      <a:fillRect/>
                    </a:stretch>
                  </pic:blipFill>
                  <pic:spPr>
                    <a:xfrm>
                      <a:off x="0" y="0"/>
                      <a:ext cx="5667375" cy="2628900"/>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rPr>
        <w:t>计算域内-1.5米高处风速放大系数云图</w:t>
      </w:r>
    </w:p>
    <w:p>
      <w:pPr>
        <w:pStyle w:val="3"/>
        <w:ind w:firstLine="420"/>
        <w:rPr>
          <w:rFonts w:hint="eastAsia"/>
          <w:lang w:val="en-US"/>
        </w:rPr>
      </w:pPr>
    </w:p>
    <w:p>
      <w:pPr>
        <w:pStyle w:val="3"/>
        <w:ind w:firstLine="420"/>
        <w:rPr>
          <w:rFonts w:ascii="黑体" w:hAnsi="黑体" w:eastAsia="黑体"/>
          <w:szCs w:val="20"/>
          <w:lang w:val="en-US"/>
        </w:rPr>
      </w:pPr>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1）计算域内结果云图中图例上限为软件默认输出，图例上限也可按需求在结果浏览中调整。</w:t>
      </w:r>
    </w:p>
    <w:p>
      <w:pPr>
        <w:ind w:firstLine="420" w:firstLineChars="200"/>
        <w:rPr>
          <w:rFonts w:hint="eastAsia" w:ascii="黑体" w:hAnsi="黑体" w:eastAsia="黑体"/>
          <w:lang w:val="en-US"/>
        </w:rPr>
      </w:pPr>
      <w:r>
        <w:rPr>
          <w:rFonts w:hint="eastAsia" w:ascii="黑体" w:hAnsi="黑体" w:eastAsia="黑体"/>
          <w:lang w:val="en-US"/>
        </w:rPr>
        <w:t>2）通常将1.5米作为一般人群的参考行走高度，也可酌情调整人行走高度。</w:t>
      </w:r>
      <w:bookmarkStart w:id="99" w:name="_Toc509844754"/>
      <w:bookmarkEnd w:id="99"/>
      <w:bookmarkStart w:id="100" w:name="_Toc509844757"/>
      <w:bookmarkEnd w:id="100"/>
      <w:bookmarkStart w:id="101" w:name="_Toc509844756"/>
      <w:bookmarkEnd w:id="101"/>
      <w:bookmarkStart w:id="102" w:name="_Toc509844755"/>
      <w:bookmarkEnd w:id="102"/>
    </w:p>
    <w:p>
      <w:pPr>
        <w:pStyle w:val="3"/>
        <w:ind w:firstLine="420"/>
        <w:rPr>
          <w:lang w:val="en-US"/>
        </w:rPr>
      </w:pPr>
    </w:p>
    <w:p>
      <w:pPr>
        <w:pStyle w:val="5"/>
      </w:pPr>
      <w:bookmarkStart w:id="103" w:name="_Toc509844753"/>
      <w:bookmarkStart w:id="104" w:name="_Toc2631"/>
      <w:r>
        <w:rPr>
          <w:rFonts w:hint="eastAsia"/>
        </w:rPr>
        <w:t>冬季工况风速/风速放大系数达标</w:t>
      </w:r>
      <w:bookmarkEnd w:id="103"/>
      <w:r>
        <w:rPr>
          <w:rFonts w:hint="eastAsia"/>
        </w:rPr>
        <w:t>结果汇总</w:t>
      </w:r>
      <w:bookmarkEnd w:id="104"/>
    </w:p>
    <w:p>
      <w:pPr>
        <w:pStyle w:val="3"/>
        <w:ind w:firstLine="420"/>
      </w:pPr>
      <w:r>
        <w:rPr>
          <w:rFonts w:hint="eastAsia"/>
          <w:lang w:val="en-US"/>
        </w:rPr>
        <w:t>综合上述冬季工况风场中风速和风速放大系数的计算分析，将分析结果汇总如下表：</w:t>
      </w:r>
    </w:p>
    <w:p>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8522" w:type="dxa"/>
        <w:jc w:val="center"/>
        <w:tblLayout w:type="autofit"/>
        <w:tblCellMar>
          <w:top w:w="0" w:type="dxa"/>
          <w:left w:w="108" w:type="dxa"/>
          <w:bottom w:w="0" w:type="dxa"/>
          <w:right w:w="108" w:type="dxa"/>
        </w:tblCellMar>
      </w:tblPr>
      <w:tblGrid>
        <w:gridCol w:w="3823"/>
        <w:gridCol w:w="1581"/>
        <w:gridCol w:w="1843"/>
        <w:gridCol w:w="1275"/>
      </w:tblGrid>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433" w:firstLineChars="196"/>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评价内容</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jc w:val="center"/>
        </w:trPr>
        <w:tc>
          <w:tcPr>
            <w:tcW w:w="3823"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w:t>
            </w:r>
          </w:p>
        </w:tc>
        <w:tc>
          <w:tcPr>
            <w:tcW w:w="1581" w:type="dxa"/>
            <w:tcBorders>
              <w:top w:val="nil"/>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5m/s </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105" w:name="冬季工况风速是否有超限区域"/>
            <w:r>
              <w:rPr>
                <w:rFonts w:hint="eastAsia" w:ascii="宋体" w:hAnsi="宋体" w:cs="宋体"/>
                <w:color w:val="000000"/>
                <w:sz w:val="22"/>
                <w:szCs w:val="22"/>
                <w:lang w:val="en-US"/>
              </w:rPr>
              <w:t>否</w:t>
            </w:r>
            <w:bookmarkEnd w:id="105"/>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06" w:name="冬季工况风速达标判断"/>
            <w:r>
              <w:rPr>
                <w:rFonts w:hint="eastAsia" w:ascii="宋体" w:hAnsi="宋体" w:cs="宋体"/>
                <w:color w:val="000000"/>
                <w:sz w:val="22"/>
                <w:szCs w:val="22"/>
                <w:lang w:val="en-US"/>
              </w:rPr>
              <w:t>是</w:t>
            </w:r>
            <w:bookmarkEnd w:id="106"/>
          </w:p>
        </w:tc>
      </w:tr>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107" w:name="冬季工况风速放大系数是否有超限区域"/>
            <w:r>
              <w:rPr>
                <w:rFonts w:hint="eastAsia" w:ascii="宋体" w:hAnsi="宋体" w:cs="宋体"/>
                <w:color w:val="000000"/>
                <w:sz w:val="22"/>
                <w:szCs w:val="22"/>
                <w:lang w:val="en-US"/>
              </w:rPr>
              <w:t>否</w:t>
            </w:r>
            <w:bookmarkEnd w:id="107"/>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08" w:name="冬季工况风速放大系数达标判断"/>
            <w:r>
              <w:rPr>
                <w:rFonts w:hint="eastAsia" w:ascii="宋体" w:hAnsi="宋体" w:cs="宋体"/>
                <w:color w:val="000000"/>
                <w:sz w:val="22"/>
                <w:szCs w:val="22"/>
                <w:lang w:val="en-US"/>
              </w:rPr>
              <w:t>是</w:t>
            </w:r>
            <w:bookmarkEnd w:id="108"/>
          </w:p>
        </w:tc>
      </w:tr>
    </w:tbl>
    <w:p/>
    <w:p>
      <w:pPr>
        <w:pStyle w:val="5"/>
      </w:pPr>
      <w:bookmarkStart w:id="109" w:name="_Toc19799"/>
      <w:r>
        <w:rPr>
          <w:rFonts w:hint="eastAsia"/>
        </w:rPr>
        <w:t>建筑迎风面和背风面风压分析</w:t>
      </w:r>
      <w:bookmarkEnd w:id="109"/>
    </w:p>
    <w:p>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0" distR="0">
            <wp:extent cx="3657600" cy="2924175"/>
            <wp:effectExtent l="0" t="0" r="0" b="9525"/>
            <wp:docPr id="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
                    <pic:cNvPicPr>
                      <a:picLocks noChangeAspect="1" noChangeArrowheads="1"/>
                    </pic:cNvPicPr>
                  </pic:nvPicPr>
                  <pic:blipFill>
                    <a:blip r:embed="rId75">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p>
      <w:pPr>
        <w:pStyle w:val="13"/>
        <w:jc w:val="center"/>
        <w:rPr>
          <w:lang w:val="en-US"/>
        </w:rPr>
      </w:pPr>
      <w:bookmarkStart w:id="110" w:name="冬季工况建筑迎风面风压云图"/>
      <w:bookmarkEnd w:id="110"/>
      <w:r>
        <w:drawing>
          <wp:inline distT="0" distB="0" distL="0" distR="0">
            <wp:extent cx="5667375" cy="27908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76"/>
                    <a:stretch>
                      <a:fillRect/>
                    </a:stretch>
                  </pic:blipFill>
                  <pic:spPr>
                    <a:xfrm>
                      <a:off x="0" y="0"/>
                      <a:ext cx="5667375" cy="2790825"/>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pPr>
        <w:pStyle w:val="13"/>
        <w:jc w:val="center"/>
      </w:pPr>
      <w:bookmarkStart w:id="111" w:name="冬季工况建筑背风面风压云图"/>
      <w:bookmarkEnd w:id="111"/>
      <w:r>
        <w:drawing>
          <wp:inline distT="0" distB="0" distL="0" distR="0">
            <wp:extent cx="5667375" cy="28194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77"/>
                    <a:stretch>
                      <a:fillRect/>
                    </a:stretch>
                  </pic:blipFill>
                  <pic:spPr>
                    <a:xfrm>
                      <a:off x="0" y="0"/>
                      <a:ext cx="5667375" cy="28194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pPr>
        <w:pStyle w:val="6"/>
      </w:pPr>
      <w:bookmarkStart w:id="112" w:name="建筑迎风面和背风面风压差计算结果"/>
      <w:r>
        <w:rPr>
          <w:rFonts w:hint="eastAsia"/>
        </w:rPr>
        <w:t>建筑迎风面和背风面风压差计算结果</w:t>
      </w:r>
    </w:p>
    <w:p>
      <w:pPr>
        <w:jc w:val="center"/>
        <w:rPr>
          <w:rFonts w:ascii="Cambria" w:hAnsi="Cambria" w:eastAsia="黑体"/>
          <w:sz w:val="20"/>
        </w:rPr>
      </w:pPr>
      <w:bookmarkStart w:id="113" w:name="建筑迎背风面风压差表"/>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5.2</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2</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w:t>
      </w:r>
      <w:bookmarkStart w:id="114" w:name="建筑迎背风面风压差表_建筑名"/>
      <w:r>
        <w:rPr>
          <w:rFonts w:ascii="Cambria" w:hAnsi="Cambria" w:eastAsia="黑体"/>
          <w:sz w:val="20"/>
        </w:rPr>
        <w:t>Vent风环境模拟</w:t>
      </w:r>
      <w:bookmarkEnd w:id="114"/>
      <w:r>
        <w:rPr>
          <w:rFonts w:hint="eastAsia" w:ascii="Cambria" w:hAnsi="Cambria" w:eastAsia="黑体"/>
          <w:sz w:val="20"/>
        </w:rPr>
        <w:t>迎背风面窗平均风压差表</w:t>
      </w:r>
    </w:p>
    <w:tbl>
      <w:tblPr>
        <w:tblStyle w:val="22"/>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pPr>
              <w:spacing w:line="360" w:lineRule="exact"/>
              <w:jc w:val="center"/>
              <w:rPr>
                <w:lang w:val="en-US"/>
              </w:rPr>
            </w:pPr>
            <w:r>
              <w:rPr>
                <w:rFonts w:hint="eastAsia"/>
                <w:lang w:val="en-US"/>
              </w:rPr>
              <w:t>迎背风面窗平均风压差</w:t>
            </w:r>
            <w:r>
              <w:rPr>
                <w:lang w:val="en-US"/>
              </w:rPr>
              <w:t>(Pa)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-0.05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-0.78</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-0.19</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-1.20</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-0.11</w:t>
            </w:r>
          </w:p>
        </w:tc>
        <w:tc>
          <w:tcPr>
            <w:tcW w:w="269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-1.00</w:t>
            </w:r>
          </w:p>
        </w:tc>
        <w:tc>
          <w:tcPr>
            <w:tcW w:w="2693"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lang w:val="en-US"/>
              </w:rPr>
            </w:pPr>
            <w:r>
              <w:rPr>
                <w:lang w:val="en-US"/>
              </w:rPr>
              <w:t>0.89</w:t>
            </w:r>
          </w:p>
        </w:tc>
      </w:tr>
      <w:bookmarkEnd w:id="113"/>
    </w:tbl>
    <w:p>
      <w:bookmarkStart w:id="115" w:name="结论"/>
      <w:bookmarkEnd w:id="115"/>
      <w:r>
        <w:t>标准要求：迎背风面窗平均风压差（绝对值）≤5Pa。结论：该楼</w:t>
      </w:r>
      <w:r>
        <w:rPr>
          <w:b/>
          <w:color w:val="0000FF"/>
        </w:rPr>
        <w:t>达标</w:t>
      </w:r>
      <w:r>
        <w:t>。</w:t>
      </w:r>
    </w:p>
    <w:bookmarkEnd w:id="112"/>
    <w:p>
      <w:pPr>
        <w:jc w:val="center"/>
        <w:rPr>
          <w:rFonts w:ascii="Cambria" w:hAnsi="Cambria" w:eastAsia="黑体"/>
          <w:sz w:val="20"/>
        </w:rPr>
      </w:pPr>
      <w:bookmarkStart w:id="116" w:name="建筑迎背风面风压差表_新增"/>
      <w:bookmarkEnd w:id="116"/>
    </w:p>
    <w:p>
      <w:pPr>
        <w:pStyle w:val="6"/>
      </w:pPr>
      <w:r>
        <w:rPr>
          <w:rFonts w:hint="eastAsia"/>
        </w:rPr>
        <w:t>建筑迎风和背风面风压差结论汇总</w:t>
      </w:r>
    </w:p>
    <w:p>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rPr>
          <w:rFonts w:hint="eastAsia"/>
        </w:rP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rFonts w:hint="eastAsia"/>
        </w:rPr>
        <w:t>3</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pPr>
              <w:jc w:val="center"/>
              <w:rPr>
                <w:lang w:val="en-US"/>
              </w:rPr>
            </w:pPr>
            <w:bookmarkStart w:id="117" w:name="建筑迎风和背风面风压差结论汇总表"/>
            <w:r>
              <w:rPr>
                <w:rFonts w:hint="eastAsia"/>
                <w:lang w:val="en-US"/>
              </w:rPr>
              <w:t>建筑编号</w:t>
            </w:r>
          </w:p>
        </w:tc>
        <w:tc>
          <w:tcPr>
            <w:tcW w:w="1276" w:type="dxa"/>
            <w:shd w:val="clear" w:color="auto" w:fill="E6E6E6"/>
            <w:vAlign w:val="center"/>
          </w:tcPr>
          <w:p>
            <w:pPr>
              <w:jc w:val="center"/>
              <w:rPr>
                <w:lang w:val="en-US"/>
              </w:rPr>
            </w:pPr>
            <w:r>
              <w:rPr>
                <w:rFonts w:hint="eastAsia"/>
                <w:lang w:val="en-US"/>
              </w:rPr>
              <w:t>迎风面平均风压(Pa)</w:t>
            </w:r>
          </w:p>
        </w:tc>
        <w:tc>
          <w:tcPr>
            <w:tcW w:w="1276" w:type="dxa"/>
            <w:shd w:val="clear" w:color="auto" w:fill="E6E6E6"/>
            <w:vAlign w:val="center"/>
          </w:tcPr>
          <w:p>
            <w:pPr>
              <w:jc w:val="center"/>
              <w:rPr>
                <w:lang w:val="en-US"/>
              </w:rPr>
            </w:pPr>
            <w:r>
              <w:rPr>
                <w:rFonts w:hint="eastAsia"/>
                <w:lang w:val="en-US"/>
              </w:rPr>
              <w:t>背风面平均风压(Pa)</w:t>
            </w:r>
          </w:p>
        </w:tc>
        <w:tc>
          <w:tcPr>
            <w:tcW w:w="1701" w:type="dxa"/>
            <w:shd w:val="clear" w:color="auto" w:fill="E6E6E6"/>
            <w:vAlign w:val="center"/>
          </w:tcPr>
          <w:p>
            <w:pPr>
              <w:jc w:val="center"/>
              <w:rPr>
                <w:lang w:val="en-US"/>
              </w:rPr>
            </w:pPr>
            <w:r>
              <w:rPr>
                <w:rFonts w:hint="eastAsia"/>
                <w:lang w:val="en-US"/>
              </w:rPr>
              <w:t>建筑迎风和背风面风压差(Pa)</w:t>
            </w:r>
          </w:p>
        </w:tc>
        <w:tc>
          <w:tcPr>
            <w:tcW w:w="973"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Vent风环境模拟</w:t>
            </w:r>
          </w:p>
        </w:tc>
        <w:tc>
          <w:tcPr>
            <w:tcW w:w="1276" w:type="dxa"/>
            <w:shd w:val="clear" w:color="auto" w:fill="auto"/>
            <w:vAlign w:val="center"/>
          </w:tcPr>
          <w:p>
            <w:pPr>
              <w:jc w:val="center"/>
              <w:rPr>
                <w:lang w:val="en-US"/>
              </w:rPr>
            </w:pPr>
            <w:r>
              <w:rPr>
                <w:lang w:val="en-US"/>
              </w:rPr>
              <w:t>-0.11</w:t>
            </w:r>
          </w:p>
        </w:tc>
        <w:tc>
          <w:tcPr>
            <w:tcW w:w="1276" w:type="dxa"/>
            <w:shd w:val="clear" w:color="auto" w:fill="auto"/>
            <w:vAlign w:val="center"/>
          </w:tcPr>
          <w:p>
            <w:pPr>
              <w:jc w:val="center"/>
              <w:rPr>
                <w:lang w:val="en-US"/>
              </w:rPr>
            </w:pPr>
            <w:r>
              <w:rPr>
                <w:lang w:val="en-US"/>
              </w:rPr>
              <w:t>-1.00</w:t>
            </w:r>
          </w:p>
        </w:tc>
        <w:tc>
          <w:tcPr>
            <w:tcW w:w="1701" w:type="dxa"/>
            <w:shd w:val="clear" w:color="auto" w:fill="auto"/>
            <w:vAlign w:val="center"/>
          </w:tcPr>
          <w:p>
            <w:pPr>
              <w:jc w:val="center"/>
              <w:rPr>
                <w:lang w:val="en-US"/>
              </w:rPr>
            </w:pPr>
            <w:r>
              <w:rPr>
                <w:lang w:val="en-US"/>
              </w:rPr>
              <w:t>0.89</w:t>
            </w:r>
          </w:p>
        </w:tc>
        <w:tc>
          <w:tcPr>
            <w:tcW w:w="973" w:type="dxa"/>
            <w:shd w:val="clear" w:color="auto" w:fill="auto"/>
            <w:vAlign w:val="center"/>
          </w:tcPr>
          <w:p>
            <w:pPr>
              <w:jc w:val="center"/>
              <w:rPr>
                <w:lang w:val="en-US"/>
              </w:rPr>
            </w:pPr>
            <w:r>
              <w:rPr>
                <w:lang w:val="en-US"/>
              </w:rPr>
              <w:t>是</w:t>
            </w:r>
          </w:p>
        </w:tc>
      </w:tr>
      <w:bookmarkEnd w:id="117"/>
    </w:tbl>
    <w:p>
      <w:pPr>
        <w:rPr>
          <w:lang w:val="en-US"/>
        </w:rPr>
      </w:pPr>
      <w:bookmarkStart w:id="118" w:name="建筑迎风和背风面风压差结论汇总结论"/>
      <w:bookmarkEnd w:id="118"/>
      <w:r>
        <w:rPr>
          <w:lang w:val="en-US"/>
        </w:rPr>
        <w:t>结论：本项目中参评建筑</w:t>
      </w:r>
      <w:r>
        <w:rPr>
          <w:b/>
          <w:color w:val="0000FF"/>
          <w:lang w:val="en-US"/>
        </w:rPr>
        <w:t>满足</w:t>
      </w:r>
      <w:r>
        <w:rPr>
          <w:lang w:val="en-US"/>
        </w:rPr>
        <w:t>“除迎风第一排建筑外，建筑迎风面与背风面表面风压差不超过5Pa”的要求。</w:t>
      </w:r>
    </w:p>
    <w:p>
      <w:pPr>
        <w:rPr>
          <w:lang w:val="en-US"/>
        </w:rPr>
      </w:pPr>
      <w:bookmarkStart w:id="119" w:name="冬季工况"/>
      <w:bookmarkEnd w:id="119"/>
      <w:r>
        <w:rPr>
          <w:rFonts w:hint="eastAsia"/>
          <w:lang w:val="en-US"/>
        </w:rPr>
        <w:t xml:space="preserve"> </w:t>
      </w:r>
    </w:p>
    <w:p>
      <w:pPr>
        <w:pStyle w:val="4"/>
      </w:pPr>
      <w:bookmarkStart w:id="120" w:name="_Toc509844759"/>
      <w:bookmarkStart w:id="121" w:name="_Toc20740"/>
      <w:r>
        <w:rPr>
          <w:rFonts w:hint="eastAsia"/>
        </w:rPr>
        <w:t>夏季工况</w:t>
      </w:r>
      <w:bookmarkEnd w:id="120"/>
      <w:bookmarkEnd w:id="121"/>
    </w:p>
    <w:p>
      <w:pPr>
        <w:pStyle w:val="3"/>
        <w:ind w:firstLine="420"/>
      </w:pPr>
      <w:r>
        <w:rPr>
          <w:rFonts w:hint="eastAsia"/>
          <w:lang w:val="en-US"/>
        </w:rPr>
        <w:t>本项目夏季工况的入口边界风速为</w:t>
      </w:r>
      <w:bookmarkStart w:id="122" w:name="入口边界风速"/>
      <w:r>
        <w:rPr>
          <w:rFonts w:hint="eastAsia"/>
          <w:lang w:val="en-US"/>
        </w:rPr>
        <w:t>2.60</w:t>
      </w:r>
      <w:bookmarkEnd w:id="122"/>
      <w:r>
        <w:rPr>
          <w:rFonts w:hint="eastAsia"/>
          <w:lang w:val="en-US"/>
        </w:rPr>
        <w:t>m/s，风向为</w:t>
      </w:r>
      <w:bookmarkStart w:id="123" w:name="入口边界风向"/>
      <w:r>
        <w:t>SSE</w:t>
      </w:r>
      <w:bookmarkEnd w:id="123"/>
      <w:r>
        <w:rPr>
          <w:rFonts w:hint="eastAsia"/>
          <w:lang w:val="en-US"/>
        </w:rPr>
        <w:t>。</w:t>
      </w:r>
    </w:p>
    <w:p>
      <w:pPr>
        <w:pStyle w:val="3"/>
        <w:ind w:firstLine="420"/>
      </w:pPr>
      <w:r>
        <w:rPr>
          <w:rFonts w:hint="eastAsia"/>
          <w:lang w:val="en-US"/>
        </w:rPr>
        <w:t>根据前述《绿色建筑评价标准》 对于夏季工况的要求，夏季典型风速和风向条件下，场地内人活动区不出现涡旋或无风区。通过该项标准指导设计确保合理的建筑布局，在</w:t>
      </w:r>
      <w:bookmarkStart w:id="124" w:name="季节4"/>
      <w:r>
        <w:rPr>
          <w:rFonts w:hint="eastAsia"/>
          <w:lang w:val="en-US"/>
        </w:rPr>
        <w:t>夏季</w:t>
      </w:r>
      <w:bookmarkEnd w:id="124"/>
      <w:r>
        <w:rPr>
          <w:rFonts w:hint="eastAsia"/>
          <w:lang w:val="en-US"/>
        </w:rPr>
        <w:t>形成有效的巷道风，优化街区自然通风环境，避免</w:t>
      </w:r>
      <w:bookmarkStart w:id="125" w:name="季节5"/>
      <w:r>
        <w:rPr>
          <w:rFonts w:hint="eastAsia"/>
          <w:lang w:val="en-US"/>
        </w:rPr>
        <w:t>夏季</w:t>
      </w:r>
      <w:bookmarkEnd w:id="125"/>
      <w:r>
        <w:rPr>
          <w:rFonts w:hint="eastAsia"/>
          <w:lang w:val="en-US"/>
        </w:rPr>
        <w:t>人活动区有明显的气流旋涡和无风区，从而造成闷热不适感。因此本项目需要分析人活动区的风速，并作出判断。</w:t>
      </w:r>
    </w:p>
    <w:p>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126" w:name="_Toc509844760"/>
      <w:bookmarkStart w:id="127" w:name="_Toc20368"/>
      <w:r>
        <w:rPr>
          <w:rFonts w:hint="eastAsia"/>
        </w:rPr>
        <w:t>无风区计算分析</w:t>
      </w:r>
      <w:bookmarkEnd w:id="126"/>
      <w:bookmarkEnd w:id="127"/>
    </w:p>
    <w:p>
      <w:pPr>
        <w:pStyle w:val="3"/>
        <w:spacing w:after="156" w:afterLines="50"/>
        <w:ind w:firstLine="420"/>
        <w:jc w:val="left"/>
      </w:pPr>
      <w:r>
        <w:rPr>
          <w:rFonts w:hint="eastAsia"/>
        </w:rPr>
        <w:t>下图为整个计算域内风速分布云图，参考图中速度分布可以对项目中建筑布局进行优化。分析下图</w:t>
      </w:r>
      <w:r>
        <w:rPr>
          <w:rFonts w:hint="eastAsia"/>
          <w:lang w:val="en-US"/>
        </w:rPr>
        <w:t>，</w:t>
      </w:r>
      <w:bookmarkStart w:id="128" w:name="人活动区风速分析结论"/>
      <w:bookmarkEnd w:id="128"/>
      <w:r>
        <w:t>人活动区内未标示出风速</w:t>
      </w:r>
      <w:r>
        <w:rPr>
          <w:color w:val="0000FF"/>
        </w:rPr>
        <w:t>小于</w:t>
      </w:r>
      <w:r>
        <w:t>0.2m/s的超限区域，因此人活动区风速</w:t>
      </w:r>
      <w:r>
        <w:rPr>
          <w:color w:val="0000FF"/>
        </w:rPr>
        <w:t>满足</w:t>
      </w:r>
      <w:r>
        <w:t>绿标要求，项目可采用现有建筑布局。</w:t>
      </w:r>
    </w:p>
    <w:p>
      <w:pPr>
        <w:pStyle w:val="3"/>
        <w:spacing w:after="156" w:afterLines="50"/>
        <w:ind w:firstLine="0" w:firstLineChars="0"/>
        <w:jc w:val="center"/>
      </w:pPr>
      <w:bookmarkStart w:id="129" w:name="人行区风速云图"/>
      <w:bookmarkEnd w:id="129"/>
      <w:r>
        <w:drawing>
          <wp:inline distT="0" distB="0" distL="0" distR="0">
            <wp:extent cx="5667375" cy="2657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78"/>
                    <a:stretch>
                      <a:fillRect/>
                    </a:stretch>
                  </pic:blipFill>
                  <pic:spPr>
                    <a:xfrm>
                      <a:off x="0" y="0"/>
                      <a:ext cx="5667375" cy="2657475"/>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计算域内-1.5米高度水平面风速云图-夏季</w:t>
      </w:r>
    </w:p>
    <w:p>
      <w:pPr>
        <w:pStyle w:val="3"/>
        <w:ind w:firstLine="420"/>
      </w:pPr>
    </w:p>
    <w:p>
      <w:pPr>
        <w:pStyle w:val="5"/>
      </w:pPr>
      <w:bookmarkStart w:id="130" w:name="_Toc509844761"/>
      <w:bookmarkStart w:id="131" w:name="_Toc9886"/>
      <w:r>
        <w:rPr>
          <w:rFonts w:hint="eastAsia"/>
        </w:rPr>
        <w:t>旋涡区分析</w:t>
      </w:r>
      <w:bookmarkEnd w:id="130"/>
      <w:bookmarkEnd w:id="131"/>
    </w:p>
    <w:p>
      <w:pPr>
        <w:pStyle w:val="3"/>
        <w:ind w:firstLine="420"/>
        <w:rPr>
          <w:lang w:val="en-US"/>
        </w:rPr>
      </w:pPr>
      <w:r>
        <w:rPr>
          <w:rFonts w:hint="eastAsia"/>
          <w:lang w:val="en-US"/>
        </w:rPr>
        <w:t>下图为计算域内的风速矢量图，分析下图可知，计算域内没有明显的旋涡产生，本项目建筑布局基本合理。</w:t>
      </w:r>
    </w:p>
    <w:p>
      <w:pPr>
        <w:pStyle w:val="3"/>
        <w:ind w:firstLine="0" w:firstLineChars="0"/>
        <w:jc w:val="center"/>
        <w:rPr>
          <w:lang w:val="en-US"/>
        </w:rPr>
      </w:pPr>
      <w:bookmarkStart w:id="132" w:name="人行区风速矢量图"/>
      <w:bookmarkEnd w:id="132"/>
      <w:r>
        <w:drawing>
          <wp:inline distT="0" distB="0" distL="0" distR="0">
            <wp:extent cx="5667375" cy="286702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79"/>
                    <a:stretch>
                      <a:fillRect/>
                    </a:stretch>
                  </pic:blipFill>
                  <pic:spPr>
                    <a:xfrm>
                      <a:off x="0" y="0"/>
                      <a:ext cx="5667375" cy="2867025"/>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计算域内-1.5米高度水平面风速矢量图</w:t>
      </w:r>
    </w:p>
    <w:p>
      <w:pPr>
        <w:pStyle w:val="3"/>
        <w:ind w:firstLine="420"/>
        <w:rPr>
          <w:lang w:val="en-US"/>
        </w:rPr>
      </w:pPr>
    </w:p>
    <w:p>
      <w:pPr>
        <w:pStyle w:val="5"/>
      </w:pPr>
      <w:bookmarkStart w:id="133" w:name="_Toc509844762"/>
      <w:bookmarkStart w:id="134" w:name="_Toc6931"/>
      <w:r>
        <w:rPr>
          <w:rFonts w:hint="eastAsia"/>
        </w:rPr>
        <w:t>旋涡区/无风区达标</w:t>
      </w:r>
      <w:bookmarkEnd w:id="133"/>
      <w:r>
        <w:rPr>
          <w:rFonts w:hint="eastAsia"/>
        </w:rPr>
        <w:t>结果汇总</w:t>
      </w:r>
      <w:bookmarkEnd w:id="134"/>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135" w:name="季节8"/>
      <w:r>
        <w:rPr>
          <w:rFonts w:hint="eastAsia" w:ascii="黑体" w:hAnsi="黑体" w:eastAsia="黑体"/>
          <w:sz w:val="20"/>
          <w:szCs w:val="20"/>
        </w:rPr>
        <w:t>夏季</w:t>
      </w:r>
      <w:bookmarkEnd w:id="135"/>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36" w:name="是否有无风区"/>
            <w:r>
              <w:rPr>
                <w:rFonts w:hint="eastAsia" w:ascii="宋体" w:hAnsi="宋体" w:cs="宋体"/>
                <w:color w:val="000000"/>
                <w:sz w:val="22"/>
                <w:szCs w:val="22"/>
                <w:lang w:val="en-US"/>
              </w:rPr>
              <w:t>否</w:t>
            </w:r>
            <w:bookmarkEnd w:id="136"/>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37" w:name="无风区达标判断"/>
            <w:r>
              <w:rPr>
                <w:rFonts w:hint="eastAsia" w:ascii="宋体" w:hAnsi="宋体" w:cs="宋体"/>
                <w:color w:val="000000"/>
                <w:sz w:val="22"/>
                <w:szCs w:val="22"/>
                <w:lang w:val="en-US"/>
              </w:rPr>
              <w:t>是</w:t>
            </w:r>
            <w:bookmarkEnd w:id="137"/>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38" w:name="是否有旋涡区"/>
            <w:r>
              <w:rPr>
                <w:rFonts w:ascii="宋体" w:hAnsi="宋体" w:cs="宋体"/>
                <w:color w:val="000000"/>
                <w:sz w:val="22"/>
                <w:szCs w:val="22"/>
                <w:lang w:val="en-US"/>
              </w:rPr>
              <w:t>否</w:t>
            </w:r>
            <w:bookmarkEnd w:id="138"/>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39" w:name="旋涡区达标判断"/>
            <w:r>
              <w:rPr>
                <w:rFonts w:ascii="宋体" w:hAnsi="宋体" w:cs="宋体"/>
                <w:color w:val="000000"/>
                <w:sz w:val="22"/>
                <w:szCs w:val="22"/>
                <w:lang w:val="en-US"/>
              </w:rPr>
              <w:t>是</w:t>
            </w:r>
            <w:bookmarkEnd w:id="139"/>
          </w:p>
        </w:tc>
      </w:tr>
    </w:tbl>
    <w:p>
      <w:pPr>
        <w:pStyle w:val="5"/>
      </w:pPr>
      <w:bookmarkStart w:id="140" w:name="_Toc504501018"/>
      <w:bookmarkStart w:id="141" w:name="_Toc509844763"/>
      <w:bookmarkStart w:id="142" w:name="_Toc15305"/>
      <w:r>
        <w:rPr>
          <w:rFonts w:hint="eastAsia"/>
        </w:rPr>
        <w:t>外窗内外表面风压</w:t>
      </w:r>
      <w:bookmarkEnd w:id="140"/>
      <w:r>
        <w:rPr>
          <w:rFonts w:hint="eastAsia"/>
        </w:rPr>
        <w:t>差达标分析</w:t>
      </w:r>
      <w:bookmarkEnd w:id="141"/>
      <w:bookmarkEnd w:id="142"/>
    </w:p>
    <w:p>
      <w:pPr>
        <w:pStyle w:val="3"/>
        <w:ind w:firstLine="420"/>
      </w:pPr>
      <w:r>
        <w:rPr>
          <w:rFonts w:hint="eastAsia"/>
          <w:lang w:val="en-US"/>
        </w:rPr>
        <w:t>分析《绿色建筑评价标准》，</w:t>
      </w:r>
      <w:bookmarkStart w:id="143" w:name="季节9"/>
      <w:r>
        <w:rPr>
          <w:rFonts w:hint="eastAsia"/>
          <w:lang w:val="en-US"/>
        </w:rPr>
        <w:t>夏季</w:t>
      </w:r>
      <w:bookmarkEnd w:id="143"/>
      <w:r>
        <w:rPr>
          <w:rFonts w:hint="eastAsia"/>
          <w:lang w:val="en-US"/>
        </w:rPr>
        <w:t>为充分利用自然通风获得良好的室内风环境，要求50%以上可开启外窗室内外表面的风压差大于0.5Pa。</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p>
      <w:pPr>
        <w:pStyle w:val="3"/>
        <w:ind w:firstLine="0" w:firstLineChars="0"/>
        <w:jc w:val="center"/>
      </w:pPr>
      <w:bookmarkStart w:id="144" w:name="迎风面风压云图"/>
      <w:bookmarkEnd w:id="144"/>
      <w:r>
        <w:drawing>
          <wp:inline distT="0" distB="0" distL="0" distR="0">
            <wp:extent cx="5667375" cy="27908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80"/>
                    <a:stretch>
                      <a:fillRect/>
                    </a:stretch>
                  </pic:blipFill>
                  <pic:spPr>
                    <a:xfrm>
                      <a:off x="0" y="0"/>
                      <a:ext cx="5667375" cy="2790825"/>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w:t>
      </w:r>
      <w:bookmarkStart w:id="145" w:name="季节10"/>
      <w:r>
        <w:rPr>
          <w:rFonts w:hint="eastAsia" w:ascii="黑体" w:hAnsi="黑体" w:eastAsia="黑体"/>
          <w:sz w:val="20"/>
          <w:szCs w:val="20"/>
        </w:rPr>
        <w:t>夏季</w:t>
      </w:r>
      <w:bookmarkEnd w:id="145"/>
    </w:p>
    <w:p>
      <w:pPr>
        <w:pStyle w:val="13"/>
        <w:jc w:val="center"/>
      </w:pPr>
      <w:bookmarkStart w:id="146" w:name="背风面风压云图"/>
      <w:bookmarkEnd w:id="146"/>
      <w:r>
        <w:drawing>
          <wp:inline distT="0" distB="0" distL="0" distR="0">
            <wp:extent cx="5667375" cy="28194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81"/>
                    <a:stretch>
                      <a:fillRect/>
                    </a:stretch>
                  </pic:blipFill>
                  <pic:spPr>
                    <a:xfrm>
                      <a:off x="0" y="0"/>
                      <a:ext cx="5667375" cy="28194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w:t>
      </w:r>
      <w:bookmarkStart w:id="147" w:name="季节11"/>
      <w:r>
        <w:rPr>
          <w:rFonts w:hint="eastAsia" w:ascii="黑体" w:hAnsi="黑体" w:eastAsia="黑体"/>
          <w:sz w:val="20"/>
          <w:szCs w:val="20"/>
        </w:rPr>
        <w:t>夏季</w:t>
      </w:r>
      <w:bookmarkEnd w:id="147"/>
      <w:r>
        <w:rPr>
          <w:rFonts w:hint="eastAsia"/>
        </w:rPr>
        <w:t xml:space="preserve"> </w:t>
      </w:r>
    </w:p>
    <w:p>
      <w:r>
        <w:rPr>
          <w:rFonts w:hint="eastAsia"/>
        </w:rPr>
        <w:t>下表为依据上图提取的外窗外表面平均风压数据，相当于外窗室内外表面风压差数据，并依据标准做出达标判断：</w:t>
      </w:r>
    </w:p>
    <w:p>
      <w:pPr>
        <w:pStyle w:val="13"/>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5.3</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pPr>
              <w:jc w:val="center"/>
              <w:rPr>
                <w:lang w:val="en-US"/>
              </w:rPr>
            </w:pPr>
            <w:bookmarkStart w:id="148" w:name="建筑外窗室内外风压差达标判定"/>
            <w:r>
              <w:rPr>
                <w:rFonts w:hint="eastAsia"/>
                <w:lang w:val="en-US"/>
              </w:rPr>
              <w:t>建筑编号</w:t>
            </w:r>
          </w:p>
        </w:tc>
        <w:tc>
          <w:tcPr>
            <w:tcW w:w="1134" w:type="dxa"/>
            <w:shd w:val="clear" w:color="auto" w:fill="E6E6E6"/>
            <w:vAlign w:val="center"/>
          </w:tcPr>
          <w:p>
            <w:pPr>
              <w:jc w:val="center"/>
              <w:rPr>
                <w:lang w:val="en-US"/>
              </w:rPr>
            </w:pPr>
            <w:r>
              <w:rPr>
                <w:rFonts w:hint="eastAsia"/>
                <w:lang w:val="en-US"/>
              </w:rPr>
              <w:t>可开启外窗总数</w:t>
            </w:r>
          </w:p>
        </w:tc>
        <w:tc>
          <w:tcPr>
            <w:tcW w:w="1984" w:type="dxa"/>
            <w:shd w:val="clear" w:color="auto" w:fill="E6E6E6"/>
            <w:vAlign w:val="center"/>
          </w:tcPr>
          <w:p>
            <w:pPr>
              <w:jc w:val="center"/>
              <w:rPr>
                <w:lang w:val="en-US"/>
              </w:rPr>
            </w:pPr>
            <w:r>
              <w:rPr>
                <w:rFonts w:hint="eastAsia"/>
                <w:lang w:val="en-US"/>
              </w:rPr>
              <w:t>室内外风压差大于0.5Pa的外窗总数</w:t>
            </w:r>
          </w:p>
        </w:tc>
        <w:tc>
          <w:tcPr>
            <w:tcW w:w="1116" w:type="dxa"/>
            <w:shd w:val="clear" w:color="auto" w:fill="E6E6E6"/>
            <w:vAlign w:val="center"/>
          </w:tcPr>
          <w:p>
            <w:pPr>
              <w:jc w:val="center"/>
              <w:rPr>
                <w:lang w:val="en-US"/>
              </w:rPr>
            </w:pPr>
            <w:r>
              <w:rPr>
                <w:rFonts w:hint="eastAsia"/>
                <w:lang w:val="en-US"/>
              </w:rPr>
              <w:t>达标比例（%）</w:t>
            </w:r>
          </w:p>
        </w:tc>
        <w:tc>
          <w:tcPr>
            <w:tcW w:w="708"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pPr>
              <w:jc w:val="center"/>
              <w:rPr>
                <w:lang w:val="en-US"/>
              </w:rPr>
            </w:pPr>
            <w:r>
              <w:rPr>
                <w:lang w:val="en-US"/>
              </w:rPr>
              <w:t>DT单体(Vent风环境模拟)</w:t>
            </w:r>
          </w:p>
        </w:tc>
        <w:tc>
          <w:tcPr>
            <w:tcW w:w="1134" w:type="dxa"/>
            <w:shd w:val="clear" w:color="auto" w:fill="auto"/>
            <w:vAlign w:val="center"/>
          </w:tcPr>
          <w:p>
            <w:pPr>
              <w:jc w:val="center"/>
              <w:rPr>
                <w:lang w:val="en-US"/>
              </w:rPr>
            </w:pPr>
            <w:r>
              <w:rPr>
                <w:lang w:val="en-US"/>
              </w:rPr>
              <w:t>78</w:t>
            </w:r>
          </w:p>
        </w:tc>
        <w:tc>
          <w:tcPr>
            <w:tcW w:w="1984" w:type="dxa"/>
            <w:shd w:val="clear" w:color="auto" w:fill="auto"/>
            <w:vAlign w:val="center"/>
          </w:tcPr>
          <w:p>
            <w:pPr>
              <w:jc w:val="center"/>
              <w:rPr>
                <w:lang w:val="en-US"/>
              </w:rPr>
            </w:pPr>
            <w:r>
              <w:rPr>
                <w:lang w:val="en-US"/>
              </w:rPr>
              <w:t>57</w:t>
            </w:r>
          </w:p>
        </w:tc>
        <w:tc>
          <w:tcPr>
            <w:tcW w:w="1116" w:type="dxa"/>
            <w:shd w:val="clear" w:color="auto" w:fill="auto"/>
            <w:vAlign w:val="center"/>
          </w:tcPr>
          <w:p>
            <w:pPr>
              <w:jc w:val="center"/>
              <w:rPr>
                <w:lang w:val="en-US"/>
              </w:rPr>
            </w:pPr>
            <w:r>
              <w:rPr>
                <w:lang w:val="en-US"/>
              </w:rPr>
              <w:t>73.08</w:t>
            </w:r>
          </w:p>
        </w:tc>
        <w:tc>
          <w:tcPr>
            <w:tcW w:w="708" w:type="dxa"/>
            <w:shd w:val="clear" w:color="auto" w:fill="auto"/>
            <w:vAlign w:val="center"/>
          </w:tcPr>
          <w:p>
            <w:pPr>
              <w:jc w:val="center"/>
              <w:rPr>
                <w:lang w:val="en-US"/>
              </w:rPr>
            </w:pPr>
            <w:r>
              <w:rPr>
                <w:lang w:val="en-US"/>
              </w:rPr>
              <w:t>是</w:t>
            </w:r>
          </w:p>
        </w:tc>
      </w:tr>
      <w:bookmarkEnd w:id="148"/>
    </w:tbl>
    <w:p>
      <w:r>
        <w:rPr>
          <w:rFonts w:hint="eastAsia"/>
          <w:lang w:val="en-US"/>
        </w:rPr>
        <w:t>说明：达标比例＝（室内外风压差大于0.5Pa的总数/可开启外窗总数）*100％</w:t>
      </w:r>
    </w:p>
    <w:p>
      <w:pPr>
        <w:rPr>
          <w:lang w:val="en-US"/>
        </w:rPr>
      </w:pPr>
    </w:p>
    <w:p/>
    <w:p>
      <w:pPr>
        <w:rPr>
          <w:lang w:val="en-US"/>
        </w:rPr>
      </w:pPr>
      <w:bookmarkStart w:id="149" w:name="建筑室内外风压差达标判定结论"/>
      <w:r>
        <w:rPr>
          <w:rFonts w:hint="eastAsia"/>
          <w:lang w:val="en-US"/>
        </w:rPr>
        <w:t>结论：本项目中所有建筑均满足“50%以上可开启外窗室内外表面的风压差大于0.5Pa”的要求。</w:t>
      </w:r>
      <w:bookmarkEnd w:id="149"/>
      <w:r>
        <w:rPr>
          <w:rFonts w:hint="eastAsia"/>
          <w:lang w:val="en-US"/>
        </w:rPr>
        <w:t xml:space="preserve"> </w:t>
      </w:r>
    </w:p>
    <w:p>
      <w:pPr>
        <w:pStyle w:val="4"/>
      </w:pPr>
      <w:bookmarkStart w:id="150" w:name="_Toc24215"/>
      <w:r>
        <w:rPr>
          <w:rFonts w:hint="eastAsia"/>
        </w:rPr>
        <w:t>过渡季工况</w:t>
      </w:r>
      <w:bookmarkEnd w:id="150"/>
    </w:p>
    <w:p>
      <w:pPr>
        <w:pStyle w:val="3"/>
        <w:ind w:firstLine="420"/>
      </w:pPr>
      <w:r>
        <w:rPr>
          <w:rFonts w:hint="eastAsia"/>
          <w:lang w:val="en-US"/>
        </w:rPr>
        <w:t>本项目过渡季</w:t>
      </w:r>
      <w:bookmarkEnd w:id="2"/>
      <w:r>
        <w:rPr>
          <w:rFonts w:hint="eastAsia"/>
          <w:lang w:val="en-US"/>
        </w:rPr>
        <w:t>工况的入口边界风速为2.80</w:t>
      </w:r>
      <w:bookmarkEnd w:id="3"/>
      <w:r>
        <w:rPr>
          <w:rFonts w:hint="eastAsia"/>
          <w:lang w:val="en-US"/>
        </w:rPr>
        <w:t>m/s，风向为</w:t>
      </w:r>
      <w:r>
        <w:t>SSE</w:t>
      </w:r>
      <w:bookmarkEnd w:id="4"/>
      <w:r>
        <w:rPr>
          <w:rFonts w:hint="eastAsia"/>
          <w:lang w:val="en-US"/>
        </w:rPr>
        <w:t>。</w:t>
      </w:r>
    </w:p>
    <w:p>
      <w:pPr>
        <w:pStyle w:val="3"/>
        <w:ind w:firstLine="420"/>
      </w:pPr>
      <w:r>
        <w:rPr>
          <w:rFonts w:hint="eastAsia"/>
          <w:lang w:val="en-US"/>
        </w:rPr>
        <w:t>根据前述《绿色建筑评价标准》 对于夏季工况的要求，过渡季</w:t>
      </w:r>
      <w:bookmarkEnd w:id="5"/>
      <w:r>
        <w:rPr>
          <w:rFonts w:hint="eastAsia"/>
          <w:lang w:val="en-US"/>
        </w:rPr>
        <w:t>典型风速和风向条件下，场地内人活动区不出现涡旋或无风区。通过该项标准指导设计确保合理的建筑布局，在过渡季</w:t>
      </w:r>
      <w:bookmarkEnd w:id="6"/>
      <w:r>
        <w:rPr>
          <w:rFonts w:hint="eastAsia"/>
          <w:lang w:val="en-US"/>
        </w:rPr>
        <w:t>形成有效的巷道风，优化街区自然通风环境，避免过渡季</w:t>
      </w:r>
      <w:bookmarkEnd w:id="7"/>
      <w:r>
        <w:rPr>
          <w:rFonts w:hint="eastAsia"/>
          <w:lang w:val="en-US"/>
        </w:rPr>
        <w:t>人活动区有明显的气流旋涡和无风区，从而造成闷热不适感。因此本项目需要分析人活动区的风速，并作出判断。</w:t>
      </w:r>
    </w:p>
    <w:p>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151" w:name="_Toc10707"/>
      <w:r>
        <w:rPr>
          <w:rFonts w:hint="eastAsia"/>
        </w:rPr>
        <w:t>无风区计算分析</w:t>
      </w:r>
      <w:bookmarkEnd w:id="8"/>
      <w:bookmarkEnd w:id="151"/>
    </w:p>
    <w:p>
      <w:pPr>
        <w:pStyle w:val="3"/>
        <w:spacing w:after="156" w:afterLines="50"/>
        <w:ind w:firstLine="420"/>
        <w:jc w:val="left"/>
      </w:pPr>
      <w:r>
        <w:rPr>
          <w:rFonts w:hint="eastAsia"/>
        </w:rPr>
        <w:t>下图为整个计算域内风速分布云图，参考图中速度分布可以对项目中建筑布局进行优化。分析下图</w:t>
      </w:r>
      <w:r>
        <w:rPr>
          <w:rFonts w:hint="eastAsia"/>
          <w:lang w:val="en-US"/>
        </w:rPr>
        <w:t>，</w:t>
      </w:r>
      <w:r>
        <w:t>人活动区内未标示出风速</w:t>
      </w:r>
      <w:r>
        <w:rPr>
          <w:color w:val="0000FF"/>
        </w:rPr>
        <w:t>小于</w:t>
      </w:r>
      <w:r>
        <w:t>0.2m/s的超限区域，因此人活动区风速</w:t>
      </w:r>
      <w:r>
        <w:rPr>
          <w:color w:val="0000FF"/>
        </w:rPr>
        <w:t>满足</w:t>
      </w:r>
      <w:r>
        <w:t>绿标要求，项目可采用现有建筑布局。</w:t>
      </w:r>
    </w:p>
    <w:p>
      <w:pPr>
        <w:pStyle w:val="3"/>
        <w:spacing w:after="156" w:afterLines="50"/>
        <w:ind w:firstLine="0" w:firstLineChars="0"/>
        <w:jc w:val="center"/>
      </w:pPr>
      <w:r>
        <w:drawing>
          <wp:inline distT="0" distB="0" distL="0" distR="0">
            <wp:extent cx="5667375" cy="265747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82"/>
                    <a:stretch>
                      <a:fillRect/>
                    </a:stretch>
                  </pic:blipFill>
                  <pic:spPr>
                    <a:xfrm>
                      <a:off x="0" y="0"/>
                      <a:ext cx="5667375" cy="2657475"/>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计算域内-1.5米高度水平面风速云图-夏季</w:t>
      </w:r>
    </w:p>
    <w:p>
      <w:pPr>
        <w:pStyle w:val="3"/>
        <w:ind w:firstLine="420"/>
      </w:pPr>
    </w:p>
    <w:p>
      <w:pPr>
        <w:pStyle w:val="5"/>
      </w:pPr>
      <w:bookmarkStart w:id="152" w:name="_Toc9690"/>
      <w:r>
        <w:rPr>
          <w:rFonts w:hint="eastAsia"/>
        </w:rPr>
        <w:t>旋涡区分析</w:t>
      </w:r>
      <w:bookmarkEnd w:id="10"/>
      <w:bookmarkEnd w:id="152"/>
    </w:p>
    <w:p>
      <w:pPr>
        <w:pStyle w:val="3"/>
        <w:ind w:firstLine="420"/>
        <w:rPr>
          <w:lang w:val="en-US"/>
        </w:rPr>
      </w:pPr>
      <w:r>
        <w:rPr>
          <w:rFonts w:hint="eastAsia"/>
          <w:lang w:val="en-US"/>
        </w:rPr>
        <w:t>下图为计算域内的风速矢量图，分析下图可知，计算域内没有明显的旋涡产生，本项目建筑布局基本合理。</w:t>
      </w:r>
    </w:p>
    <w:p>
      <w:pPr>
        <w:pStyle w:val="3"/>
        <w:ind w:firstLine="0" w:firstLineChars="0"/>
        <w:jc w:val="center"/>
        <w:rPr>
          <w:lang w:val="en-US"/>
        </w:rPr>
      </w:pPr>
      <w:r>
        <w:drawing>
          <wp:inline distT="0" distB="0" distL="0" distR="0">
            <wp:extent cx="5667375" cy="2867025"/>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83"/>
                    <a:stretch>
                      <a:fillRect/>
                    </a:stretch>
                  </pic:blipFill>
                  <pic:spPr>
                    <a:xfrm>
                      <a:off x="0" y="0"/>
                      <a:ext cx="5667375" cy="2867025"/>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计算域内-1.5米高度水平面风速矢量图</w:t>
      </w:r>
    </w:p>
    <w:p>
      <w:pPr>
        <w:pStyle w:val="3"/>
        <w:ind w:firstLine="420"/>
        <w:rPr>
          <w:lang w:val="en-US"/>
        </w:rPr>
      </w:pPr>
    </w:p>
    <w:p>
      <w:pPr>
        <w:pStyle w:val="5"/>
      </w:pPr>
      <w:bookmarkStart w:id="153" w:name="_Toc28286"/>
      <w:r>
        <w:rPr>
          <w:rFonts w:hint="eastAsia"/>
        </w:rPr>
        <w:t>旋涡区/无风区达标</w:t>
      </w:r>
      <w:bookmarkEnd w:id="13"/>
      <w:r>
        <w:rPr>
          <w:rFonts w:hint="eastAsia"/>
        </w:rPr>
        <w:t>结果汇总</w:t>
      </w:r>
      <w:bookmarkEnd w:id="153"/>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过渡季</w:t>
      </w:r>
      <w:bookmarkEnd w:id="15"/>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hint="eastAsia" w:ascii="宋体" w:hAnsi="宋体" w:cs="宋体"/>
                <w:color w:val="000000"/>
                <w:sz w:val="22"/>
                <w:szCs w:val="22"/>
                <w:lang w:val="en-US"/>
              </w:rPr>
              <w:t>否</w:t>
            </w:r>
            <w:bookmarkEnd w:id="17"/>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hint="eastAsia" w:ascii="宋体" w:hAnsi="宋体" w:cs="宋体"/>
                <w:color w:val="000000"/>
                <w:sz w:val="22"/>
                <w:szCs w:val="22"/>
                <w:lang w:val="en-US"/>
              </w:rPr>
              <w:t>是</w:t>
            </w:r>
            <w:bookmarkEnd w:id="18"/>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否</w:t>
            </w:r>
            <w:bookmarkEnd w:id="19"/>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是</w:t>
            </w:r>
            <w:bookmarkEnd w:id="21"/>
          </w:p>
        </w:tc>
      </w:tr>
    </w:tbl>
    <w:p>
      <w:pPr>
        <w:pStyle w:val="5"/>
      </w:pPr>
      <w:bookmarkStart w:id="154" w:name="_Toc7318"/>
      <w:r>
        <w:rPr>
          <w:rFonts w:hint="eastAsia"/>
        </w:rPr>
        <w:t>外窗内外表面风压</w:t>
      </w:r>
      <w:bookmarkEnd w:id="22"/>
      <w:r>
        <w:rPr>
          <w:rFonts w:hint="eastAsia"/>
        </w:rPr>
        <w:t>差达标分析</w:t>
      </w:r>
      <w:bookmarkEnd w:id="23"/>
      <w:bookmarkEnd w:id="154"/>
    </w:p>
    <w:p>
      <w:pPr>
        <w:pStyle w:val="3"/>
        <w:ind w:firstLine="420"/>
      </w:pPr>
      <w:r>
        <w:rPr>
          <w:rFonts w:hint="eastAsia"/>
          <w:lang w:val="en-US"/>
        </w:rPr>
        <w:t>分析《绿色建筑评价标准》，过渡季</w:t>
      </w:r>
      <w:bookmarkEnd w:id="25"/>
      <w:r>
        <w:rPr>
          <w:rFonts w:hint="eastAsia"/>
          <w:lang w:val="en-US"/>
        </w:rPr>
        <w:t>为充分利用自然通风获得良好的室内风环境，要求50%以上可开启外窗室内外表面的风压差大于0.5Pa。</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bookmarkEnd w:id="26"/>
    <w:p>
      <w:pPr>
        <w:pStyle w:val="3"/>
        <w:ind w:firstLine="0" w:firstLineChars="0"/>
        <w:jc w:val="center"/>
      </w:pPr>
      <w:r>
        <w:drawing>
          <wp:inline distT="0" distB="0" distL="0" distR="0">
            <wp:extent cx="5667375" cy="2790825"/>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84"/>
                    <a:stretch>
                      <a:fillRect/>
                    </a:stretch>
                  </pic:blipFill>
                  <pic:spPr>
                    <a:xfrm>
                      <a:off x="0" y="0"/>
                      <a:ext cx="5667375" cy="2790825"/>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建筑迎风面外窗表面风压云图-过渡季</w:t>
      </w:r>
      <w:bookmarkEnd w:id="27"/>
    </w:p>
    <w:bookmarkEnd w:id="28"/>
    <w:p>
      <w:pPr>
        <w:pStyle w:val="13"/>
        <w:jc w:val="center"/>
      </w:pPr>
      <w:r>
        <w:drawing>
          <wp:inline distT="0" distB="0" distL="0" distR="0">
            <wp:extent cx="5667375" cy="28194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85"/>
                    <a:stretch>
                      <a:fillRect/>
                    </a:stretch>
                  </pic:blipFill>
                  <pic:spPr>
                    <a:xfrm>
                      <a:off x="0" y="0"/>
                      <a:ext cx="5667375" cy="28194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建筑背风面外窗表面风压云图-过渡季</w:t>
      </w:r>
      <w:bookmarkEnd w:id="29"/>
      <w:r>
        <w:rPr>
          <w:rFonts w:hint="eastAsia"/>
        </w:rPr>
        <w:t xml:space="preserve"> </w:t>
      </w:r>
    </w:p>
    <w:p>
      <w:r>
        <w:rPr>
          <w:rFonts w:hint="eastAsia"/>
        </w:rPr>
        <w:t>下表为依据上图提取的外窗外表面平均风压数据，相当于外窗室内外表面风压差数据，并依据标准做出达标判断：</w:t>
      </w:r>
    </w:p>
    <w:p>
      <w:pPr>
        <w:pStyle w:val="13"/>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pPr>
              <w:jc w:val="center"/>
              <w:rPr>
                <w:lang w:val="en-US"/>
              </w:rPr>
            </w:pPr>
            <w:r>
              <w:rPr>
                <w:rFonts w:hint="eastAsia"/>
                <w:lang w:val="en-US"/>
              </w:rPr>
              <w:t>建筑编号</w:t>
            </w:r>
          </w:p>
        </w:tc>
        <w:tc>
          <w:tcPr>
            <w:tcW w:w="1134" w:type="dxa"/>
            <w:shd w:val="clear" w:color="auto" w:fill="E6E6E6"/>
            <w:vAlign w:val="center"/>
          </w:tcPr>
          <w:p>
            <w:pPr>
              <w:jc w:val="center"/>
              <w:rPr>
                <w:lang w:val="en-US"/>
              </w:rPr>
            </w:pPr>
            <w:r>
              <w:rPr>
                <w:rFonts w:hint="eastAsia"/>
                <w:lang w:val="en-US"/>
              </w:rPr>
              <w:t>可开启外窗总数</w:t>
            </w:r>
          </w:p>
        </w:tc>
        <w:tc>
          <w:tcPr>
            <w:tcW w:w="1984" w:type="dxa"/>
            <w:shd w:val="clear" w:color="auto" w:fill="E6E6E6"/>
            <w:vAlign w:val="center"/>
          </w:tcPr>
          <w:p>
            <w:pPr>
              <w:jc w:val="center"/>
              <w:rPr>
                <w:lang w:val="en-US"/>
              </w:rPr>
            </w:pPr>
            <w:r>
              <w:rPr>
                <w:rFonts w:hint="eastAsia"/>
                <w:lang w:val="en-US"/>
              </w:rPr>
              <w:t>室内外风压差大于0.5Pa的外窗总数</w:t>
            </w:r>
          </w:p>
        </w:tc>
        <w:tc>
          <w:tcPr>
            <w:tcW w:w="1116" w:type="dxa"/>
            <w:shd w:val="clear" w:color="auto" w:fill="E6E6E6"/>
            <w:vAlign w:val="center"/>
          </w:tcPr>
          <w:p>
            <w:pPr>
              <w:jc w:val="center"/>
              <w:rPr>
                <w:lang w:val="en-US"/>
              </w:rPr>
            </w:pPr>
            <w:r>
              <w:rPr>
                <w:rFonts w:hint="eastAsia"/>
                <w:lang w:val="en-US"/>
              </w:rPr>
              <w:t>达标比例（%）</w:t>
            </w:r>
          </w:p>
        </w:tc>
        <w:tc>
          <w:tcPr>
            <w:tcW w:w="708"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pPr>
              <w:jc w:val="center"/>
              <w:rPr>
                <w:lang w:val="en-US"/>
              </w:rPr>
            </w:pPr>
            <w:r>
              <w:rPr>
                <w:lang w:val="en-US"/>
              </w:rPr>
              <w:t>DT单体(Vent风环境模拟)</w:t>
            </w:r>
          </w:p>
        </w:tc>
        <w:tc>
          <w:tcPr>
            <w:tcW w:w="1134" w:type="dxa"/>
            <w:shd w:val="clear" w:color="auto" w:fill="auto"/>
            <w:vAlign w:val="center"/>
          </w:tcPr>
          <w:p>
            <w:pPr>
              <w:jc w:val="center"/>
              <w:rPr>
                <w:lang w:val="en-US"/>
              </w:rPr>
            </w:pPr>
            <w:r>
              <w:rPr>
                <w:lang w:val="en-US"/>
              </w:rPr>
              <w:t>78</w:t>
            </w:r>
          </w:p>
        </w:tc>
        <w:tc>
          <w:tcPr>
            <w:tcW w:w="1984" w:type="dxa"/>
            <w:shd w:val="clear" w:color="auto" w:fill="auto"/>
            <w:vAlign w:val="center"/>
          </w:tcPr>
          <w:p>
            <w:pPr>
              <w:jc w:val="center"/>
              <w:rPr>
                <w:lang w:val="en-US"/>
              </w:rPr>
            </w:pPr>
            <w:r>
              <w:rPr>
                <w:lang w:val="en-US"/>
              </w:rPr>
              <w:t>60</w:t>
            </w:r>
          </w:p>
        </w:tc>
        <w:tc>
          <w:tcPr>
            <w:tcW w:w="1116" w:type="dxa"/>
            <w:shd w:val="clear" w:color="auto" w:fill="auto"/>
            <w:vAlign w:val="center"/>
          </w:tcPr>
          <w:p>
            <w:pPr>
              <w:jc w:val="center"/>
              <w:rPr>
                <w:lang w:val="en-US"/>
              </w:rPr>
            </w:pPr>
            <w:r>
              <w:rPr>
                <w:lang w:val="en-US"/>
              </w:rPr>
              <w:t>76.92</w:t>
            </w:r>
          </w:p>
        </w:tc>
        <w:tc>
          <w:tcPr>
            <w:tcW w:w="708" w:type="dxa"/>
            <w:shd w:val="clear" w:color="auto" w:fill="auto"/>
            <w:vAlign w:val="center"/>
          </w:tcPr>
          <w:p>
            <w:pPr>
              <w:jc w:val="center"/>
              <w:rPr>
                <w:lang w:val="en-US"/>
              </w:rPr>
            </w:pPr>
            <w:r>
              <w:rPr>
                <w:lang w:val="en-US"/>
              </w:rPr>
              <w:t>是</w:t>
            </w:r>
          </w:p>
        </w:tc>
      </w:tr>
    </w:tbl>
    <w:p>
      <w:r>
        <w:rPr>
          <w:rFonts w:hint="eastAsia"/>
          <w:lang w:val="en-US"/>
        </w:rPr>
        <w:t>说明：达标比例＝（室内外风压差大于0.5Pa的总数/可开启外窗总数）*100％</w:t>
      </w:r>
    </w:p>
    <w:bookmarkEnd w:id="30"/>
    <w:p>
      <w:pPr>
        <w:rPr>
          <w:lang w:val="en-US"/>
        </w:rPr>
      </w:pPr>
    </w:p>
    <w:p/>
    <w:p>
      <w:pPr>
        <w:rPr>
          <w:lang w:val="en-US"/>
        </w:rPr>
      </w:pPr>
      <w:r>
        <w:rPr>
          <w:rFonts w:hint="eastAsia"/>
          <w:lang w:val="en-US"/>
        </w:rPr>
        <w:t>结论：本项目中所有建筑均满足“50%以上可开启外窗室内外表面的风压差大于0.5Pa”的要求。</w:t>
      </w:r>
      <w:bookmarkEnd w:id="32"/>
      <w:r>
        <w:rPr>
          <w:rFonts w:hint="eastAsia"/>
          <w:lang w:val="en-US"/>
        </w:rPr>
        <w:t xml:space="preserve"> </w:t>
      </w:r>
    </w:p>
    <w:p>
      <w:pPr>
        <w:rPr>
          <w:lang w:val="en-US"/>
        </w:rPr>
      </w:pPr>
      <w:bookmarkStart w:id="155" w:name="其他工况"/>
      <w:bookmarkEnd w:id="155"/>
      <w:r>
        <w:rPr>
          <w:rFonts w:hint="eastAsia"/>
          <w:lang w:val="en-US"/>
        </w:rPr>
        <w:t xml:space="preserve"> </w:t>
      </w:r>
    </w:p>
    <w:p>
      <w:pPr>
        <w:pStyle w:val="4"/>
      </w:pPr>
      <w:bookmarkStart w:id="156" w:name="_Toc509844764"/>
      <w:bookmarkStart w:id="157" w:name="_Toc32694"/>
      <w:r>
        <w:rPr>
          <w:rFonts w:hint="eastAsia"/>
        </w:rPr>
        <w:t>结论</w:t>
      </w:r>
      <w:bookmarkEnd w:id="156"/>
      <w:bookmarkEnd w:id="157"/>
    </w:p>
    <w:p>
      <w:pPr>
        <w:pStyle w:val="5"/>
      </w:pPr>
      <w:bookmarkStart w:id="158" w:name="_Toc509844765"/>
      <w:bookmarkStart w:id="159" w:name="_Toc15821"/>
      <w:r>
        <w:rPr>
          <w:rFonts w:hint="eastAsia"/>
        </w:rPr>
        <w:t>冬季工况达标判断</w:t>
      </w:r>
      <w:bookmarkEnd w:id="158"/>
      <w:bookmarkEnd w:id="159"/>
      <w:bookmarkStart w:id="160" w:name="_Toc509844766"/>
      <w:bookmarkEnd w:id="160"/>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pPr>
              <w:rPr>
                <w:lang w:val="en-US"/>
              </w:rPr>
            </w:pPr>
            <w:r>
              <w:rPr>
                <w:rFonts w:hint="eastAsia"/>
                <w:lang w:val="en-US"/>
              </w:rPr>
              <w:t>建筑物周围人行区距地高1. 5m处风速小于5m/s, 户外休息区、儿童娱乐区风速小于2m/s, 且室外风速放大系数小于2, 得</w:t>
            </w:r>
            <w:bookmarkStart w:id="161" w:name="标准要求冬季风速得分"/>
            <w:r>
              <w:rPr>
                <w:rFonts w:hint="eastAsia"/>
                <w:lang w:val="en-US"/>
              </w:rPr>
              <w:t>3</w:t>
            </w:r>
            <w:bookmarkEnd w:id="161"/>
            <w:r>
              <w:rPr>
                <w:rFonts w:hint="eastAsia"/>
                <w:lang w:val="en-US"/>
              </w:rPr>
              <w:t>分；</w:t>
            </w:r>
          </w:p>
        </w:tc>
        <w:tc>
          <w:tcPr>
            <w:tcW w:w="1985" w:type="dxa"/>
            <w:tcBorders>
              <w:top w:val="single" w:color="auto" w:sz="4" w:space="0"/>
            </w:tcBorders>
            <w:shd w:val="clear" w:color="auto" w:fill="auto"/>
            <w:vAlign w:val="center"/>
          </w:tcPr>
          <w:p>
            <w:pPr>
              <w:jc w:val="center"/>
              <w:rPr>
                <w:lang w:val="en-US"/>
              </w:rPr>
            </w:pPr>
            <w:r>
              <w:rPr>
                <w:rFonts w:hint="eastAsia"/>
                <w:lang w:val="en-US"/>
              </w:rPr>
              <w:t>计算域</w:t>
            </w:r>
            <w:bookmarkStart w:id="162" w:name="冬季风速结果计算域"/>
            <w:r>
              <w:t>没有出现</w:t>
            </w:r>
            <w:bookmarkEnd w:id="162"/>
            <w:r>
              <w:rPr>
                <w:rFonts w:hint="eastAsia"/>
                <w:lang w:val="en-US"/>
              </w:rPr>
              <w:t>风速大于</w:t>
            </w:r>
            <w:r>
              <w:rPr>
                <w:lang w:val="en-US"/>
              </w:rPr>
              <w:t>5m/s</w:t>
            </w:r>
            <w:r>
              <w:rPr>
                <w:rFonts w:hint="eastAsia"/>
                <w:lang w:val="en-US"/>
              </w:rPr>
              <w:t>的区域</w:t>
            </w:r>
          </w:p>
        </w:tc>
        <w:tc>
          <w:tcPr>
            <w:tcW w:w="1985" w:type="dxa"/>
            <w:vMerge w:val="restart"/>
            <w:tcBorders>
              <w:top w:val="single" w:color="auto" w:sz="4" w:space="0"/>
            </w:tcBorders>
            <w:shd w:val="clear" w:color="auto" w:fill="auto"/>
            <w:vAlign w:val="center"/>
          </w:tcPr>
          <w:p>
            <w:pPr>
              <w:jc w:val="center"/>
              <w:rPr>
                <w:b/>
                <w:lang w:val="en-US"/>
              </w:rPr>
            </w:pPr>
            <w:bookmarkStart w:id="163" w:name="冬季风速达标判定"/>
            <w:r>
              <w:rPr>
                <w:rFonts w:hint="eastAsia"/>
                <w:b/>
                <w:lang w:val="en-US"/>
              </w:rPr>
              <w:t>达标</w:t>
            </w:r>
            <w:bookmarkEnd w:id="163"/>
          </w:p>
        </w:tc>
        <w:tc>
          <w:tcPr>
            <w:tcW w:w="1416" w:type="dxa"/>
            <w:vMerge w:val="restart"/>
            <w:tcBorders>
              <w:top w:val="single" w:color="auto" w:sz="4" w:space="0"/>
            </w:tcBorders>
            <w:shd w:val="clear" w:color="auto" w:fill="auto"/>
            <w:vAlign w:val="center"/>
          </w:tcPr>
          <w:p>
            <w:pPr>
              <w:jc w:val="center"/>
              <w:rPr>
                <w:lang w:val="en-US"/>
              </w:rPr>
            </w:pPr>
            <w:bookmarkStart w:id="164" w:name="冬季风速得分"/>
            <w:r>
              <w:rPr>
                <w:rFonts w:hint="eastAsia"/>
                <w:lang w:val="en-US"/>
              </w:rPr>
              <w:t>3</w:t>
            </w:r>
            <w:bookmarkEnd w:id="164"/>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风速放大系数</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计算域</w:t>
            </w:r>
            <w:bookmarkStart w:id="165" w:name="冬季风速放大系数结果计算域"/>
            <w:r>
              <w:t>没有出现</w:t>
            </w:r>
            <w:bookmarkEnd w:id="165"/>
            <w:r>
              <w:rPr>
                <w:rFonts w:hint="eastAsia"/>
                <w:lang w:val="en-US"/>
              </w:rPr>
              <w:t>风速放大系数大于等于2的区域</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建筑迎风面/背风面风压值</w:t>
            </w:r>
          </w:p>
        </w:tc>
        <w:tc>
          <w:tcPr>
            <w:tcW w:w="1985" w:type="dxa"/>
            <w:shd w:val="clear" w:color="auto" w:fill="auto"/>
          </w:tcPr>
          <w:p>
            <w:pPr>
              <w:jc w:val="center"/>
              <w:rPr>
                <w:lang w:val="en-US"/>
              </w:rPr>
            </w:pPr>
            <w:r>
              <w:rPr>
                <w:rFonts w:hint="eastAsia"/>
                <w:lang w:val="en-US"/>
              </w:rPr>
              <w:t>除迎风第一排建筑外，建筑迎风面与背风面表面风压差不超过5Pa，得</w:t>
            </w:r>
            <w:bookmarkStart w:id="166" w:name="标准要求冬季风压得分"/>
            <w:r>
              <w:rPr>
                <w:rFonts w:hint="eastAsia"/>
                <w:lang w:val="en-US"/>
              </w:rPr>
              <w:t>2</w:t>
            </w:r>
            <w:bookmarkEnd w:id="166"/>
            <w:r>
              <w:rPr>
                <w:rFonts w:hint="eastAsia"/>
                <w:lang w:val="en-US"/>
              </w:rPr>
              <w:t>分</w:t>
            </w:r>
            <w:r>
              <w:rPr>
                <w:lang w:val="en-US"/>
              </w:rPr>
              <w:t>未出现风速超标区域</w:t>
            </w:r>
          </w:p>
        </w:tc>
        <w:tc>
          <w:tcPr>
            <w:tcW w:w="1985" w:type="dxa"/>
            <w:shd w:val="clear" w:color="auto" w:fill="auto"/>
            <w:vAlign w:val="center"/>
          </w:tcPr>
          <w:p>
            <w:pPr>
              <w:jc w:val="center"/>
              <w:rPr>
                <w:lang w:val="en-US"/>
              </w:rPr>
            </w:pPr>
            <w:r>
              <w:rPr>
                <w:rFonts w:hint="eastAsia"/>
                <w:lang w:val="en-US"/>
              </w:rPr>
              <w:t>本项目</w:t>
            </w:r>
            <w:bookmarkStart w:id="167" w:name="冬季迎背风面结果"/>
            <w:r>
              <w:t>没有出现</w:t>
            </w:r>
            <w:bookmarkEnd w:id="167"/>
            <w:r>
              <w:rPr>
                <w:rFonts w:hint="eastAsia"/>
                <w:lang w:val="en-US"/>
              </w:rPr>
              <w:t>建筑迎风面与背风面表面风压差大于5Pa的建筑</w:t>
            </w:r>
          </w:p>
        </w:tc>
        <w:tc>
          <w:tcPr>
            <w:tcW w:w="1985" w:type="dxa"/>
            <w:shd w:val="clear" w:color="auto" w:fill="auto"/>
            <w:vAlign w:val="center"/>
          </w:tcPr>
          <w:p>
            <w:pPr>
              <w:jc w:val="center"/>
              <w:rPr>
                <w:lang w:val="en-US"/>
              </w:rPr>
            </w:pPr>
            <w:bookmarkStart w:id="168" w:name="冬季迎背风面达标判定"/>
            <w:r>
              <w:rPr>
                <w:rFonts w:hint="eastAsia"/>
                <w:b/>
                <w:lang w:val="en-US"/>
              </w:rPr>
              <w:t>达标</w:t>
            </w:r>
            <w:bookmarkEnd w:id="168"/>
          </w:p>
        </w:tc>
        <w:tc>
          <w:tcPr>
            <w:tcW w:w="1416" w:type="dxa"/>
            <w:shd w:val="clear" w:color="auto" w:fill="auto"/>
            <w:vAlign w:val="center"/>
          </w:tcPr>
          <w:p>
            <w:pPr>
              <w:jc w:val="center"/>
              <w:rPr>
                <w:lang w:val="en-US"/>
              </w:rPr>
            </w:pPr>
            <w:bookmarkStart w:id="169" w:name="冬季迎背风面得分"/>
            <w:r>
              <w:rPr>
                <w:rFonts w:hint="eastAsia"/>
                <w:lang w:val="en-US"/>
              </w:rPr>
              <w:t>2</w:t>
            </w:r>
            <w:bookmarkEnd w:id="169"/>
            <w:r>
              <w:rPr>
                <w:rFonts w:hint="eastAsia"/>
                <w:lang w:val="en-US"/>
              </w:rPr>
              <w:t>分</w:t>
            </w:r>
          </w:p>
        </w:tc>
      </w:tr>
    </w:tbl>
    <w:p>
      <w:pPr>
        <w:rPr>
          <w:szCs w:val="21"/>
          <w:lang w:val="en-US"/>
        </w:rPr>
      </w:pPr>
      <w:bookmarkStart w:id="170" w:name="_Toc509844767"/>
      <w:bookmarkEnd w:id="170"/>
      <w:bookmarkStart w:id="171" w:name="_Toc509844768"/>
      <w:bookmarkEnd w:id="171"/>
    </w:p>
    <w:bookmarkEnd w:id="0"/>
    <w:bookmarkEnd w:id="1"/>
    <w:p>
      <w:pPr>
        <w:pStyle w:val="5"/>
      </w:pPr>
      <w:bookmarkStart w:id="172" w:name="_Toc509844769"/>
      <w:bookmarkStart w:id="173" w:name="_Toc32273"/>
      <w:r>
        <w:rPr>
          <w:rFonts w:hint="eastAsia"/>
        </w:rPr>
        <w:t>过渡季、夏季工况达标判断</w:t>
      </w:r>
      <w:bookmarkEnd w:id="172"/>
      <w:bookmarkEnd w:id="173"/>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pPr>
              <w:rPr>
                <w:lang w:val="en-US"/>
              </w:rPr>
            </w:pPr>
            <w:r>
              <w:rPr>
                <w:rFonts w:hint="eastAsia"/>
                <w:lang w:val="en-US"/>
              </w:rPr>
              <w:t>场地内人活动区</w:t>
            </w:r>
            <w:r>
              <w:rPr>
                <w:rFonts w:hint="eastAsia"/>
                <w:b/>
                <w:lang w:val="en-US"/>
              </w:rPr>
              <w:t>不出现涡旋或无风区</w:t>
            </w:r>
            <w:r>
              <w:rPr>
                <w:rFonts w:hint="eastAsia"/>
                <w:lang w:val="en-US"/>
              </w:rPr>
              <w:t>，得</w:t>
            </w:r>
            <w:bookmarkStart w:id="174" w:name="标准要求夏季风速得分"/>
            <w:r>
              <w:rPr>
                <w:rFonts w:hint="eastAsia"/>
                <w:lang w:val="en-US"/>
              </w:rPr>
              <w:t>3</w:t>
            </w:r>
            <w:bookmarkEnd w:id="174"/>
            <w:r>
              <w:rPr>
                <w:rFonts w:hint="eastAsia"/>
                <w:lang w:val="en-US"/>
              </w:rPr>
              <w:t>分</w:t>
            </w:r>
            <w:r>
              <w:rPr>
                <w:lang w:val="en-US"/>
              </w:rPr>
              <w:t xml:space="preserve"> </w:t>
            </w:r>
          </w:p>
        </w:tc>
        <w:tc>
          <w:tcPr>
            <w:tcW w:w="1985" w:type="dxa"/>
            <w:tcBorders>
              <w:top w:val="single" w:color="auto" w:sz="4" w:space="0"/>
            </w:tcBorders>
            <w:shd w:val="clear" w:color="auto" w:fill="auto"/>
            <w:vAlign w:val="center"/>
          </w:tcPr>
          <w:p>
            <w:pPr>
              <w:jc w:val="center"/>
              <w:rPr>
                <w:lang w:val="en-US"/>
              </w:rPr>
            </w:pPr>
            <w:r>
              <w:rPr>
                <w:rFonts w:hint="eastAsia"/>
                <w:lang w:val="en-US"/>
              </w:rPr>
              <w:t>计算域</w:t>
            </w:r>
            <w:bookmarkStart w:id="175" w:name="夏季无风区结果计算域"/>
            <w:r>
              <w:rPr>
                <w:rFonts w:hint="eastAsia"/>
                <w:lang w:val="en-US"/>
              </w:rPr>
              <w:t>无</w:t>
            </w:r>
            <w:bookmarkEnd w:id="175"/>
            <w:r>
              <w:rPr>
                <w:rFonts w:hint="eastAsia"/>
                <w:lang w:val="en-US"/>
              </w:rPr>
              <w:t>无风区</w:t>
            </w:r>
          </w:p>
        </w:tc>
        <w:tc>
          <w:tcPr>
            <w:tcW w:w="1985" w:type="dxa"/>
            <w:vMerge w:val="restart"/>
            <w:tcBorders>
              <w:top w:val="single" w:color="auto" w:sz="4" w:space="0"/>
            </w:tcBorders>
            <w:shd w:val="clear" w:color="auto" w:fill="auto"/>
            <w:vAlign w:val="center"/>
          </w:tcPr>
          <w:p>
            <w:pPr>
              <w:jc w:val="center"/>
              <w:rPr>
                <w:lang w:val="en-US"/>
              </w:rPr>
            </w:pPr>
            <w:bookmarkStart w:id="176" w:name="夏季无风区达标判定"/>
            <w:r>
              <w:rPr>
                <w:rFonts w:hint="eastAsia"/>
                <w:b/>
                <w:lang w:val="en-US"/>
              </w:rPr>
              <w:t>达标</w:t>
            </w:r>
            <w:bookmarkEnd w:id="176"/>
          </w:p>
        </w:tc>
        <w:tc>
          <w:tcPr>
            <w:tcW w:w="1416" w:type="dxa"/>
            <w:vMerge w:val="restart"/>
            <w:tcBorders>
              <w:top w:val="single" w:color="auto" w:sz="4" w:space="0"/>
            </w:tcBorders>
            <w:shd w:val="clear" w:color="auto" w:fill="auto"/>
            <w:vAlign w:val="center"/>
          </w:tcPr>
          <w:p>
            <w:pPr>
              <w:jc w:val="center"/>
              <w:rPr>
                <w:lang w:val="en-US"/>
              </w:rPr>
            </w:pPr>
            <w:bookmarkStart w:id="177" w:name="夏季无风区得分"/>
            <w:r>
              <w:rPr>
                <w:rFonts w:hint="eastAsia"/>
                <w:lang w:val="en-US"/>
              </w:rPr>
              <w:t>3</w:t>
            </w:r>
            <w:bookmarkEnd w:id="177"/>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旋涡区</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计算域无旋涡区</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外窗室内外表面的风压差</w:t>
            </w:r>
          </w:p>
        </w:tc>
        <w:tc>
          <w:tcPr>
            <w:tcW w:w="1985" w:type="dxa"/>
            <w:shd w:val="clear" w:color="auto" w:fill="auto"/>
          </w:tcPr>
          <w:p>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w:t>
            </w:r>
            <w:bookmarkStart w:id="178" w:name="标准要求夏季风压得分"/>
            <w:r>
              <w:rPr>
                <w:rFonts w:hint="eastAsia"/>
                <w:lang w:val="en-US"/>
              </w:rPr>
              <w:t>2</w:t>
            </w:r>
            <w:bookmarkEnd w:id="178"/>
            <w:r>
              <w:rPr>
                <w:rFonts w:hint="eastAsia"/>
                <w:lang w:val="en-US"/>
              </w:rPr>
              <w:t>分。</w:t>
            </w:r>
          </w:p>
        </w:tc>
        <w:tc>
          <w:tcPr>
            <w:tcW w:w="1985" w:type="dxa"/>
            <w:shd w:val="clear" w:color="auto" w:fill="auto"/>
            <w:vAlign w:val="center"/>
          </w:tcPr>
          <w:p>
            <w:pPr>
              <w:jc w:val="center"/>
              <w:rPr>
                <w:lang w:val="en-US"/>
              </w:rPr>
            </w:pPr>
            <w:r>
              <w:rPr>
                <w:rFonts w:hint="eastAsia"/>
                <w:b/>
                <w:lang w:val="en-US"/>
              </w:rPr>
              <w:t>可开启外窗室内外表面的风压差</w:t>
            </w:r>
            <w:bookmarkStart w:id="179" w:name="夏季窗内外风压差结果"/>
            <w:r>
              <w:rPr>
                <w:rFonts w:hint="eastAsia"/>
                <w:lang w:val="en-US"/>
              </w:rPr>
              <w:t>满足</w:t>
            </w:r>
            <w:bookmarkEnd w:id="179"/>
            <w:r>
              <w:rPr>
                <w:rFonts w:hint="eastAsia"/>
                <w:lang w:val="en-US"/>
              </w:rPr>
              <w:t>标准要求</w:t>
            </w:r>
          </w:p>
        </w:tc>
        <w:tc>
          <w:tcPr>
            <w:tcW w:w="1985" w:type="dxa"/>
            <w:shd w:val="clear" w:color="auto" w:fill="auto"/>
            <w:vAlign w:val="center"/>
          </w:tcPr>
          <w:p>
            <w:pPr>
              <w:jc w:val="center"/>
              <w:rPr>
                <w:b/>
                <w:lang w:val="en-US"/>
              </w:rPr>
            </w:pPr>
            <w:bookmarkStart w:id="180" w:name="夏季窗内外风压差达标判定"/>
            <w:r>
              <w:rPr>
                <w:rFonts w:hint="eastAsia"/>
                <w:b/>
                <w:lang w:val="en-US"/>
              </w:rPr>
              <w:t>达标</w:t>
            </w:r>
            <w:bookmarkEnd w:id="180"/>
          </w:p>
        </w:tc>
        <w:tc>
          <w:tcPr>
            <w:tcW w:w="1416" w:type="dxa"/>
            <w:shd w:val="clear" w:color="auto" w:fill="auto"/>
            <w:vAlign w:val="center"/>
          </w:tcPr>
          <w:p>
            <w:pPr>
              <w:jc w:val="center"/>
              <w:rPr>
                <w:lang w:val="en-US"/>
              </w:rPr>
            </w:pPr>
            <w:bookmarkStart w:id="181" w:name="夏季窗内外风压差得分"/>
            <w:r>
              <w:rPr>
                <w:rFonts w:hint="eastAsia"/>
                <w:lang w:val="en-US"/>
              </w:rPr>
              <w:t>2</w:t>
            </w:r>
            <w:bookmarkEnd w:id="181"/>
            <w:r>
              <w:rPr>
                <w:rFonts w:hint="eastAsia"/>
                <w:lang w:val="en-US"/>
              </w:rPr>
              <w:t>分</w:t>
            </w:r>
          </w:p>
        </w:tc>
      </w:tr>
    </w:tbl>
    <w:p>
      <w:pPr>
        <w:rPr>
          <w:szCs w:val="21"/>
          <w:lang w:val="en-US"/>
        </w:rPr>
      </w:pPr>
    </w:p>
    <w:p>
      <w:pPr>
        <w:pStyle w:val="3"/>
        <w:ind w:firstLine="0" w:firstLineChars="0"/>
        <w:rPr>
          <w:lang w:val="en-US"/>
        </w:rPr>
      </w:pPr>
      <w:r>
        <w:rPr>
          <w:rFonts w:hint="eastAsia"/>
          <w:lang w:val="en-US"/>
        </w:rPr>
        <w:t>综合上述达标判断详表的信息，可知本项目得分为</w:t>
      </w:r>
      <w:bookmarkStart w:id="182" w:name="总得分"/>
      <w:r>
        <w:rPr>
          <w:rFonts w:hint="eastAsia"/>
          <w:lang w:val="en-US"/>
        </w:rPr>
        <w:t>10</w:t>
      </w:r>
      <w:bookmarkEnd w:id="182"/>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ENT2022</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2EwMmU2ZjllMTNjZDYxM2MzODJiNDYwZTRkMTIifQ=="/>
  </w:docVars>
  <w:rsids>
    <w:rsidRoot w:val="0D4C5CE1"/>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62922"/>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72A20"/>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 w:val="0D4C5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Char"/>
    <w:link w:val="2"/>
    <w:uiPriority w:val="0"/>
    <w:rPr>
      <w:b/>
      <w:bCs/>
      <w:kern w:val="32"/>
      <w:sz w:val="28"/>
      <w:szCs w:val="28"/>
    </w:rPr>
  </w:style>
  <w:style w:type="character" w:customStyle="1" w:styleId="28">
    <w:name w:val="标题 2 Char"/>
    <w:link w:val="4"/>
    <w:uiPriority w:val="0"/>
    <w:rPr>
      <w:rFonts w:ascii="宋体" w:cs="Arial"/>
      <w:b/>
      <w:bCs/>
      <w:iCs/>
      <w:color w:val="000000"/>
      <w:sz w:val="24"/>
      <w:szCs w:val="24"/>
    </w:rPr>
  </w:style>
  <w:style w:type="character" w:customStyle="1" w:styleId="29">
    <w:name w:val="页脚 Char"/>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uiPriority w:val="0"/>
    <w:rPr>
      <w:rFonts w:ascii="宋体" w:hAnsi="宋体" w:cs="Arial"/>
      <w:b/>
      <w:bCs/>
      <w:sz w:val="21"/>
      <w:szCs w:val="21"/>
    </w:rPr>
  </w:style>
  <w:style w:type="character" w:customStyle="1" w:styleId="34">
    <w:name w:val="批注框文本 Char"/>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uiPriority w:val="0"/>
    <w:rPr>
      <w:b/>
      <w:bCs/>
      <w:sz w:val="21"/>
      <w:szCs w:val="28"/>
      <w:lang w:val="en-GB"/>
    </w:rPr>
  </w:style>
  <w:style w:type="character" w:customStyle="1" w:styleId="38">
    <w:name w:val="标题 5 Char"/>
    <w:link w:val="7"/>
    <w:uiPriority w:val="0"/>
    <w:rPr>
      <w:b/>
      <w:bCs/>
      <w:iCs/>
      <w:sz w:val="21"/>
      <w:szCs w:val="26"/>
      <w:lang w:val="en-GB"/>
    </w:rPr>
  </w:style>
  <w:style w:type="character" w:customStyle="1" w:styleId="39">
    <w:name w:val="标题 6 Char"/>
    <w:link w:val="8"/>
    <w:uiPriority w:val="0"/>
    <w:rPr>
      <w:b/>
      <w:bCs/>
      <w:sz w:val="21"/>
      <w:szCs w:val="22"/>
      <w:lang w:val="en-GB"/>
    </w:rPr>
  </w:style>
  <w:style w:type="character" w:customStyle="1" w:styleId="40">
    <w:name w:val="标题 7 Char"/>
    <w:link w:val="9"/>
    <w:uiPriority w:val="0"/>
    <w:rPr>
      <w:sz w:val="24"/>
      <w:szCs w:val="24"/>
      <w:lang w:val="en-GB"/>
    </w:rPr>
  </w:style>
  <w:style w:type="character" w:customStyle="1" w:styleId="41">
    <w:name w:val="标题 8 Char"/>
    <w:link w:val="10"/>
    <w:uiPriority w:val="0"/>
    <w:rPr>
      <w:i/>
      <w:iCs/>
      <w:sz w:val="24"/>
      <w:szCs w:val="24"/>
      <w:lang w:val="en-GB"/>
    </w:rPr>
  </w:style>
  <w:style w:type="character" w:customStyle="1" w:styleId="42">
    <w:name w:val="标题 9 Char"/>
    <w:link w:val="11"/>
    <w:uiPriority w:val="0"/>
    <w:rPr>
      <w:rFonts w:ascii="Arial" w:hAnsi="Arial" w:cs="Arial"/>
      <w:sz w:val="22"/>
      <w:szCs w:val="22"/>
      <w:lang w:val="en-GB"/>
    </w:rPr>
  </w:style>
  <w:style w:type="character" w:customStyle="1" w:styleId="43">
    <w:name w:val="页眉 Char"/>
    <w:link w:val="18"/>
    <w:autoRedefine/>
    <w:qFormat/>
    <w:uiPriority w:val="0"/>
    <w:rPr>
      <w:sz w:val="21"/>
      <w:szCs w:val="18"/>
      <w:lang w:val="en-GB"/>
    </w:rPr>
  </w:style>
  <w:style w:type="character" w:customStyle="1" w:styleId="44">
    <w:name w:val="文档结构图 Char"/>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8" Type="http://schemas.openxmlformats.org/officeDocument/2006/relationships/fontTable" Target="fontTable.xml"/><Relationship Id="rId87" Type="http://schemas.openxmlformats.org/officeDocument/2006/relationships/customXml" Target="../customXml/item1.xml"/><Relationship Id="rId86" Type="http://schemas.openxmlformats.org/officeDocument/2006/relationships/numbering" Target="numbering.xml"/><Relationship Id="rId85" Type="http://schemas.openxmlformats.org/officeDocument/2006/relationships/image" Target="media/image71.png"/><Relationship Id="rId84" Type="http://schemas.openxmlformats.org/officeDocument/2006/relationships/image" Target="media/image70.png"/><Relationship Id="rId83" Type="http://schemas.openxmlformats.org/officeDocument/2006/relationships/image" Target="media/image69.png"/><Relationship Id="rId82" Type="http://schemas.openxmlformats.org/officeDocument/2006/relationships/image" Target="media/image68.png"/><Relationship Id="rId81" Type="http://schemas.openxmlformats.org/officeDocument/2006/relationships/image" Target="media/image67.png"/><Relationship Id="rId80" Type="http://schemas.openxmlformats.org/officeDocument/2006/relationships/image" Target="media/image66.png"/><Relationship Id="rId8" Type="http://schemas.openxmlformats.org/officeDocument/2006/relationships/theme" Target="theme/theme1.xml"/><Relationship Id="rId79" Type="http://schemas.openxmlformats.org/officeDocument/2006/relationships/image" Target="media/image65.png"/><Relationship Id="rId78" Type="http://schemas.openxmlformats.org/officeDocument/2006/relationships/image" Target="media/image64.png"/><Relationship Id="rId77" Type="http://schemas.openxmlformats.org/officeDocument/2006/relationships/image" Target="media/image63.png"/><Relationship Id="rId76" Type="http://schemas.openxmlformats.org/officeDocument/2006/relationships/image" Target="media/image62.png"/><Relationship Id="rId75" Type="http://schemas.openxmlformats.org/officeDocument/2006/relationships/image" Target="media/image61.png"/><Relationship Id="rId74" Type="http://schemas.openxmlformats.org/officeDocument/2006/relationships/image" Target="media/image60.pn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wmf"/><Relationship Id="rId70" Type="http://schemas.openxmlformats.org/officeDocument/2006/relationships/oleObject" Target="embeddings/oleObject7.bin"/><Relationship Id="rId7" Type="http://schemas.openxmlformats.org/officeDocument/2006/relationships/footer" Target="footer2.xml"/><Relationship Id="rId69" Type="http://schemas.openxmlformats.org/officeDocument/2006/relationships/image" Target="media/image56.wmf"/><Relationship Id="rId68" Type="http://schemas.openxmlformats.org/officeDocument/2006/relationships/oleObject" Target="embeddings/oleObject6.bin"/><Relationship Id="rId67" Type="http://schemas.openxmlformats.org/officeDocument/2006/relationships/image" Target="media/image55.wmf"/><Relationship Id="rId66" Type="http://schemas.openxmlformats.org/officeDocument/2006/relationships/oleObject" Target="embeddings/oleObject5.bin"/><Relationship Id="rId65" Type="http://schemas.openxmlformats.org/officeDocument/2006/relationships/image" Target="media/image54.wmf"/><Relationship Id="rId64" Type="http://schemas.openxmlformats.org/officeDocument/2006/relationships/oleObject" Target="embeddings/oleObject4.bin"/><Relationship Id="rId63" Type="http://schemas.openxmlformats.org/officeDocument/2006/relationships/image" Target="media/image53.wmf"/><Relationship Id="rId62" Type="http://schemas.openxmlformats.org/officeDocument/2006/relationships/image" Target="media/image52.wmf"/><Relationship Id="rId61" Type="http://schemas.openxmlformats.org/officeDocument/2006/relationships/image" Target="media/image51.wmf"/><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png"/><Relationship Id="rId23" Type="http://schemas.openxmlformats.org/officeDocument/2006/relationships/image" Target="media/image13.wmf"/><Relationship Id="rId22" Type="http://schemas.openxmlformats.org/officeDocument/2006/relationships/oleObject" Target="embeddings/oleObject3.bin"/><Relationship Id="rId21" Type="http://schemas.openxmlformats.org/officeDocument/2006/relationships/image" Target="media/image1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1.bin"/><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AD1D4-53B0-4689-ABF5-7E3C00284559}">
  <ds:schemaRefs/>
</ds:datastoreItem>
</file>

<file path=docProps/app.xml><?xml version="1.0" encoding="utf-8"?>
<Properties xmlns="http://schemas.openxmlformats.org/officeDocument/2006/extended-properties" xmlns:vt="http://schemas.openxmlformats.org/officeDocument/2006/docPropsVTypes">
  <Template>tmp16.dotx</Template>
  <Pages>25</Pages>
  <Words>7319</Words>
  <Characters>8263</Characters>
  <Lines>40</Lines>
  <Paragraphs>11</Paragraphs>
  <TotalTime>0</TotalTime>
  <ScaleCrop>false</ScaleCrop>
  <LinksUpToDate>false</LinksUpToDate>
  <CharactersWithSpaces>8504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2024-03-14T08:55:00Z</dcterms:created>
  <dc:creator>昕 °☆≡</dc:creator>
  <cp:lastModifiedBy>昕 °☆≡</cp:lastModifiedBy>
  <dcterms:modified xsi:type="dcterms:W3CDTF">2024-03-14T08:57:08Z</dcterms:modified>
  <dc:title>室外风环境模拟分析报告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DF17B13F2C6742C7B78108B2BD4EBC0F_11</vt:lpwstr>
  </property>
  <property fmtid="{D5CDD505-2E9C-101B-9397-08002B2CF9AE}" pid="3" name="KSOProductBuildVer">
    <vt:lpwstr>2052-12.1.0.16388</vt:lpwstr>
  </property>
</Properties>
</file>