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济南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采用软件"/>
            <w:r>
              <w:t>建筑通风Vent2023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T13463556977</w:t>
            </w:r>
            <w:bookmarkEnd w:id="8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9" w:name="_Toc420663548"/>
      <w:bookmarkStart w:id="10" w:name="_Toc420309360"/>
      <w:r>
        <w:rPr>
          <w:rFonts w:hint="eastAsia"/>
        </w:rPr>
        <w:t>建筑概况</w:t>
      </w:r>
      <w:bookmarkEnd w:id="9"/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2" w:name="建筑面积"/>
            <w:r>
              <w:rPr>
                <w:rFonts w:ascii="宋体" w:hAnsi="宋体"/>
                <w:lang w:val="en-US"/>
              </w:rPr>
              <w:t>4691</w:t>
            </w:r>
            <w:bookmarkEnd w:id="12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3" w:name="地上层数"/>
            <w:r>
              <w:rPr>
                <w:rFonts w:hint="eastAsia" w:ascii="宋体" w:hAnsi="宋体"/>
                <w:lang w:val="en-US"/>
              </w:rPr>
              <w:t>2</w:t>
            </w:r>
            <w:bookmarkEnd w:id="13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5" w:name="_Toc420309361"/>
      <w:bookmarkStart w:id="16" w:name="_Toc420663549"/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1" w:name="_Toc420663551"/>
      <w:r>
        <w:rPr>
          <w:rFonts w:hint="eastAsia"/>
          <w:kern w:val="2"/>
        </w:rPr>
        <w:t>计算内容</w:t>
      </w:r>
      <w:bookmarkEnd w:id="21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2" w:name="工程名称4"/>
      <w:bookmarkEnd w:id="22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0170" cy="440055"/>
            <wp:effectExtent l="0" t="0" r="0" b="0"/>
            <wp:docPr id="8006957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95724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6560" cy="237490"/>
            <wp:effectExtent l="0" t="0" r="0" b="0"/>
            <wp:docPr id="11440193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19360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915" cy="23749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3845" cy="2374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3030" cy="440055"/>
            <wp:effectExtent l="0" t="0" r="0" b="0"/>
            <wp:docPr id="15028187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18763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0055" cy="23749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3060" cy="23749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6705" cy="23749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3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3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4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C13558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78.30</w:t>
            </w:r>
          </w:p>
        </w:tc>
        <w:tc>
          <w:tcPr>
            <w:tcW w:w="1060" w:type="dxa"/>
            <w:vAlign w:val="center"/>
          </w:tcPr>
          <w:p>
            <w:r>
              <w:t>6.75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39.15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C1528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4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4.20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1.05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C16532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16.50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52.80</w:t>
            </w:r>
          </w:p>
        </w:tc>
        <w:tc>
          <w:tcPr>
            <w:tcW w:w="1060" w:type="dxa"/>
            <w:vAlign w:val="center"/>
          </w:tcPr>
          <w:p>
            <w:r>
              <w:t>8.25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13.20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16.50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95.70</w:t>
            </w:r>
          </w:p>
        </w:tc>
        <w:tc>
          <w:tcPr>
            <w:tcW w:w="1060" w:type="dxa"/>
            <w:vAlign w:val="center"/>
          </w:tcPr>
          <w:p>
            <w:r>
              <w:t>8.25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47.85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C18038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18.00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68.40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34.20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C19532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19.50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62.40</w:t>
            </w:r>
          </w:p>
        </w:tc>
        <w:tc>
          <w:tcPr>
            <w:tcW w:w="1060" w:type="dxa"/>
            <w:vAlign w:val="center"/>
          </w:tcPr>
          <w:p>
            <w:r>
              <w:t>9.75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31.20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17.40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8.70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C5608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5.60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4.48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2.24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C9058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52.20</w:t>
            </w:r>
          </w:p>
        </w:tc>
        <w:tc>
          <w:tcPr>
            <w:tcW w:w="1060" w:type="dxa"/>
            <w:vAlign w:val="center"/>
          </w:tcPr>
          <w:p>
            <w:r>
              <w:t>4.50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26.10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未编号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14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458.72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17</w:t>
            </w:r>
          </w:p>
        </w:tc>
        <w:tc>
          <w:tcPr>
            <w:tcW w:w="1060" w:type="dxa"/>
            <w:vAlign w:val="center"/>
          </w:tcPr>
          <w:p>
            <w:r>
              <w:t>132.19</w:t>
            </w:r>
          </w:p>
        </w:tc>
        <w:tc>
          <w:tcPr>
            <w:tcW w:w="1980" w:type="dxa"/>
            <w:vAlign w:val="center"/>
          </w:tcPr>
          <w:p>
            <w:r>
              <w:t>29</w:t>
            </w:r>
          </w:p>
        </w:tc>
      </w:tr>
    </w:tbl>
    <w:p>
      <w:pPr>
        <w:rPr>
          <w:szCs w:val="24"/>
        </w:rPr>
      </w:pPr>
      <w:bookmarkStart w:id="25" w:name="外窗统计计算表南向"/>
      <w:bookmarkEnd w:id="25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C13020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13.00</w:t>
            </w:r>
          </w:p>
        </w:tc>
        <w:tc>
          <w:tcPr>
            <w:tcW w:w="1060" w:type="dxa"/>
            <w:vAlign w:val="center"/>
          </w:tcPr>
          <w:p>
            <w:r>
              <w:t>2.00</w:t>
            </w:r>
          </w:p>
        </w:tc>
        <w:tc>
          <w:tcPr>
            <w:tcW w:w="1060" w:type="dxa"/>
            <w:vAlign w:val="center"/>
          </w:tcPr>
          <w:p>
            <w:r>
              <w:t>26.00</w:t>
            </w:r>
          </w:p>
        </w:tc>
        <w:tc>
          <w:tcPr>
            <w:tcW w:w="1060" w:type="dxa"/>
            <w:vAlign w:val="center"/>
          </w:tcPr>
          <w:p>
            <w:r>
              <w:t>6.50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13.00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57.00</w:t>
            </w:r>
          </w:p>
        </w:tc>
        <w:tc>
          <w:tcPr>
            <w:tcW w:w="1060" w:type="dxa"/>
            <w:vAlign w:val="center"/>
          </w:tcPr>
          <w:p>
            <w:r>
              <w:t>7.50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28.50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C15076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7.60</w:t>
            </w:r>
          </w:p>
        </w:tc>
        <w:tc>
          <w:tcPr>
            <w:tcW w:w="1060" w:type="dxa"/>
            <w:vAlign w:val="center"/>
          </w:tcPr>
          <w:p>
            <w:r>
              <w:t>114.00</w:t>
            </w:r>
          </w:p>
        </w:tc>
        <w:tc>
          <w:tcPr>
            <w:tcW w:w="1060" w:type="dxa"/>
            <w:vAlign w:val="center"/>
          </w:tcPr>
          <w:p>
            <w:r>
              <w:t>7.50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57.00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16.50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95.70</w:t>
            </w:r>
          </w:p>
        </w:tc>
        <w:tc>
          <w:tcPr>
            <w:tcW w:w="1060" w:type="dxa"/>
            <w:vAlign w:val="center"/>
          </w:tcPr>
          <w:p>
            <w:r>
              <w:t>8.25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47.85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17.40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8.70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C9028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25.20</w:t>
            </w:r>
          </w:p>
        </w:tc>
        <w:tc>
          <w:tcPr>
            <w:tcW w:w="1060" w:type="dxa"/>
            <w:vAlign w:val="center"/>
          </w:tcPr>
          <w:p>
            <w:r>
              <w:t>4.50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12.60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C9058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52.20</w:t>
            </w:r>
          </w:p>
        </w:tc>
        <w:tc>
          <w:tcPr>
            <w:tcW w:w="1060" w:type="dxa"/>
            <w:vAlign w:val="center"/>
          </w:tcPr>
          <w:p>
            <w:r>
              <w:t>4.50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26.10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9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535.40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14</w:t>
            </w:r>
          </w:p>
        </w:tc>
        <w:tc>
          <w:tcPr>
            <w:tcW w:w="1060" w:type="dxa"/>
            <w:vAlign w:val="center"/>
          </w:tcPr>
          <w:p>
            <w:r>
              <w:t>267.70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</w:tbl>
    <w:p>
      <w:pPr>
        <w:rPr>
          <w:szCs w:val="24"/>
        </w:rPr>
      </w:pPr>
      <w:bookmarkStart w:id="26" w:name="外窗统计计算表北向"/>
      <w:bookmarkEnd w:id="26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C12020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12.00</w:t>
            </w:r>
          </w:p>
        </w:tc>
        <w:tc>
          <w:tcPr>
            <w:tcW w:w="1060" w:type="dxa"/>
            <w:vAlign w:val="center"/>
          </w:tcPr>
          <w:p>
            <w:r>
              <w:t>2.00</w:t>
            </w:r>
          </w:p>
        </w:tc>
        <w:tc>
          <w:tcPr>
            <w:tcW w:w="1060" w:type="dxa"/>
            <w:vAlign w:val="center"/>
          </w:tcPr>
          <w:p>
            <w:r>
              <w:t>24.00</w:t>
            </w:r>
          </w:p>
        </w:tc>
        <w:tc>
          <w:tcPr>
            <w:tcW w:w="1060" w:type="dxa"/>
            <w:vAlign w:val="center"/>
          </w:tcPr>
          <w:p>
            <w:r>
              <w:t>6.00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12.00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16.00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60.80</w:t>
            </w:r>
          </w:p>
        </w:tc>
        <w:tc>
          <w:tcPr>
            <w:tcW w:w="1060" w:type="dxa"/>
            <w:vAlign w:val="center"/>
          </w:tcPr>
          <w:p>
            <w:r>
              <w:t>8.00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30.40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17.40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8.70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C7208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7.20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060" w:type="dxa"/>
            <w:vAlign w:val="center"/>
          </w:tcPr>
          <w:p>
            <w:r>
              <w:t>3.60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1.44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107.96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7</w:t>
            </w:r>
          </w:p>
        </w:tc>
        <w:tc>
          <w:tcPr>
            <w:tcW w:w="1060" w:type="dxa"/>
            <w:vAlign w:val="center"/>
          </w:tcPr>
          <w:p>
            <w:r>
              <w:t>13.44</w:t>
            </w:r>
          </w:p>
        </w:tc>
        <w:tc>
          <w:tcPr>
            <w:tcW w:w="1980" w:type="dxa"/>
            <w:vAlign w:val="center"/>
          </w:tcPr>
          <w:p>
            <w:r>
              <w:t>12</w:t>
            </w:r>
          </w:p>
        </w:tc>
      </w:tr>
    </w:tbl>
    <w:p>
      <w:pPr>
        <w:rPr>
          <w:szCs w:val="24"/>
        </w:rPr>
      </w:pPr>
      <w:bookmarkStart w:id="27" w:name="外窗统计计算表东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16.00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60.80</w:t>
            </w:r>
          </w:p>
        </w:tc>
        <w:tc>
          <w:tcPr>
            <w:tcW w:w="1060" w:type="dxa"/>
            <w:vAlign w:val="center"/>
          </w:tcPr>
          <w:p>
            <w:r>
              <w:t>8.00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30.40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C18058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18.00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104.40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26.10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C19558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19.50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113.10</w:t>
            </w:r>
          </w:p>
        </w:tc>
        <w:tc>
          <w:tcPr>
            <w:tcW w:w="1060" w:type="dxa"/>
            <w:vAlign w:val="center"/>
          </w:tcPr>
          <w:p>
            <w:r>
              <w:t>9.75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56.55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C27032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27.00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86.40</w:t>
            </w:r>
          </w:p>
        </w:tc>
        <w:tc>
          <w:tcPr>
            <w:tcW w:w="1060" w:type="dxa"/>
            <w:vAlign w:val="center"/>
          </w:tcPr>
          <w:p>
            <w:r>
              <w:t>13.50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43.20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C30015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30.00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45.00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22.50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C6008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6.00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4.80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2.40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7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527.60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11</w:t>
            </w:r>
          </w:p>
        </w:tc>
        <w:tc>
          <w:tcPr>
            <w:tcW w:w="1060" w:type="dxa"/>
            <w:vAlign w:val="center"/>
          </w:tcPr>
          <w:p>
            <w:r>
              <w:t>237.70</w:t>
            </w:r>
          </w:p>
        </w:tc>
        <w:tc>
          <w:tcPr>
            <w:tcW w:w="1980" w:type="dxa"/>
            <w:vAlign w:val="center"/>
          </w:tcPr>
          <w:p>
            <w:r>
              <w:t>45</w:t>
            </w:r>
          </w:p>
        </w:tc>
      </w:tr>
    </w:tbl>
    <w:p>
      <w:pPr>
        <w:rPr>
          <w:szCs w:val="24"/>
        </w:rPr>
      </w:pPr>
      <w:bookmarkStart w:id="28" w:name="外窗统计计算表西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C12020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12.00</w:t>
            </w:r>
          </w:p>
        </w:tc>
        <w:tc>
          <w:tcPr>
            <w:tcW w:w="1060" w:type="dxa"/>
            <w:vAlign w:val="center"/>
          </w:tcPr>
          <w:p>
            <w:r>
              <w:t>2.00</w:t>
            </w:r>
          </w:p>
        </w:tc>
        <w:tc>
          <w:tcPr>
            <w:tcW w:w="1060" w:type="dxa"/>
            <w:vAlign w:val="center"/>
          </w:tcPr>
          <w:p>
            <w:r>
              <w:t>24.00</w:t>
            </w:r>
          </w:p>
        </w:tc>
        <w:tc>
          <w:tcPr>
            <w:tcW w:w="1060" w:type="dxa"/>
            <w:vAlign w:val="center"/>
          </w:tcPr>
          <w:p>
            <w:r>
              <w:t>6.00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12.00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C13020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13.00</w:t>
            </w:r>
          </w:p>
        </w:tc>
        <w:tc>
          <w:tcPr>
            <w:tcW w:w="1060" w:type="dxa"/>
            <w:vAlign w:val="center"/>
          </w:tcPr>
          <w:p>
            <w:r>
              <w:t>2.00</w:t>
            </w:r>
          </w:p>
        </w:tc>
        <w:tc>
          <w:tcPr>
            <w:tcW w:w="1060" w:type="dxa"/>
            <w:vAlign w:val="center"/>
          </w:tcPr>
          <w:p>
            <w:r>
              <w:t>26.00</w:t>
            </w:r>
          </w:p>
        </w:tc>
        <w:tc>
          <w:tcPr>
            <w:tcW w:w="1060" w:type="dxa"/>
            <w:vAlign w:val="center"/>
          </w:tcPr>
          <w:p>
            <w:r>
              <w:t>6.50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13.00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C13558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78.30</w:t>
            </w:r>
          </w:p>
        </w:tc>
        <w:tc>
          <w:tcPr>
            <w:tcW w:w="1060" w:type="dxa"/>
            <w:vAlign w:val="center"/>
          </w:tcPr>
          <w:p>
            <w:r>
              <w:t>6.75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39.15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57.00</w:t>
            </w:r>
          </w:p>
        </w:tc>
        <w:tc>
          <w:tcPr>
            <w:tcW w:w="1060" w:type="dxa"/>
            <w:vAlign w:val="center"/>
          </w:tcPr>
          <w:p>
            <w:r>
              <w:t>7.50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28.50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C15076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7.60</w:t>
            </w:r>
          </w:p>
        </w:tc>
        <w:tc>
          <w:tcPr>
            <w:tcW w:w="1060" w:type="dxa"/>
            <w:vAlign w:val="center"/>
          </w:tcPr>
          <w:p>
            <w:r>
              <w:t>114.00</w:t>
            </w:r>
          </w:p>
        </w:tc>
        <w:tc>
          <w:tcPr>
            <w:tcW w:w="1060" w:type="dxa"/>
            <w:vAlign w:val="center"/>
          </w:tcPr>
          <w:p>
            <w:r>
              <w:t>7.50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57.00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C1528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4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4.20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1.05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16.00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60.80</w:t>
            </w:r>
          </w:p>
        </w:tc>
        <w:tc>
          <w:tcPr>
            <w:tcW w:w="1060" w:type="dxa"/>
            <w:vAlign w:val="center"/>
          </w:tcPr>
          <w:p>
            <w:r>
              <w:t>8.00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30.40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C16532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16.50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52.80</w:t>
            </w:r>
          </w:p>
        </w:tc>
        <w:tc>
          <w:tcPr>
            <w:tcW w:w="1060" w:type="dxa"/>
            <w:vAlign w:val="center"/>
          </w:tcPr>
          <w:p>
            <w:r>
              <w:t>8.25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13.20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16.50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95.70</w:t>
            </w:r>
          </w:p>
        </w:tc>
        <w:tc>
          <w:tcPr>
            <w:tcW w:w="1060" w:type="dxa"/>
            <w:vAlign w:val="center"/>
          </w:tcPr>
          <w:p>
            <w:r>
              <w:t>8.25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47.85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C18038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18.00</w:t>
            </w:r>
          </w:p>
        </w:tc>
        <w:tc>
          <w:tcPr>
            <w:tcW w:w="1060" w:type="dxa"/>
            <w:vAlign w:val="center"/>
          </w:tcPr>
          <w:p>
            <w:r>
              <w:t>3.80</w:t>
            </w:r>
          </w:p>
        </w:tc>
        <w:tc>
          <w:tcPr>
            <w:tcW w:w="1060" w:type="dxa"/>
            <w:vAlign w:val="center"/>
          </w:tcPr>
          <w:p>
            <w:r>
              <w:t>68.40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34.20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C18058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18.00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104.40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26.10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C19532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19.50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62.40</w:t>
            </w:r>
          </w:p>
        </w:tc>
        <w:tc>
          <w:tcPr>
            <w:tcW w:w="1060" w:type="dxa"/>
            <w:vAlign w:val="center"/>
          </w:tcPr>
          <w:p>
            <w:r>
              <w:t>9.75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31.20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C19558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19.50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113.10</w:t>
            </w:r>
          </w:p>
        </w:tc>
        <w:tc>
          <w:tcPr>
            <w:tcW w:w="1060" w:type="dxa"/>
            <w:vAlign w:val="center"/>
          </w:tcPr>
          <w:p>
            <w:r>
              <w:t>9.75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56.55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C27032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27.00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86.40</w:t>
            </w:r>
          </w:p>
        </w:tc>
        <w:tc>
          <w:tcPr>
            <w:tcW w:w="1060" w:type="dxa"/>
            <w:vAlign w:val="center"/>
          </w:tcPr>
          <w:p>
            <w:r>
              <w:t>13.50</w:t>
            </w:r>
          </w:p>
        </w:tc>
        <w:tc>
          <w:tcPr>
            <w:tcW w:w="1060" w:type="dxa"/>
            <w:vAlign w:val="center"/>
          </w:tcPr>
          <w:p>
            <w:r>
              <w:t>1.60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43.20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C30015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30.00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45.00</w:t>
            </w:r>
          </w:p>
        </w:tc>
        <w:tc>
          <w:tcPr>
            <w:tcW w:w="1060" w:type="dxa"/>
            <w:vAlign w:val="center"/>
          </w:tcPr>
          <w:p>
            <w:r>
              <w:t>15.00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22.50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C3058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17.40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8.70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C5608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5.60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4.48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2.24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C6008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6.00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4.80</w:t>
            </w:r>
          </w:p>
        </w:tc>
        <w:tc>
          <w:tcPr>
            <w:tcW w:w="1060" w:type="dxa"/>
            <w:vAlign w:val="center"/>
          </w:tcPr>
          <w:p>
            <w:r>
              <w:t>3.00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2.40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C7208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7.20</w:t>
            </w:r>
          </w:p>
        </w:tc>
        <w:tc>
          <w:tcPr>
            <w:tcW w:w="1060" w:type="dxa"/>
            <w:vAlign w:val="center"/>
          </w:tcPr>
          <w:p>
            <w:r>
              <w:t>0.80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060" w:type="dxa"/>
            <w:vAlign w:val="center"/>
          </w:tcPr>
          <w:p>
            <w:r>
              <w:t>3.60</w:t>
            </w:r>
          </w:p>
        </w:tc>
        <w:tc>
          <w:tcPr>
            <w:tcW w:w="1060" w:type="dxa"/>
            <w:vAlign w:val="center"/>
          </w:tcPr>
          <w:p>
            <w:r>
              <w:t>0.40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1.44</w:t>
            </w:r>
          </w:p>
        </w:tc>
        <w:tc>
          <w:tcPr>
            <w:tcW w:w="1980" w:type="dxa"/>
            <w:vAlign w:val="center"/>
          </w:tcPr>
          <w:p>
            <w: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C9028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2.80</w:t>
            </w:r>
          </w:p>
        </w:tc>
        <w:tc>
          <w:tcPr>
            <w:tcW w:w="1060" w:type="dxa"/>
            <w:vAlign w:val="center"/>
          </w:tcPr>
          <w:p>
            <w:r>
              <w:t>25.20</w:t>
            </w:r>
          </w:p>
        </w:tc>
        <w:tc>
          <w:tcPr>
            <w:tcW w:w="1060" w:type="dxa"/>
            <w:vAlign w:val="center"/>
          </w:tcPr>
          <w:p>
            <w:r>
              <w:t>4.50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12.60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C9058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9.00</w:t>
            </w:r>
          </w:p>
        </w:tc>
        <w:tc>
          <w:tcPr>
            <w:tcW w:w="1060" w:type="dxa"/>
            <w:vAlign w:val="center"/>
          </w:tcPr>
          <w:p>
            <w:r>
              <w:t>5.80</w:t>
            </w:r>
          </w:p>
        </w:tc>
        <w:tc>
          <w:tcPr>
            <w:tcW w:w="1060" w:type="dxa"/>
            <w:vAlign w:val="center"/>
          </w:tcPr>
          <w:p>
            <w:r>
              <w:t>52.20</w:t>
            </w:r>
          </w:p>
        </w:tc>
        <w:tc>
          <w:tcPr>
            <w:tcW w:w="1060" w:type="dxa"/>
            <w:vAlign w:val="center"/>
          </w:tcPr>
          <w:p>
            <w:r>
              <w:t>4.50</w:t>
            </w:r>
          </w:p>
        </w:tc>
        <w:tc>
          <w:tcPr>
            <w:tcW w:w="1060" w:type="dxa"/>
            <w:vAlign w:val="center"/>
          </w:tcPr>
          <w:p>
            <w:r>
              <w:t>2.90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26.10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未编号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3.20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5.76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34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1629.68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39</w:t>
            </w:r>
          </w:p>
        </w:tc>
        <w:tc>
          <w:tcPr>
            <w:tcW w:w="1060" w:type="dxa"/>
            <w:vAlign w:val="center"/>
          </w:tcPr>
          <w:p>
            <w:r>
              <w:t>772.78</w:t>
            </w:r>
          </w:p>
        </w:tc>
        <w:tc>
          <w:tcPr>
            <w:tcW w:w="1980" w:type="dxa"/>
            <w:vAlign w:val="center"/>
          </w:tcPr>
          <w:p>
            <w:r>
              <w:t>47</w:t>
            </w:r>
          </w:p>
        </w:tc>
      </w:tr>
      <w:bookmarkEnd w:id="24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9" w:name="外窗统计计算表"/>
      <w:bookmarkEnd w:id="29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30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建筑外窗可开启面积比例为47%，按照5.2.2中条款2的规定，得6分。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2" w:name="门窗详图"/>
      <w:r>
        <w:rPr>
          <w:rFonts w:hint="eastAsia" w:ascii="宋体" w:hAnsi="宋体"/>
        </w:rPr>
        <w:t xml:space="preserve"> </w:t>
      </w:r>
      <w:bookmarkEnd w:id="32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C10038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38.00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19.00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C13020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C13558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26.00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78.30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13.00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39.15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C15038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57.00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114.00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28.50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C1528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C16038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60.80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30.40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C16532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C16558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52.80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95.70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13.20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47.85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C18038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C18058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68.40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104.40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34.20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26.10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C19532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C19558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62.40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113.10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31.20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56.55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C27032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C30015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86.40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43.20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C3058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C5608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17.40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4.48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8.70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C6008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C7208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4.80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C9028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C9058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25.20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52.20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12.60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26.10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M2230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M2232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6.60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3.30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M2832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M3230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8.96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4.48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M3238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6.08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MWVlNzY1ODc4M2RhZmJjZWQxMmY3MzFkZWUzMTQifQ=="/>
  </w:docVars>
  <w:rsids>
    <w:rsidRoot w:val="00404B58"/>
    <w:rsid w:val="001915A3"/>
    <w:rsid w:val="00217F62"/>
    <w:rsid w:val="002A7847"/>
    <w:rsid w:val="00404B58"/>
    <w:rsid w:val="00A906D8"/>
    <w:rsid w:val="00AB5A74"/>
    <w:rsid w:val="00B64984"/>
    <w:rsid w:val="00F071AE"/>
    <w:rsid w:val="208E5838"/>
    <w:rsid w:val="6390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autoRedefine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字符"/>
    <w:link w:val="14"/>
    <w:autoRedefine/>
    <w:qFormat/>
    <w:uiPriority w:val="0"/>
    <w:rPr>
      <w:sz w:val="18"/>
      <w:szCs w:val="18"/>
      <w:lang w:val="en-GB"/>
    </w:rPr>
  </w:style>
  <w:style w:type="character" w:styleId="26">
    <w:name w:val="Placeholder Text"/>
    <w:autoRedefine/>
    <w:semiHidden/>
    <w:qFormat/>
    <w:uiPriority w:val="99"/>
    <w:rPr>
      <w:color w:val="808080"/>
    </w:rPr>
  </w:style>
  <w:style w:type="character" w:customStyle="1" w:styleId="27">
    <w:name w:val="页脚 字符"/>
    <w:link w:val="15"/>
    <w:autoRedefine/>
    <w:qFormat/>
    <w:uiPriority w:val="99"/>
    <w:rPr>
      <w:sz w:val="18"/>
      <w:szCs w:val="18"/>
      <w:lang w:val="en-GB"/>
    </w:rPr>
  </w:style>
  <w:style w:type="character" w:customStyle="1" w:styleId="28">
    <w:name w:val="页眉 字符"/>
    <w:link w:val="16"/>
    <w:autoRedefine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numbering" Target="numbering.xml"/><Relationship Id="rId48" Type="http://schemas.openxmlformats.org/officeDocument/2006/relationships/image" Target="media/image38.wmf"/><Relationship Id="rId47" Type="http://schemas.openxmlformats.org/officeDocument/2006/relationships/image" Target="media/image37.wmf"/><Relationship Id="rId46" Type="http://schemas.openxmlformats.org/officeDocument/2006/relationships/image" Target="media/image36.wmf"/><Relationship Id="rId45" Type="http://schemas.openxmlformats.org/officeDocument/2006/relationships/image" Target="media/image35.wmf"/><Relationship Id="rId44" Type="http://schemas.openxmlformats.org/officeDocument/2006/relationships/image" Target="media/image34.wmf"/><Relationship Id="rId43" Type="http://schemas.openxmlformats.org/officeDocument/2006/relationships/image" Target="media/image33.wmf"/><Relationship Id="rId42" Type="http://schemas.openxmlformats.org/officeDocument/2006/relationships/image" Target="media/image32.wmf"/><Relationship Id="rId41" Type="http://schemas.openxmlformats.org/officeDocument/2006/relationships/image" Target="media/image31.wmf"/><Relationship Id="rId40" Type="http://schemas.openxmlformats.org/officeDocument/2006/relationships/image" Target="media/image30.wmf"/><Relationship Id="rId4" Type="http://schemas.openxmlformats.org/officeDocument/2006/relationships/endnotes" Target="endnotes.xml"/><Relationship Id="rId39" Type="http://schemas.openxmlformats.org/officeDocument/2006/relationships/image" Target="media/image29.wmf"/><Relationship Id="rId38" Type="http://schemas.openxmlformats.org/officeDocument/2006/relationships/image" Target="media/image28.wmf"/><Relationship Id="rId37" Type="http://schemas.openxmlformats.org/officeDocument/2006/relationships/image" Target="media/image27.wmf"/><Relationship Id="rId36" Type="http://schemas.openxmlformats.org/officeDocument/2006/relationships/image" Target="media/image26.wmf"/><Relationship Id="rId35" Type="http://schemas.openxmlformats.org/officeDocument/2006/relationships/image" Target="media/image25.wmf"/><Relationship Id="rId34" Type="http://schemas.openxmlformats.org/officeDocument/2006/relationships/image" Target="media/image24.wmf"/><Relationship Id="rId33" Type="http://schemas.openxmlformats.org/officeDocument/2006/relationships/image" Target="media/image23.wmf"/><Relationship Id="rId32" Type="http://schemas.openxmlformats.org/officeDocument/2006/relationships/image" Target="media/image22.wmf"/><Relationship Id="rId31" Type="http://schemas.openxmlformats.org/officeDocument/2006/relationships/image" Target="media/image21.wmf"/><Relationship Id="rId30" Type="http://schemas.openxmlformats.org/officeDocument/2006/relationships/image" Target="media/image20.wmf"/><Relationship Id="rId3" Type="http://schemas.openxmlformats.org/officeDocument/2006/relationships/footnotes" Target="footnotes.xml"/><Relationship Id="rId29" Type="http://schemas.openxmlformats.org/officeDocument/2006/relationships/image" Target="media/image19.wmf"/><Relationship Id="rId28" Type="http://schemas.openxmlformats.org/officeDocument/2006/relationships/image" Target="media/image18.wmf"/><Relationship Id="rId27" Type="http://schemas.openxmlformats.org/officeDocument/2006/relationships/image" Target="media/image17.wmf"/><Relationship Id="rId26" Type="http://schemas.openxmlformats.org/officeDocument/2006/relationships/image" Target="media/image16.wmf"/><Relationship Id="rId25" Type="http://schemas.openxmlformats.org/officeDocument/2006/relationships/image" Target="media/image15.wmf"/><Relationship Id="rId24" Type="http://schemas.openxmlformats.org/officeDocument/2006/relationships/image" Target="media/image14.wmf"/><Relationship Id="rId23" Type="http://schemas.openxmlformats.org/officeDocument/2006/relationships/image" Target="media/image13.wmf"/><Relationship Id="rId22" Type="http://schemas.openxmlformats.org/officeDocument/2006/relationships/image" Target="media/image12.wmf"/><Relationship Id="rId21" Type="http://schemas.openxmlformats.org/officeDocument/2006/relationships/image" Target="media/image11.png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image" Target="media/image8.wmf"/><Relationship Id="rId17" Type="http://schemas.openxmlformats.org/officeDocument/2006/relationships/image" Target="media/image7.wmf"/><Relationship Id="rId16" Type="http://schemas.openxmlformats.org/officeDocument/2006/relationships/image" Target="media/image6.wmf"/><Relationship Id="rId15" Type="http://schemas.openxmlformats.org/officeDocument/2006/relationships/image" Target="media/image5.wmf"/><Relationship Id="rId14" Type="http://schemas.openxmlformats.org/officeDocument/2006/relationships/image" Target="media/image4.wmf"/><Relationship Id="rId13" Type="http://schemas.openxmlformats.org/officeDocument/2006/relationships/image" Target="media/image3.wmf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10</Pages>
  <Words>851</Words>
  <Characters>4852</Characters>
  <Lines>40</Lines>
  <Paragraphs>11</Paragraphs>
  <TotalTime>0</TotalTime>
  <ScaleCrop>false</ScaleCrop>
  <LinksUpToDate>false</LinksUpToDate>
  <CharactersWithSpaces>5692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2023-12-25T12:25:00Z</dcterms:created>
  <dc:creator>a</dc:creator>
  <cp:lastModifiedBy>蓝烟</cp:lastModifiedBy>
  <cp:lastPrinted>1900-12-31T16:00:00Z</cp:lastPrinted>
  <dcterms:modified xsi:type="dcterms:W3CDTF">2024-01-08T06:51:56Z</dcterms:modified>
  <dc:title>建筑可开启面积比例计算书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2052-12.1.0.16120</vt:lpwstr>
  </property>
  <property fmtid="{D5CDD505-2E9C-101B-9397-08002B2CF9AE}" pid="5" name="ICV">
    <vt:lpwstr>E152C0D185A847C180F1790FFA04E3B4_12</vt:lpwstr>
  </property>
</Properties>
</file>