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pPr>
        <w:spacing w:line="180" w:lineRule="atLeast"/>
        <w:jc w:val="center"/>
        <w:rPr>
          <w:rFonts w:ascii="宋体" w:hAnsi="宋体"/>
          <w:b/>
          <w:bCs/>
          <w:sz w:val="21"/>
          <w:szCs w:val="21"/>
        </w:rPr>
      </w:pPr>
    </w:p>
    <w:p>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3"/>
              <w:tabs>
                <w:tab w:val="clear" w:pos="4153"/>
                <w:tab w:val="clear" w:pos="8306"/>
              </w:tabs>
              <w:snapToGrid/>
              <w:jc w:val="both"/>
              <w:rPr>
                <w:rFonts w:ascii="宋体" w:hAnsi="宋体"/>
                <w:sz w:val="21"/>
                <w:szCs w:val="21"/>
              </w:rPr>
            </w:pPr>
            <w:bookmarkStart w:id="0" w:name="工程名称"/>
            <w:r>
              <w:t>竹雅栖舍</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工程地点</w:t>
            </w:r>
          </w:p>
        </w:tc>
        <w:tc>
          <w:tcPr>
            <w:tcW w:w="3780" w:type="dxa"/>
          </w:tcPr>
          <w:p>
            <w:pPr>
              <w:jc w:val="both"/>
              <w:rPr>
                <w:rFonts w:ascii="宋体" w:hAnsi="宋体"/>
                <w:sz w:val="21"/>
                <w:szCs w:val="21"/>
              </w:rPr>
            </w:pPr>
            <w:bookmarkStart w:id="1" w:name="工程地点"/>
            <w:r>
              <w:rPr>
                <w:rFonts w:hint="eastAsia" w:ascii="宋体" w:hAnsi="宋体"/>
                <w:sz w:val="21"/>
                <w:szCs w:val="21"/>
              </w:rPr>
              <w:t>丽水</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both"/>
              <w:rPr>
                <w:rFonts w:hint="eastAsia" w:ascii="宋体" w:hAnsi="宋体" w:eastAsia="宋体"/>
                <w:sz w:val="21"/>
                <w:szCs w:val="21"/>
                <w:lang w:val="en-US" w:eastAsia="zh-CN"/>
              </w:rPr>
            </w:pPr>
            <w:bookmarkStart w:id="2" w:name="设计编号"/>
            <w:r>
              <w:t>YB1A6010</w:t>
            </w:r>
            <w:bookmarkEnd w:id="2"/>
            <w:r>
              <w:rPr>
                <w:rFonts w:hint="eastAsia"/>
                <w:lang w:val="en-US" w:eastAsia="zh-CN"/>
              </w:rPr>
              <w:t>2</w:t>
            </w:r>
            <w:bookmarkStart w:id="36" w:name="_GoBack"/>
            <w:bookmarkEnd w:id="3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rPr>
                <w:rFonts w:ascii="宋体" w:hAnsi="宋体"/>
                <w:sz w:val="21"/>
                <w:szCs w:val="21"/>
              </w:rPr>
            </w:pPr>
            <w:bookmarkStart w:id="3" w:name="建设单位"/>
            <w:r>
              <w:t>XX</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rPr>
                <w:rFonts w:ascii="宋体" w:hAnsi="宋体"/>
                <w:sz w:val="21"/>
                <w:szCs w:val="21"/>
              </w:rPr>
            </w:pPr>
            <w:bookmarkStart w:id="4" w:name="设计单位"/>
            <w:r>
              <w:t>XX</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校 对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设计日期</w:t>
            </w:r>
          </w:p>
        </w:tc>
        <w:tc>
          <w:tcPr>
            <w:tcW w:w="3780" w:type="dxa"/>
          </w:tcPr>
          <w:p>
            <w:pPr>
              <w:rPr>
                <w:rFonts w:ascii="宋体" w:hAnsi="宋体"/>
                <w:sz w:val="21"/>
                <w:szCs w:val="21"/>
              </w:rPr>
            </w:pPr>
            <w:bookmarkStart w:id="5" w:name="设计日期"/>
            <w:bookmarkEnd w:id="5"/>
          </w:p>
        </w:tc>
      </w:tr>
    </w:tbl>
    <w:p>
      <w:pPr>
        <w:spacing w:line="240" w:lineRule="auto"/>
        <w:rPr>
          <w:rFonts w:ascii="宋体" w:hAnsi="宋体"/>
          <w:lang w:val="en-US"/>
        </w:rPr>
      </w:pPr>
    </w:p>
    <w:p>
      <w:pPr>
        <w:spacing w:line="240" w:lineRule="auto"/>
        <w:jc w:val="center"/>
        <w:rPr>
          <w:rFonts w:ascii="宋体" w:hAnsi="宋体"/>
          <w:b/>
          <w:bCs/>
          <w:sz w:val="30"/>
          <w:szCs w:val="32"/>
        </w:rPr>
      </w:pPr>
      <w:bookmarkStart w:id="6" w:name="二维码"/>
      <w:bookmarkEnd w:id="6"/>
      <w:r>
        <w:drawing>
          <wp:inline distT="0" distB="0" distL="0" distR="0">
            <wp:extent cx="1628775" cy="16287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bookmarkStart w:id="7" w:name="采用软件"/>
            <w:r>
              <w:rPr>
                <w:rFonts w:hint="eastAsia" w:ascii="宋体" w:hAnsi="宋体"/>
              </w:rPr>
              <w:t>建筑通风Vent2023</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rPr>
                <w:rFonts w:ascii="宋体" w:hAnsi="宋体"/>
                <w:szCs w:val="18"/>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T15656910227</w:t>
            </w:r>
            <w:bookmarkEnd w:id="9"/>
          </w:p>
        </w:tc>
      </w:tr>
    </w:tbl>
    <w:p>
      <w:pPr>
        <w:spacing w:line="1000" w:lineRule="exact"/>
        <w:jc w:val="center"/>
      </w:pPr>
    </w:p>
    <w:p>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pStyle w:val="2"/>
      </w:pPr>
      <w:bookmarkStart w:id="10" w:name="_Toc420309360"/>
      <w:bookmarkStart w:id="11" w:name="_Toc420663548"/>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518" w:type="dxa"/>
          </w:tcPr>
          <w:p>
            <w:pPr>
              <w:pStyle w:val="3"/>
              <w:ind w:firstLine="0" w:firstLineChars="0"/>
              <w:rPr>
                <w:rFonts w:ascii="宋体" w:hAnsi="宋体"/>
                <w:lang w:val="en-US"/>
              </w:rPr>
            </w:pPr>
            <w:bookmarkStart w:id="12" w:name="工程名称2"/>
            <w:r>
              <w:t>竹雅栖舍</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518" w:type="dxa"/>
          </w:tcPr>
          <w:p>
            <w:pPr>
              <w:pStyle w:val="3"/>
              <w:ind w:firstLine="0" w:firstLineChars="0"/>
              <w:rPr>
                <w:rFonts w:ascii="宋体" w:hAnsi="宋体"/>
                <w:lang w:val="en-US"/>
              </w:rPr>
            </w:pPr>
            <w:bookmarkStart w:id="13" w:name="工程地点2"/>
            <w:r>
              <w:rPr>
                <w:rFonts w:hint="eastAsia" w:ascii="宋体" w:hAnsi="宋体"/>
              </w:rPr>
              <w:t>丽水</w:t>
            </w:r>
            <w:bookmarkEnd w:id="13"/>
          </w:p>
        </w:tc>
      </w:tr>
    </w:tbl>
    <w:p>
      <w:pPr>
        <w:pStyle w:val="3"/>
        <w:ind w:firstLine="420"/>
      </w:pPr>
      <w:bookmarkStart w:id="14" w:name="项目概况"/>
      <w:bookmarkEnd w:id="14"/>
      <w:bookmarkStart w:id="15" w:name="_Toc420309361"/>
      <w:bookmarkStart w:id="16" w:name="_Toc420663549"/>
    </w:p>
    <w:p>
      <w:pPr>
        <w:pStyle w:val="2"/>
      </w:pPr>
      <w:bookmarkStart w:id="17" w:name="TitleFormat"/>
      <w:r>
        <w:rPr>
          <w:rFonts w:hint="eastAsia"/>
        </w:rPr>
        <w:t>计算依据</w:t>
      </w:r>
      <w:bookmarkEnd w:id="15"/>
      <w:bookmarkEnd w:id="16"/>
    </w:p>
    <w:bookmarkEnd w:id="17"/>
    <w:p>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《绿色建筑评价标准》GB/T50378-2019</w:t>
      </w:r>
      <w:bookmarkEnd w:id="19"/>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竹雅栖舍</w:t>
      </w:r>
      <w:bookmarkEnd w:id="20"/>
      <w:r>
        <w:rPr>
          <w:rFonts w:hint="eastAsia"/>
          <w:kern w:val="2"/>
          <w:sz w:val="21"/>
          <w:szCs w:val="24"/>
          <w:lang w:val="en-US"/>
        </w:rPr>
        <w:t>相关建筑图纸</w:t>
      </w:r>
    </w:p>
    <w:p>
      <w:pPr>
        <w:pStyle w:val="2"/>
        <w:rPr>
          <w:kern w:val="2"/>
        </w:rPr>
      </w:pPr>
      <w:bookmarkStart w:id="21" w:name="_Toc420663550"/>
      <w:r>
        <w:rPr>
          <w:rFonts w:hint="eastAsia"/>
          <w:kern w:val="2"/>
        </w:rPr>
        <w:t>参考</w:t>
      </w:r>
      <w:r>
        <w:rPr>
          <w:kern w:val="2"/>
        </w:rPr>
        <w:t>标准</w:t>
      </w:r>
      <w:bookmarkEnd w:id="21"/>
    </w:p>
    <w:p>
      <w:pPr>
        <w:pStyle w:val="3"/>
        <w:ind w:firstLine="420"/>
        <w:rPr>
          <w:kern w:val="2"/>
          <w:szCs w:val="24"/>
          <w:lang w:val="en-US"/>
        </w:rPr>
      </w:pPr>
      <w:bookmarkStart w:id="22" w:name="参考标准名称2"/>
      <w:bookmarkStart w:id="23" w:name="_Toc420663551"/>
      <w:r>
        <w:rPr>
          <w:rFonts w:hint="eastAsia"/>
          <w:kern w:val="2"/>
          <w:szCs w:val="24"/>
          <w:lang w:val="en-US"/>
        </w:rPr>
        <w:t>《绿色建筑评价标准》GB/T50378-2019</w:t>
      </w:r>
      <w:bookmarkEnd w:id="22"/>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4" w:name="OLE_LINK4"/>
      <w:bookmarkStart w:id="25" w:name="OLE_LINK3"/>
      <w:r>
        <w:rPr>
          <w:rFonts w:hint="eastAsia" w:ascii="Arial" w:hAnsi="Arial" w:eastAsia="黑体" w:cs="Arial"/>
          <w:kern w:val="2"/>
          <w:sz w:val="20"/>
          <w:szCs w:val="18"/>
          <w:lang w:val="en-US"/>
        </w:rPr>
        <w:t>表1 公共建筑过渡季节典型工况下主要功能房间自然通风评分规则</w:t>
      </w:r>
    </w:p>
    <w:bookmarkEnd w:id="24"/>
    <w:bookmarkEnd w:id="25"/>
    <w:tbl>
      <w:tblPr>
        <w:tblStyle w:val="16"/>
        <w:tblW w:w="8237" w:type="dxa"/>
        <w:jc w:val="center"/>
        <w:tblLayout w:type="autofit"/>
        <w:tblCellMar>
          <w:top w:w="0" w:type="dxa"/>
          <w:left w:w="108" w:type="dxa"/>
          <w:bottom w:w="0" w:type="dxa"/>
          <w:right w:w="108" w:type="dxa"/>
        </w:tblCellMar>
      </w:tblPr>
      <w:tblGrid>
        <w:gridCol w:w="6536"/>
        <w:gridCol w:w="1701"/>
      </w:tblGrid>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23"/>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pPr>
              <w:widowControl w:val="0"/>
              <w:spacing w:line="240" w:lineRule="auto"/>
              <w:jc w:val="center"/>
              <w:rPr>
                <w:kern w:val="2"/>
                <w:sz w:val="21"/>
                <w:szCs w:val="24"/>
                <w:lang w:val="en-US"/>
              </w:rPr>
            </w:pPr>
            <w:bookmarkStart w:id="26" w:name="统计计算表表头"/>
            <w:r>
              <w:rPr>
                <w:rFonts w:hint="eastAsia"/>
                <w:kern w:val="2"/>
                <w:sz w:val="21"/>
                <w:szCs w:val="24"/>
                <w:lang w:val="en-US"/>
              </w:rPr>
              <w:t>换气次数大于2次/h的面积比</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7" w:name="面积分子"/>
            <w:r>
              <w:rPr>
                <w:rFonts w:hint="eastAsia"/>
                <w:kern w:val="2"/>
                <w:sz w:val="21"/>
                <w:szCs w:val="24"/>
                <w:lang w:val="en-US"/>
              </w:rPr>
              <w:t>769.82</w:t>
            </w:r>
            <w:bookmarkEnd w:id="27"/>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8" w:name="面积分母"/>
            <w:r>
              <w:rPr>
                <w:rFonts w:hint="eastAsia"/>
                <w:kern w:val="2"/>
                <w:sz w:val="21"/>
                <w:szCs w:val="24"/>
                <w:lang w:val="en-US"/>
              </w:rPr>
              <w:t>810.22</w:t>
            </w:r>
            <w:bookmarkEnd w:id="28"/>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9" w:name="面积比"/>
            <w:r>
              <w:rPr>
                <w:rFonts w:hint="eastAsia"/>
                <w:kern w:val="2"/>
                <w:sz w:val="21"/>
                <w:szCs w:val="24"/>
                <w:lang w:val="en-US"/>
              </w:rPr>
              <w:t>95.01</w:t>
            </w:r>
            <w:bookmarkEnd w:id="29"/>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bookmarkEnd w:id="26"/>
    </w:tbl>
    <w:p>
      <w:pPr>
        <w:pStyle w:val="3"/>
        <w:ind w:firstLine="525" w:firstLineChars="250"/>
        <w:rPr>
          <w:kern w:val="2"/>
        </w:rPr>
      </w:pPr>
    </w:p>
    <w:p>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tblPrEx>
          <w:tblCellMar>
            <w:top w:w="0" w:type="dxa"/>
            <w:left w:w="108" w:type="dxa"/>
            <w:bottom w:w="0" w:type="dxa"/>
            <w:right w:w="108" w:type="dxa"/>
          </w:tblCellMar>
        </w:tblPrEx>
        <w:trPr>
          <w:trHeight w:val="540" w:hRule="atLeast"/>
          <w:tblHeader/>
        </w:trPr>
        <w:tc>
          <w:tcPr>
            <w:tcW w:w="2280" w:type="dxa"/>
            <w:tcBorders>
              <w:top w:val="single" w:color="auto" w:sz="4" w:space="0"/>
              <w:left w:val="single" w:color="auto" w:sz="4" w:space="0"/>
              <w:bottom w:val="single" w:color="auto" w:sz="4" w:space="0"/>
              <w:right w:val="single" w:color="auto" w:sz="4" w:space="0"/>
            </w:tcBorders>
            <w:shd w:val="clear" w:color="auto" w:fill="DEDEDE"/>
            <w:noWrap/>
            <w:vAlign w:val="center"/>
          </w:tcPr>
          <w:p>
            <w:pPr>
              <w:spacing w:line="240" w:lineRule="auto"/>
              <w:rPr>
                <w:rFonts w:ascii="宋体" w:hAnsi="宋体" w:cs="宋体"/>
                <w:color w:val="000000"/>
                <w:szCs w:val="18"/>
                <w:lang w:val="en-US"/>
              </w:rPr>
            </w:pPr>
            <w:bookmarkStart w:id="30" w:name="房间表"/>
            <w:r>
              <w:rPr>
                <w:rFonts w:hint="eastAsia" w:ascii="宋体" w:hAnsi="宋体" w:cs="宋体"/>
                <w:color w:val="000000"/>
                <w:szCs w:val="18"/>
                <w:lang w:val="en-US"/>
              </w:rPr>
              <w:t>分类</w:t>
            </w:r>
          </w:p>
        </w:tc>
        <w:tc>
          <w:tcPr>
            <w:tcW w:w="760" w:type="dxa"/>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W w:w="760" w:type="dxa"/>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W w:w="987" w:type="dxa"/>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315.50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75.12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58.59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1005[房间]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278.04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66.20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93.91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1006[房间]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249.14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59.32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67.09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1008[房间]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242.26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57.68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14.50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1010[房间]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110.80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26.38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46.99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1011[房间]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104.16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24.80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2001[房间]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253.84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76.92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43.06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2002[房间]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342.14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103.68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52.15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2007[房间]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190.61</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57.76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30.21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2016[房间]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74.84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22.68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29.44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2018[房间]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22.12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45.73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2020[房间]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66.99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20.30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27.82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2022[房间]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58.01</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17.58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28.31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2024[房间]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51.48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15.60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2025[房间]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48.05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14.56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60.70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2026[房间]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47.12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14.28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60.30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3009[房间]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153.12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38.28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113.87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3015[房间]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101.08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22.68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61.66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3017[房间]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97.86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22.12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24.31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3019[房间]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90.17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20.30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43.64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3021[房间]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65.91</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17.58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59.43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3027[房间]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61.69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14.28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67.49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bookmarkEnd w:id="30"/>
    </w:tbl>
    <w:p>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pPr>
        <w:pStyle w:val="3"/>
        <w:ind w:firstLine="0" w:firstLineChars="0"/>
        <w:rPr>
          <w:kern w:val="2"/>
        </w:rPr>
      </w:pPr>
    </w:p>
    <w:p>
      <w:pPr>
        <w:pStyle w:val="2"/>
        <w:rPr>
          <w:kern w:val="2"/>
        </w:rPr>
      </w:pPr>
      <w:r>
        <w:rPr>
          <w:rFonts w:hint="eastAsia"/>
          <w:kern w:val="2"/>
        </w:rPr>
        <w:t>结论</w:t>
      </w:r>
    </w:p>
    <w:p>
      <w:pPr>
        <w:pStyle w:val="3"/>
        <w:ind w:left="360" w:firstLine="0" w:firstLineChars="0"/>
        <w:rPr>
          <w:kern w:val="2"/>
          <w:szCs w:val="24"/>
          <w:lang w:val="en-US"/>
        </w:rPr>
      </w:pPr>
      <w:bookmarkStart w:id="31" w:name="工程名称5"/>
      <w:bookmarkEnd w:id="31"/>
      <w:bookmarkStart w:id="32" w:name="总结论"/>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4" w:name="面积比2"/>
      <w:r>
        <w:rPr>
          <w:rFonts w:hint="eastAsia"/>
          <w:kern w:val="2"/>
          <w:szCs w:val="24"/>
          <w:lang w:val="en-US"/>
        </w:rPr>
        <w:t>95.01</w:t>
      </w:r>
      <w:bookmarkEnd w:id="34"/>
      <w:r>
        <w:rPr>
          <w:kern w:val="2"/>
          <w:szCs w:val="24"/>
          <w:lang w:val="en-US"/>
        </w:rPr>
        <w:t>%</w:t>
      </w:r>
      <w:r>
        <w:rPr>
          <w:rFonts w:hint="eastAsia"/>
          <w:kern w:val="2"/>
          <w:szCs w:val="24"/>
          <w:lang w:val="en-US"/>
        </w:rPr>
        <w:t>，</w:t>
      </w:r>
      <w:bookmarkEnd w:id="32"/>
      <w:r>
        <w:rPr>
          <w:rFonts w:hint="eastAsia"/>
          <w:kern w:val="2"/>
          <w:szCs w:val="24"/>
          <w:lang w:val="en-US"/>
        </w:rPr>
        <w:t>按照绿标5.2.10条款</w:t>
      </w:r>
      <w:r>
        <w:rPr>
          <w:kern w:val="2"/>
          <w:szCs w:val="24"/>
          <w:lang w:val="en-US"/>
        </w:rPr>
        <w:t>要求得</w:t>
      </w:r>
      <w:bookmarkStart w:id="35" w:name="得分"/>
      <w:r>
        <w:rPr>
          <w:rFonts w:hint="eastAsia"/>
          <w:kern w:val="2"/>
          <w:szCs w:val="24"/>
          <w:lang w:val="en-US"/>
        </w:rPr>
        <w:t>7.0</w:t>
      </w:r>
      <w:bookmarkEnd w:id="35"/>
      <w:r>
        <w:rPr>
          <w:rFonts w:hint="eastAsia"/>
          <w:kern w:val="2"/>
          <w:szCs w:val="24"/>
          <w:lang w:val="en-US"/>
        </w:rPr>
        <w:t>分。</w:t>
      </w:r>
    </w:p>
    <w:p>
      <w:pPr>
        <w:rPr>
          <w:lang w:val="en-US"/>
        </w:rPr>
      </w:pPr>
    </w:p>
    <w:p>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ENT2022</w:t>
          </w:r>
        </w:p>
      </w:tc>
    </w:tr>
  </w:tbl>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wNWIzYTZiNjljZjAxMWZmYTRjOGExNzgwZThmY2MifQ=="/>
  </w:docVars>
  <w:rsids>
    <w:rsidRoot w:val="00712104"/>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70BE4"/>
    <w:rsid w:val="00694BF6"/>
    <w:rsid w:val="006B226B"/>
    <w:rsid w:val="006D5658"/>
    <w:rsid w:val="007109AF"/>
    <w:rsid w:val="00712104"/>
    <w:rsid w:val="0071743A"/>
    <w:rsid w:val="00717EFF"/>
    <w:rsid w:val="00772B34"/>
    <w:rsid w:val="00775530"/>
    <w:rsid w:val="007D7DA5"/>
    <w:rsid w:val="008E189C"/>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A5C56"/>
    <w:rsid w:val="00DC1940"/>
    <w:rsid w:val="00DC1ED2"/>
    <w:rsid w:val="00E513D4"/>
    <w:rsid w:val="00ED2B26"/>
    <w:rsid w:val="00F138C8"/>
    <w:rsid w:val="00F31AAA"/>
    <w:rsid w:val="00F541C9"/>
    <w:rsid w:val="00F7186B"/>
    <w:rsid w:val="00F74333"/>
    <w:rsid w:val="00F825EF"/>
    <w:rsid w:val="00FC1684"/>
    <w:rsid w:val="00FD73EC"/>
    <w:rsid w:val="00FF70E7"/>
    <w:rsid w:val="296A5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autoRedefine/>
    <w:qFormat/>
    <w:uiPriority w:val="0"/>
    <w:pPr>
      <w:keepNext/>
      <w:numPr>
        <w:ilvl w:val="3"/>
        <w:numId w:val="1"/>
      </w:numPr>
      <w:spacing w:before="240" w:after="60"/>
      <w:outlineLvl w:val="3"/>
    </w:pPr>
    <w:rPr>
      <w:b/>
      <w:bCs/>
      <w:sz w:val="21"/>
      <w:szCs w:val="28"/>
    </w:rPr>
  </w:style>
  <w:style w:type="paragraph" w:styleId="7">
    <w:name w:val="heading 5"/>
    <w:basedOn w:val="1"/>
    <w:next w:val="1"/>
    <w:link w:val="24"/>
    <w:autoRedefine/>
    <w:qFormat/>
    <w:uiPriority w:val="0"/>
    <w:pPr>
      <w:numPr>
        <w:ilvl w:val="4"/>
        <w:numId w:val="1"/>
      </w:numPr>
      <w:spacing w:before="240" w:after="60"/>
      <w:outlineLvl w:val="4"/>
    </w:pPr>
    <w:rPr>
      <w:b/>
      <w:bCs/>
      <w:iCs/>
      <w:sz w:val="21"/>
      <w:szCs w:val="26"/>
    </w:rPr>
  </w:style>
  <w:style w:type="paragraph" w:styleId="8">
    <w:name w:val="heading 6"/>
    <w:basedOn w:val="1"/>
    <w:next w:val="1"/>
    <w:link w:val="25"/>
    <w:autoRedefine/>
    <w:qFormat/>
    <w:uiPriority w:val="0"/>
    <w:pPr>
      <w:numPr>
        <w:ilvl w:val="5"/>
        <w:numId w:val="1"/>
      </w:numPr>
      <w:spacing w:before="240" w:after="60"/>
      <w:outlineLvl w:val="5"/>
    </w:pPr>
    <w:rPr>
      <w:b/>
      <w:bCs/>
      <w:sz w:val="21"/>
      <w:szCs w:val="22"/>
    </w:rPr>
  </w:style>
  <w:style w:type="paragraph" w:styleId="9">
    <w:name w:val="heading 7"/>
    <w:basedOn w:val="1"/>
    <w:next w:val="1"/>
    <w:link w:val="26"/>
    <w:autoRedefine/>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autoRedefine/>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autoRedefine/>
    <w:semiHidden/>
    <w:unhideWhenUsed/>
    <w:uiPriority w:val="99"/>
    <w:pPr>
      <w:spacing w:line="240" w:lineRule="auto"/>
    </w:pPr>
    <w:rPr>
      <w:szCs w:val="18"/>
    </w:rPr>
  </w:style>
  <w:style w:type="paragraph" w:styleId="13">
    <w:name w:val="footer"/>
    <w:basedOn w:val="1"/>
    <w:link w:val="30"/>
    <w:autoRedefine/>
    <w:qFormat/>
    <w:uiPriority w:val="99"/>
    <w:pPr>
      <w:tabs>
        <w:tab w:val="center" w:pos="4153"/>
        <w:tab w:val="right" w:pos="8306"/>
      </w:tabs>
      <w:snapToGrid w:val="0"/>
    </w:pPr>
    <w:rPr>
      <w:szCs w:val="18"/>
    </w:rPr>
  </w:style>
  <w:style w:type="paragraph" w:styleId="14">
    <w:name w:val="header"/>
    <w:basedOn w:val="1"/>
    <w:link w:val="29"/>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autoRedefine/>
    <w:qFormat/>
    <w:uiPriority w:val="39"/>
    <w:pPr>
      <w:tabs>
        <w:tab w:val="left" w:leader="dot" w:pos="180"/>
        <w:tab w:val="left" w:pos="420"/>
        <w:tab w:val="right" w:leader="dot" w:pos="9360"/>
      </w:tabs>
    </w:pPr>
    <w:rPr>
      <w:b/>
      <w:bCs/>
      <w:kern w:val="2"/>
      <w:sz w:val="21"/>
      <w:szCs w:val="24"/>
      <w:lang w:val="en-US"/>
    </w:rPr>
  </w:style>
  <w:style w:type="table" w:styleId="17">
    <w:name w:val="Table Grid"/>
    <w:basedOn w:val="16"/>
    <w:autoRedefine/>
    <w:qFormat/>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autoRedefine/>
    <w:qFormat/>
    <w:uiPriority w:val="99"/>
    <w:rPr>
      <w:color w:val="0000FF"/>
      <w:u w:val="single"/>
    </w:rPr>
  </w:style>
  <w:style w:type="character" w:customStyle="1" w:styleId="20">
    <w:name w:val="标题 1 字符"/>
    <w:link w:val="2"/>
    <w:autoRedefine/>
    <w:qFormat/>
    <w:uiPriority w:val="0"/>
    <w:rPr>
      <w:rFonts w:ascii="Times New Roman" w:hAnsi="Times New Roman" w:eastAsia="宋体" w:cs="Times New Roman"/>
      <w:b/>
      <w:bCs/>
      <w:kern w:val="32"/>
      <w:sz w:val="28"/>
      <w:szCs w:val="28"/>
    </w:rPr>
  </w:style>
  <w:style w:type="character" w:customStyle="1" w:styleId="21">
    <w:name w:val="标题 2 字符"/>
    <w:link w:val="4"/>
    <w:autoRedefine/>
    <w:qFormat/>
    <w:uiPriority w:val="0"/>
    <w:rPr>
      <w:rFonts w:ascii="宋体" w:hAnsi="Times New Roman" w:eastAsia="宋体" w:cs="Arial"/>
      <w:b/>
      <w:bCs/>
      <w:iCs/>
      <w:color w:val="000000"/>
      <w:kern w:val="0"/>
      <w:sz w:val="24"/>
      <w:szCs w:val="24"/>
    </w:rPr>
  </w:style>
  <w:style w:type="character" w:customStyle="1" w:styleId="22">
    <w:name w:val="标题 3 字符"/>
    <w:link w:val="5"/>
    <w:autoRedefine/>
    <w:qFormat/>
    <w:uiPriority w:val="0"/>
    <w:rPr>
      <w:rFonts w:ascii="宋体" w:hAnsi="宋体" w:eastAsia="宋体" w:cs="Arial"/>
      <w:b/>
      <w:bCs/>
      <w:kern w:val="0"/>
      <w:szCs w:val="21"/>
    </w:rPr>
  </w:style>
  <w:style w:type="character" w:customStyle="1" w:styleId="23">
    <w:name w:val="标题 4 字符"/>
    <w:link w:val="6"/>
    <w:autoRedefine/>
    <w:qFormat/>
    <w:uiPriority w:val="0"/>
    <w:rPr>
      <w:rFonts w:ascii="Times New Roman" w:hAnsi="Times New Roman" w:eastAsia="宋体" w:cs="Times New Roman"/>
      <w:b/>
      <w:bCs/>
      <w:kern w:val="0"/>
      <w:szCs w:val="28"/>
      <w:lang w:val="en-GB"/>
    </w:rPr>
  </w:style>
  <w:style w:type="character" w:customStyle="1" w:styleId="24">
    <w:name w:val="标题 5 字符"/>
    <w:link w:val="7"/>
    <w:autoRedefine/>
    <w:qFormat/>
    <w:uiPriority w:val="0"/>
    <w:rPr>
      <w:rFonts w:ascii="Times New Roman" w:hAnsi="Times New Roman" w:eastAsia="宋体" w:cs="Times New Roman"/>
      <w:b/>
      <w:bCs/>
      <w:iCs/>
      <w:kern w:val="0"/>
      <w:szCs w:val="26"/>
      <w:lang w:val="en-GB"/>
    </w:rPr>
  </w:style>
  <w:style w:type="character" w:customStyle="1" w:styleId="25">
    <w:name w:val="标题 6 字符"/>
    <w:link w:val="8"/>
    <w:autoRedefine/>
    <w:qFormat/>
    <w:uiPriority w:val="0"/>
    <w:rPr>
      <w:rFonts w:ascii="Times New Roman" w:hAnsi="Times New Roman" w:eastAsia="宋体" w:cs="Times New Roman"/>
      <w:b/>
      <w:bCs/>
      <w:kern w:val="0"/>
      <w:lang w:val="en-GB"/>
    </w:rPr>
  </w:style>
  <w:style w:type="character" w:customStyle="1" w:styleId="26">
    <w:name w:val="标题 7 字符"/>
    <w:link w:val="9"/>
    <w:qFormat/>
    <w:uiPriority w:val="0"/>
    <w:rPr>
      <w:rFonts w:ascii="Times New Roman" w:hAnsi="Times New Roman" w:eastAsia="宋体" w:cs="Times New Roman"/>
      <w:kern w:val="0"/>
      <w:sz w:val="24"/>
      <w:szCs w:val="24"/>
      <w:lang w:val="en-GB"/>
    </w:rPr>
  </w:style>
  <w:style w:type="character" w:customStyle="1" w:styleId="27">
    <w:name w:val="标题 8 字符"/>
    <w:link w:val="10"/>
    <w:autoRedefine/>
    <w:qFormat/>
    <w:uiPriority w:val="0"/>
    <w:rPr>
      <w:rFonts w:ascii="Times New Roman" w:hAnsi="Times New Roman" w:eastAsia="宋体" w:cs="Times New Roman"/>
      <w:i/>
      <w:iCs/>
      <w:kern w:val="0"/>
      <w:sz w:val="24"/>
      <w:szCs w:val="24"/>
      <w:lang w:val="en-GB"/>
    </w:rPr>
  </w:style>
  <w:style w:type="character" w:customStyle="1" w:styleId="28">
    <w:name w:val="标题 9 字符"/>
    <w:link w:val="11"/>
    <w:autoRedefine/>
    <w:qFormat/>
    <w:uiPriority w:val="0"/>
    <w:rPr>
      <w:rFonts w:ascii="Arial" w:hAnsi="Arial" w:eastAsia="宋体" w:cs="Arial"/>
      <w:kern w:val="0"/>
      <w:sz w:val="22"/>
      <w:lang w:val="en-GB"/>
    </w:rPr>
  </w:style>
  <w:style w:type="character" w:customStyle="1" w:styleId="29">
    <w:name w:val="页眉 字符"/>
    <w:link w:val="14"/>
    <w:autoRedefine/>
    <w:qFormat/>
    <w:uiPriority w:val="99"/>
    <w:rPr>
      <w:rFonts w:ascii="Times New Roman" w:hAnsi="Times New Roman" w:eastAsia="宋体" w:cs="Times New Roman"/>
      <w:kern w:val="0"/>
      <w:sz w:val="18"/>
      <w:szCs w:val="18"/>
      <w:lang w:val="en-GB"/>
    </w:rPr>
  </w:style>
  <w:style w:type="character" w:customStyle="1" w:styleId="30">
    <w:name w:val="页脚 字符"/>
    <w:link w:val="13"/>
    <w:autoRedefine/>
    <w:qFormat/>
    <w:uiPriority w:val="99"/>
    <w:rPr>
      <w:rFonts w:ascii="Times New Roman" w:hAnsi="Times New Roman" w:eastAsia="宋体" w:cs="Times New Roman"/>
      <w:kern w:val="0"/>
      <w:sz w:val="18"/>
      <w:szCs w:val="18"/>
      <w:lang w:val="en-GB"/>
    </w:rPr>
  </w:style>
  <w:style w:type="character" w:customStyle="1" w:styleId="31">
    <w:name w:val="批注框文本 字符"/>
    <w:basedOn w:val="18"/>
    <w:link w:val="12"/>
    <w:autoRedefine/>
    <w:semiHidden/>
    <w:qFormat/>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SION~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EE98-E977-4DDD-B505-9018E66F8A87}">
  <ds:schemaRefs/>
</ds:datastoreItem>
</file>

<file path=docProps/app.xml><?xml version="1.0" encoding="utf-8"?>
<Properties xmlns="http://schemas.openxmlformats.org/officeDocument/2006/extended-properties" xmlns:vt="http://schemas.openxmlformats.org/officeDocument/2006/docPropsVTypes">
  <Template>tmp2</Template>
  <Company>Microsoft</Company>
  <Pages>4</Pages>
  <Words>270</Words>
  <Characters>1543</Characters>
  <Lines>12</Lines>
  <Paragraphs>3</Paragraphs>
  <TotalTime>0</TotalTime>
  <ScaleCrop>false</ScaleCrop>
  <LinksUpToDate>false</LinksUpToDate>
  <CharactersWithSpaces>1810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2024-01-01T10:57:00Z</dcterms:created>
  <dc:creator>Visionary</dc:creator>
  <cp:lastModifiedBy>Administrator</cp:lastModifiedBy>
  <dcterms:modified xsi:type="dcterms:W3CDTF">2024-01-10T09:10:43Z</dcterms:modified>
  <dc:title>公共建筑换气次数计算书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788E538EB0FF4FBA854FD13D5699E580_12</vt:lpwstr>
  </property>
</Properties>
</file>