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312" w:beforeLines="100" w:line="180" w:lineRule="atLeast"/>
        <w:jc w:val="center"/>
        <w:rPr>
          <w:rFonts w:ascii="黑体" w:hAnsi="宋体" w:eastAsia="黑体" w:cs="黑体"/>
          <w:b/>
          <w:bCs/>
          <w:kern w:val="2"/>
          <w:sz w:val="24"/>
          <w:szCs w:val="72"/>
          <w:lang w:val="en-US"/>
        </w:rPr>
      </w:pPr>
      <w:bookmarkStart w:id="0" w:name="标准辐照"/>
      <w:bookmarkEnd w:id="0"/>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可再生能源利用分析报告</w:t>
      </w:r>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光伏发电</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3"/>
        <w:gridCol w:w="42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013" w:type="dxa"/>
            <w:tcBorders>
              <w:top w:val="single" w:color="auto" w:sz="12"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项目名称</w:t>
            </w:r>
          </w:p>
        </w:tc>
        <w:tc>
          <w:tcPr>
            <w:tcW w:w="4229" w:type="dxa"/>
            <w:vAlign w:val="center"/>
          </w:tcPr>
          <w:p>
            <w:pPr>
              <w:jc w:val="center"/>
              <w:rPr>
                <w:rFonts w:ascii="宋体" w:hAnsi="宋体"/>
                <w:szCs w:val="21"/>
              </w:rPr>
            </w:pPr>
            <w:bookmarkStart w:id="1" w:name="项目名称"/>
            <w:r>
              <w:t>111</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设计编号</w:t>
            </w:r>
          </w:p>
        </w:tc>
        <w:tc>
          <w:tcPr>
            <w:tcW w:w="4229" w:type="dxa"/>
            <w:vAlign w:val="center"/>
          </w:tcPr>
          <w:p>
            <w:pPr>
              <w:jc w:val="center"/>
              <w:rPr>
                <w:rFonts w:ascii="宋体" w:hAnsi="宋体"/>
                <w:szCs w:val="21"/>
              </w:rPr>
            </w:pPr>
            <w:bookmarkStart w:id="2" w:name="设计编号"/>
            <w:r>
              <w:t>111</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建设单位</w:t>
            </w:r>
          </w:p>
        </w:tc>
        <w:tc>
          <w:tcPr>
            <w:tcW w:w="4229" w:type="dxa"/>
            <w:vAlign w:val="center"/>
          </w:tcPr>
          <w:p>
            <w:pPr>
              <w:jc w:val="center"/>
              <w:rPr>
                <w:rFonts w:ascii="宋体" w:hAnsi="宋体"/>
                <w:szCs w:val="21"/>
              </w:rPr>
            </w:pPr>
            <w:bookmarkStart w:id="3" w:name="建设单位"/>
            <w:r>
              <w:t>111</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设计单位</w:t>
            </w:r>
          </w:p>
        </w:tc>
        <w:tc>
          <w:tcPr>
            <w:tcW w:w="4229" w:type="dxa"/>
            <w:vAlign w:val="center"/>
          </w:tcPr>
          <w:p>
            <w:pPr>
              <w:jc w:val="center"/>
              <w:rPr>
                <w:rFonts w:ascii="宋体" w:hAnsi="宋体"/>
                <w:szCs w:val="21"/>
              </w:rPr>
            </w:pPr>
            <w:bookmarkStart w:id="4" w:name="设计单位"/>
            <w:r>
              <w:t>111</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 计 人</w:t>
            </w:r>
          </w:p>
        </w:tc>
        <w:tc>
          <w:tcPr>
            <w:tcW w:w="422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核 人</w:t>
            </w:r>
          </w:p>
        </w:tc>
        <w:tc>
          <w:tcPr>
            <w:tcW w:w="4229" w:type="dxa"/>
            <w:vAlign w:val="center"/>
          </w:tcPr>
          <w:p>
            <w:pPr>
              <w:jc w:val="center"/>
              <w:rPr>
                <w:rFonts w:ascii="宋体" w:hAnsi="宋体"/>
                <w:szCs w:val="21"/>
              </w:rPr>
            </w:pPr>
            <w:bookmarkStart w:id="5" w:name="审核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定 人</w:t>
            </w:r>
          </w:p>
        </w:tc>
        <w:tc>
          <w:tcPr>
            <w:tcW w:w="4229" w:type="dxa"/>
            <w:vAlign w:val="center"/>
          </w:tcPr>
          <w:p>
            <w:pPr>
              <w:jc w:val="center"/>
              <w:rPr>
                <w:rFonts w:ascii="宋体" w:hAnsi="宋体"/>
                <w:szCs w:val="21"/>
              </w:rPr>
            </w:pPr>
            <w:bookmarkStart w:id="6" w:name="审定人"/>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12" w:space="0"/>
            </w:tcBorders>
            <w:shd w:val="clear" w:color="auto" w:fill="E6E6E6"/>
            <w:vAlign w:val="center"/>
          </w:tcPr>
          <w:p>
            <w:pPr>
              <w:jc w:val="both"/>
              <w:rPr>
                <w:rFonts w:ascii="宋体" w:hAnsi="宋体"/>
                <w:szCs w:val="21"/>
              </w:rPr>
            </w:pPr>
            <w:r>
              <w:rPr>
                <w:rFonts w:hint="eastAsia" w:ascii="宋体" w:hAnsi="宋体"/>
                <w:szCs w:val="21"/>
              </w:rPr>
              <w:t>计算日期</w:t>
            </w:r>
          </w:p>
        </w:tc>
        <w:tc>
          <w:tcPr>
            <w:tcW w:w="4229" w:type="dxa"/>
            <w:vAlign w:val="center"/>
          </w:tcPr>
          <w:p>
            <w:pPr>
              <w:jc w:val="center"/>
              <w:rPr>
                <w:rFonts w:ascii="宋体" w:hAnsi="宋体"/>
                <w:szCs w:val="21"/>
              </w:rPr>
            </w:pPr>
            <w:bookmarkStart w:id="7" w:name="报告日期"/>
            <w:r>
              <w:t>2023年12月30日</w:t>
            </w:r>
            <w:bookmarkEnd w:id="7"/>
          </w:p>
        </w:tc>
      </w:tr>
    </w:tbl>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30"/>
          <w:szCs w:val="32"/>
        </w:rPr>
      </w:pPr>
      <w:bookmarkStart w:id="8" w:name="二维码"/>
      <w:bookmarkEnd w:id="8"/>
      <w:r>
        <w:drawing>
          <wp:inline distT="0" distB="0" distL="0" distR="0">
            <wp:extent cx="1514475" cy="15144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
          <w:bCs/>
          <w:sz w:val="30"/>
          <w:szCs w:val="32"/>
        </w:rPr>
      </w:pPr>
    </w:p>
    <w:p>
      <w:pPr>
        <w:jc w:val="center"/>
        <w:rPr>
          <w:rFonts w:ascii="宋体" w:hAnsi="宋体"/>
          <w:b/>
          <w:bCs/>
          <w:sz w:val="28"/>
          <w:szCs w:val="28"/>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3"/>
        <w:gridCol w:w="42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12" w:space="0"/>
              <w:bottom w:val="single" w:color="auto" w:sz="6" w:space="0"/>
            </w:tcBorders>
            <w:shd w:val="clear" w:color="auto" w:fill="E6E6E6"/>
            <w:vAlign w:val="center"/>
          </w:tcPr>
          <w:p>
            <w:pPr>
              <w:jc w:val="both"/>
              <w:rPr>
                <w:rFonts w:ascii="宋体" w:hAnsi="宋体"/>
              </w:rPr>
            </w:pPr>
            <w:r>
              <w:rPr>
                <w:rFonts w:hint="eastAsia" w:ascii="宋体" w:hAnsi="宋体"/>
                <w:szCs w:val="18"/>
              </w:rPr>
              <w:t>采用软件</w:t>
            </w:r>
          </w:p>
        </w:tc>
        <w:tc>
          <w:tcPr>
            <w:tcW w:w="4293" w:type="dxa"/>
            <w:vAlign w:val="center"/>
          </w:tcPr>
          <w:p>
            <w:pPr>
              <w:jc w:val="center"/>
              <w:rPr>
                <w:szCs w:val="21"/>
              </w:rPr>
            </w:pPr>
            <w:r>
              <w:rPr>
                <w:rFonts w:hint="eastAsia"/>
                <w:szCs w:val="21"/>
              </w:rPr>
              <w:t>绿建斯维尔建筑光伏B</w:t>
            </w:r>
            <w:r>
              <w:rPr>
                <w:szCs w:val="21"/>
              </w:rPr>
              <w:t>PV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4293" w:type="dxa"/>
            <w:vAlign w:val="center"/>
          </w:tcPr>
          <w:p>
            <w:pPr>
              <w:jc w:val="center"/>
              <w:rPr>
                <w:szCs w:val="21"/>
              </w:rPr>
            </w:pPr>
            <w:bookmarkStart w:id="9" w:name="版本日期"/>
            <w:r>
              <w:rPr>
                <w:szCs w:val="21"/>
              </w:rPr>
              <w:t>20230518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4293" w:type="dxa"/>
            <w:vAlign w:val="center"/>
          </w:tcPr>
          <w:p>
            <w:pPr>
              <w:jc w:val="center"/>
              <w:rPr>
                <w:szCs w:val="21"/>
              </w:rPr>
            </w:pPr>
            <w:r>
              <w:rPr>
                <w:rFonts w:hint="eastAsia"/>
                <w:szCs w:val="21"/>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rPr>
              <w:t>正版授权码</w:t>
            </w:r>
          </w:p>
        </w:tc>
        <w:tc>
          <w:tcPr>
            <w:tcW w:w="4293" w:type="dxa"/>
            <w:vAlign w:val="center"/>
          </w:tcPr>
          <w:p>
            <w:pPr>
              <w:jc w:val="center"/>
            </w:pPr>
            <w:bookmarkStart w:id="10" w:name="正版授权码"/>
            <w:r>
              <w:t>T19135806925</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12" w:space="0"/>
            </w:tcBorders>
            <w:shd w:val="clear" w:color="auto" w:fill="E6E6E6"/>
            <w:vAlign w:val="center"/>
          </w:tcPr>
          <w:p>
            <w:pPr>
              <w:jc w:val="both"/>
              <w:rPr>
                <w:rFonts w:ascii="宋体" w:hAnsi="宋体"/>
                <w:szCs w:val="18"/>
              </w:rPr>
            </w:pPr>
            <w:r>
              <w:rPr>
                <w:rFonts w:hint="eastAsia" w:ascii="宋体" w:hAnsi="宋体"/>
                <w:szCs w:val="18"/>
              </w:rPr>
              <w:t>服务热线</w:t>
            </w:r>
          </w:p>
        </w:tc>
        <w:tc>
          <w:tcPr>
            <w:tcW w:w="4293" w:type="dxa"/>
            <w:vAlign w:val="center"/>
          </w:tcPr>
          <w:p>
            <w:pPr>
              <w:jc w:val="center"/>
              <w:rPr>
                <w:szCs w:val="21"/>
              </w:rPr>
            </w:pPr>
            <w:r>
              <w:rPr>
                <w:rFonts w:hint="eastAsia"/>
                <w:color w:val="000000"/>
                <w:szCs w:val="21"/>
                <w:shd w:val="clear" w:color="auto" w:fill="FFFFFF"/>
              </w:rPr>
              <w:t>400-094-1228</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pPr>
        <w:jc w:val="center"/>
        <w:rPr>
          <w:rFonts w:ascii="黑体" w:hAnsi="黑体" w:eastAsia="黑体"/>
          <w:b/>
          <w:bCs/>
          <w:color w:val="ED7D31" w:themeColor="accent2"/>
          <w:sz w:val="40"/>
          <w:szCs w:val="36"/>
        </w:rPr>
      </w:pPr>
      <w:bookmarkStart w:id="97" w:name="_GoBack"/>
      <w:bookmarkStart w:id="11" w:name="目录"/>
      <w:r>
        <w:rPr>
          <w:rFonts w:hint="eastAsia" w:ascii="黑体" w:hAnsi="黑体" w:eastAsia="黑体"/>
          <w:b/>
          <w:bCs/>
          <w:color w:val="ED7D31" w:themeColor="accent2"/>
          <w:sz w:val="40"/>
          <w:szCs w:val="36"/>
        </w:rPr>
        <w:t>目  录</w:t>
      </w:r>
    </w:p>
    <w:p>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_Toc29754 </w:instrText>
      </w:r>
      <w:r>
        <w:rPr>
          <w:szCs w:val="28"/>
        </w:rPr>
        <w:fldChar w:fldCharType="separate"/>
      </w:r>
      <w:r>
        <w:rPr>
          <w:rFonts w:hint="eastAsia"/>
        </w:rPr>
        <w:t>1. 项目概况</w:t>
      </w:r>
      <w:r>
        <w:tab/>
      </w:r>
      <w:r>
        <w:fldChar w:fldCharType="begin"/>
      </w:r>
      <w:r>
        <w:instrText xml:space="preserve"> PAGEREF _Toc29754 \h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_Toc2095 </w:instrText>
      </w:r>
      <w:r>
        <w:rPr>
          <w:szCs w:val="28"/>
        </w:rPr>
        <w:fldChar w:fldCharType="separate"/>
      </w:r>
      <w:r>
        <w:rPr>
          <w:rFonts w:hint="eastAsia"/>
        </w:rPr>
        <w:t>2. 标准依据</w:t>
      </w:r>
      <w:r>
        <w:tab/>
      </w:r>
      <w:r>
        <w:fldChar w:fldCharType="begin"/>
      </w:r>
      <w:r>
        <w:instrText xml:space="preserve"> PAGEREF _Toc2095 \h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_Toc25696 </w:instrText>
      </w:r>
      <w:r>
        <w:rPr>
          <w:szCs w:val="28"/>
        </w:rPr>
        <w:fldChar w:fldCharType="separate"/>
      </w:r>
      <w:r>
        <w:rPr>
          <w:rFonts w:hint="eastAsia"/>
        </w:rPr>
        <w:t>3. 太阳能资源分析</w:t>
      </w:r>
      <w:r>
        <w:tab/>
      </w:r>
      <w:r>
        <w:fldChar w:fldCharType="begin"/>
      </w:r>
      <w:r>
        <w:instrText xml:space="preserve"> PAGEREF _Toc25696 \h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_Toc16334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_Toc16334 \h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_Toc29942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_Toc29942 \h </w:instrText>
      </w:r>
      <w:r>
        <w:fldChar w:fldCharType="separate"/>
      </w:r>
      <w:r>
        <w:t>2</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_Toc30933 </w:instrText>
      </w:r>
      <w:r>
        <w:rPr>
          <w:szCs w:val="28"/>
        </w:rPr>
        <w:fldChar w:fldCharType="separate"/>
      </w:r>
      <w:r>
        <w:rPr>
          <w:rFonts w:hint="eastAsia"/>
        </w:rPr>
        <w:t>4. 软件选用</w:t>
      </w:r>
      <w:r>
        <w:tab/>
      </w:r>
      <w:r>
        <w:fldChar w:fldCharType="begin"/>
      </w:r>
      <w:r>
        <w:instrText xml:space="preserve"> PAGEREF _Toc30933 \h </w:instrText>
      </w:r>
      <w:r>
        <w:fldChar w:fldCharType="separate"/>
      </w:r>
      <w:r>
        <w:t>3</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_Toc22050 </w:instrText>
      </w:r>
      <w:r>
        <w:rPr>
          <w:szCs w:val="28"/>
        </w:rPr>
        <w:fldChar w:fldCharType="separate"/>
      </w:r>
      <w:r>
        <w:rPr>
          <w:rFonts w:hint="eastAsia"/>
        </w:rPr>
        <w:t>5. 光伏系统设计</w:t>
      </w:r>
      <w:r>
        <w:tab/>
      </w:r>
      <w:r>
        <w:fldChar w:fldCharType="begin"/>
      </w:r>
      <w:r>
        <w:instrText xml:space="preserve"> PAGEREF _Toc22050 \h </w:instrText>
      </w:r>
      <w:r>
        <w:fldChar w:fldCharType="separate"/>
      </w:r>
      <w:r>
        <w:t>3</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_Toc19121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_Toc19121 \h </w:instrText>
      </w:r>
      <w:r>
        <w:fldChar w:fldCharType="separate"/>
      </w:r>
      <w:r>
        <w:t>4</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_Toc12813 </w:instrText>
      </w:r>
      <w:r>
        <w:rPr>
          <w:szCs w:val="28"/>
        </w:rPr>
        <w:fldChar w:fldCharType="separate"/>
      </w:r>
      <w:r>
        <w:rPr>
          <w:rFonts w:hint="eastAsia"/>
          <w:lang w:val="en-GB"/>
        </w:rPr>
        <w:t xml:space="preserve">5.2 </w:t>
      </w:r>
      <w:r>
        <w:t>辐照分析</w:t>
      </w:r>
      <w:r>
        <w:tab/>
      </w:r>
      <w:r>
        <w:fldChar w:fldCharType="begin"/>
      </w:r>
      <w:r>
        <w:instrText xml:space="preserve"> PAGEREF _Toc12813 \h </w:instrText>
      </w:r>
      <w:r>
        <w:fldChar w:fldCharType="separate"/>
      </w:r>
      <w:r>
        <w:t>5</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_Toc11665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_Toc11665 \h </w:instrText>
      </w:r>
      <w:r>
        <w:fldChar w:fldCharType="separate"/>
      </w:r>
      <w:r>
        <w:t>5</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_Toc25649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_Toc25649 \h </w:instrText>
      </w:r>
      <w:r>
        <w:fldChar w:fldCharType="separate"/>
      </w:r>
      <w:r>
        <w:t>5</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_Toc19197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_Toc19197 \h </w:instrText>
      </w:r>
      <w:r>
        <w:fldChar w:fldCharType="separate"/>
      </w:r>
      <w:r>
        <w:t>5</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_Toc9219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_Toc9219 \h </w:instrText>
      </w:r>
      <w:r>
        <w:fldChar w:fldCharType="separate"/>
      </w:r>
      <w:r>
        <w:t>6</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_Toc10339 </w:instrText>
      </w:r>
      <w:r>
        <w:rPr>
          <w:szCs w:val="28"/>
        </w:rPr>
        <w:fldChar w:fldCharType="separate"/>
      </w:r>
      <w:r>
        <w:rPr>
          <w:rFonts w:hint="eastAsia"/>
        </w:rPr>
        <w:t>6. 光伏发电产量</w:t>
      </w:r>
      <w:r>
        <w:tab/>
      </w:r>
      <w:r>
        <w:fldChar w:fldCharType="begin"/>
      </w:r>
      <w:r>
        <w:instrText xml:space="preserve"> PAGEREF _Toc10339 \h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_Toc1502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_Toc1502 \h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_Toc8905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_Toc8905 \h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_Toc3169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_Toc3169 \h </w:instrText>
      </w:r>
      <w:r>
        <w:fldChar w:fldCharType="separate"/>
      </w:r>
      <w:r>
        <w:t>8</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_Toc11584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_Toc11584 \h </w:instrText>
      </w:r>
      <w:r>
        <w:fldChar w:fldCharType="separate"/>
      </w:r>
      <w:r>
        <w:t>8</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_Toc5531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_Toc5531 \h </w:instrText>
      </w:r>
      <w:r>
        <w:fldChar w:fldCharType="separate"/>
      </w:r>
      <w:r>
        <w:t>8</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_Toc4053 </w:instrText>
      </w:r>
      <w:r>
        <w:rPr>
          <w:szCs w:val="28"/>
        </w:rPr>
        <w:fldChar w:fldCharType="separate"/>
      </w:r>
      <w:r>
        <w:rPr>
          <w:rFonts w:hint="eastAsia"/>
        </w:rPr>
        <w:t>7. 经济效益分析</w:t>
      </w:r>
      <w:r>
        <w:tab/>
      </w:r>
      <w:r>
        <w:fldChar w:fldCharType="begin"/>
      </w:r>
      <w:r>
        <w:instrText xml:space="preserve"> PAGEREF _Toc4053 \h </w:instrText>
      </w:r>
      <w:r>
        <w:fldChar w:fldCharType="separate"/>
      </w:r>
      <w:r>
        <w:t>9</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_Toc2745 </w:instrText>
      </w:r>
      <w:r>
        <w:rPr>
          <w:szCs w:val="28"/>
        </w:rPr>
        <w:fldChar w:fldCharType="separate"/>
      </w:r>
      <w:r>
        <w:rPr>
          <w:rFonts w:hint="eastAsia"/>
        </w:rPr>
        <w:t>8. 减排效益分析</w:t>
      </w:r>
      <w:r>
        <w:tab/>
      </w:r>
      <w:r>
        <w:fldChar w:fldCharType="begin"/>
      </w:r>
      <w:r>
        <w:instrText xml:space="preserve"> PAGEREF _Toc2745 \h </w:instrText>
      </w:r>
      <w:r>
        <w:fldChar w:fldCharType="separate"/>
      </w:r>
      <w:r>
        <w:t>11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_Toc4873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_Toc4873 \h </w:instrText>
      </w:r>
      <w:r>
        <w:fldChar w:fldCharType="separate"/>
      </w:r>
      <w:r>
        <w:t>11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_Toc11800 </w:instrText>
      </w:r>
      <w:r>
        <w:rPr>
          <w:szCs w:val="28"/>
        </w:rPr>
        <w:fldChar w:fldCharType="separate"/>
      </w:r>
      <w:r>
        <w:rPr>
          <w:rFonts w:hint="eastAsia"/>
        </w:rPr>
        <w:t>附录</w:t>
      </w:r>
      <w:r>
        <w:tab/>
      </w:r>
      <w:r>
        <w:fldChar w:fldCharType="begin"/>
      </w:r>
      <w:r>
        <w:instrText xml:space="preserve"> PAGEREF _Toc11800 \h </w:instrText>
      </w:r>
      <w:r>
        <w:fldChar w:fldCharType="separate"/>
      </w:r>
      <w:r>
        <w:t>12</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97"/>
      <w:bookmarkEnd w:id="11"/>
    </w:p>
    <w:p>
      <w:pPr>
        <w:pStyle w:val="2"/>
      </w:pPr>
      <w:r>
        <w:tab/>
      </w:r>
      <w:bookmarkStart w:id="12" w:name="_Toc127542292"/>
      <w:bookmarkStart w:id="13" w:name="_Toc29754"/>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tblPrEx>
          <w:tblCellMar>
            <w:top w:w="0" w:type="dxa"/>
            <w:left w:w="108" w:type="dxa"/>
            <w:bottom w:w="0" w:type="dxa"/>
            <w:right w:w="108" w:type="dxa"/>
          </w:tblCellMar>
        </w:tblPrEx>
        <w:trPr>
          <w:trHeight w:val="399" w:hRule="atLeast"/>
        </w:trPr>
        <w:tc>
          <w:tcPr>
            <w:tcW w:w="1418" w:type="dxa"/>
            <w:shd w:val="clear" w:color="auto" w:fill="F57C00"/>
          </w:tcPr>
          <w:p>
            <w:pPr>
              <w:pStyle w:val="3"/>
              <w:rPr>
                <w:b/>
                <w:bCs/>
                <w:color w:val="FFFFFF" w:themeColor="background1"/>
                <w:sz w:val="21"/>
                <w:szCs w:val="18"/>
                <w:lang w:val="en-US"/>
              </w:rPr>
            </w:pPr>
            <w:r>
              <w:rPr>
                <w:rFonts w:hint="eastAsia"/>
                <w:b/>
                <w:bCs/>
                <w:color w:val="FFFFFF" w:themeColor="background1"/>
                <w:sz w:val="21"/>
                <w:szCs w:val="18"/>
                <w:lang w:val="en-US"/>
              </w:rPr>
              <w:t>工程名称</w:t>
            </w:r>
          </w:p>
        </w:tc>
        <w:tc>
          <w:tcPr>
            <w:tcW w:w="7762" w:type="dxa"/>
            <w:shd w:val="clear" w:color="auto" w:fill="ECECEC" w:themeFill="accent3" w:themeFillTint="33"/>
          </w:tcPr>
          <w:p>
            <w:pPr>
              <w:pStyle w:val="3"/>
              <w:rPr>
                <w:b/>
                <w:bCs/>
                <w:sz w:val="21"/>
                <w:szCs w:val="18"/>
                <w:lang w:val="en-US"/>
              </w:rPr>
            </w:pPr>
            <w:bookmarkStart w:id="14" w:name="项目名称1"/>
            <w:r>
              <w:rPr>
                <w:rFonts w:hint="eastAsia"/>
                <w:b/>
                <w:bCs/>
                <w:sz w:val="21"/>
                <w:szCs w:val="18"/>
                <w:lang w:val="zh-CN"/>
              </w:rPr>
              <w:t>111</w:t>
            </w:r>
            <w:bookmarkEnd w:id="14"/>
          </w:p>
        </w:tc>
      </w:tr>
      <w:tr>
        <w:tblPrEx>
          <w:tblCellMar>
            <w:top w:w="0" w:type="dxa"/>
            <w:left w:w="108" w:type="dxa"/>
            <w:bottom w:w="0" w:type="dxa"/>
            <w:right w:w="108" w:type="dxa"/>
          </w:tblCellMar>
        </w:tblPrEx>
        <w:trPr>
          <w:trHeight w:val="417" w:hRule="atLeast"/>
        </w:trPr>
        <w:tc>
          <w:tcPr>
            <w:tcW w:w="1418" w:type="dxa"/>
            <w:shd w:val="clear" w:color="auto" w:fill="F57C00"/>
          </w:tcPr>
          <w:p>
            <w:pPr>
              <w:pStyle w:val="3"/>
              <w:rPr>
                <w:b/>
                <w:color w:val="FFFFFF" w:themeColor="background1"/>
                <w:sz w:val="21"/>
                <w:szCs w:val="18"/>
                <w:lang w:val="en-US"/>
              </w:rPr>
            </w:pPr>
            <w:r>
              <w:rPr>
                <w:rFonts w:hint="eastAsia"/>
                <w:b/>
                <w:color w:val="FFFFFF" w:themeColor="background1"/>
                <w:sz w:val="21"/>
                <w:szCs w:val="18"/>
                <w:lang w:val="en-US"/>
              </w:rPr>
              <w:t>工程地点</w:t>
            </w:r>
          </w:p>
        </w:tc>
        <w:tc>
          <w:tcPr>
            <w:tcW w:w="7762" w:type="dxa"/>
          </w:tcPr>
          <w:p>
            <w:pPr>
              <w:pStyle w:val="3"/>
              <w:rPr>
                <w:sz w:val="21"/>
                <w:szCs w:val="18"/>
                <w:lang w:val="en-US"/>
              </w:rPr>
            </w:pPr>
            <w:bookmarkStart w:id="15" w:name="工程地点"/>
            <w:r>
              <w:rPr>
                <w:rFonts w:hint="eastAsia"/>
                <w:sz w:val="21"/>
                <w:szCs w:val="18"/>
                <w:lang w:val="zh-CN"/>
              </w:rPr>
              <w:t>呼和浩特</w:t>
            </w:r>
            <w:bookmarkEnd w:id="15"/>
          </w:p>
        </w:tc>
      </w:tr>
      <w:tr>
        <w:tblPrEx>
          <w:tblCellMar>
            <w:top w:w="0" w:type="dxa"/>
            <w:left w:w="108" w:type="dxa"/>
            <w:bottom w:w="0" w:type="dxa"/>
            <w:right w:w="108" w:type="dxa"/>
          </w:tblCellMar>
        </w:tblPrEx>
        <w:trPr>
          <w:trHeight w:val="399" w:hRule="atLeast"/>
        </w:trPr>
        <w:tc>
          <w:tcPr>
            <w:tcW w:w="1418" w:type="dxa"/>
            <w:shd w:val="clear" w:color="auto" w:fill="F57C00"/>
          </w:tcPr>
          <w:p>
            <w:pPr>
              <w:pStyle w:val="3"/>
              <w:rPr>
                <w:b/>
                <w:color w:val="FFFFFF" w:themeColor="background1"/>
                <w:sz w:val="21"/>
                <w:szCs w:val="18"/>
                <w:lang w:val="en-US"/>
              </w:rPr>
            </w:pPr>
            <w:r>
              <w:rPr>
                <w:rFonts w:hint="eastAsia"/>
                <w:b/>
                <w:color w:val="FFFFFF" w:themeColor="background1"/>
                <w:sz w:val="21"/>
                <w:szCs w:val="18"/>
                <w:lang w:val="en-US"/>
              </w:rPr>
              <w:t>地理位置</w:t>
            </w:r>
          </w:p>
        </w:tc>
        <w:tc>
          <w:tcPr>
            <w:tcW w:w="7762" w:type="dxa"/>
            <w:shd w:val="clear" w:color="auto" w:fill="ECECEC" w:themeFill="accent3" w:themeFillTint="33"/>
          </w:tcPr>
          <w:p>
            <w:pPr>
              <w:pStyle w:val="3"/>
              <w:rPr>
                <w:sz w:val="21"/>
                <w:szCs w:val="18"/>
                <w:lang w:val="en-US"/>
              </w:rPr>
            </w:pPr>
            <w:r>
              <w:rPr>
                <w:rFonts w:hint="eastAsia"/>
                <w:sz w:val="21"/>
                <w:szCs w:val="18"/>
                <w:lang w:val="en-US"/>
              </w:rPr>
              <w:t>东经：</w:t>
            </w:r>
            <w:bookmarkStart w:id="16" w:name="经度"/>
            <w:r>
              <w:t>111°41′</w:t>
            </w:r>
            <w:bookmarkEnd w:id="16"/>
            <w:r>
              <w:rPr>
                <w:sz w:val="21"/>
                <w:szCs w:val="18"/>
                <w:lang w:val="en-US"/>
              </w:rPr>
              <w:t xml:space="preserve">              北纬：</w:t>
            </w:r>
            <w:bookmarkStart w:id="17" w:name="纬度"/>
            <w:r>
              <w:t>40°48′</w:t>
            </w:r>
            <w:bookmarkEnd w:id="17"/>
          </w:p>
        </w:tc>
      </w:tr>
    </w:tbl>
    <w:p>
      <w:pPr>
        <w:pStyle w:val="2"/>
      </w:pPr>
      <w:bookmarkStart w:id="18" w:name="_Toc512608177"/>
      <w:bookmarkStart w:id="19" w:name="_Toc2095"/>
      <w:r>
        <w:rPr>
          <w:rFonts w:hint="eastAsia"/>
        </w:rPr>
        <w:t>标准依据</w:t>
      </w:r>
      <w:bookmarkEnd w:id="18"/>
      <w:bookmarkEnd w:id="19"/>
    </w:p>
    <w:p>
      <w:pPr>
        <w:pStyle w:val="3"/>
        <w:numPr>
          <w:ilvl w:val="0"/>
          <w:numId w:val="4"/>
        </w:numPr>
        <w:rPr>
          <w:lang w:val="en-US"/>
        </w:rPr>
      </w:pPr>
      <w:bookmarkStart w:id="20" w:name="_Toc512608179"/>
      <w:r>
        <w:rPr>
          <w:rFonts w:hint="eastAsia"/>
          <w:lang w:val="en-US"/>
        </w:rPr>
        <w:t>《建筑节能与可再生能源利用通用规范》GB 55015—2021</w:t>
      </w:r>
    </w:p>
    <w:p>
      <w:pPr>
        <w:pStyle w:val="3"/>
        <w:numPr>
          <w:ilvl w:val="0"/>
          <w:numId w:val="4"/>
        </w:numPr>
        <w:rPr>
          <w:lang w:val="en-US"/>
        </w:rPr>
      </w:pPr>
      <w:r>
        <w:rPr>
          <w:rFonts w:hint="eastAsia"/>
          <w:lang w:val="en-US"/>
        </w:rPr>
        <w:t>《光伏发电站设计规范》GB 50797—2012</w:t>
      </w:r>
    </w:p>
    <w:p>
      <w:pPr>
        <w:pStyle w:val="3"/>
        <w:numPr>
          <w:ilvl w:val="0"/>
          <w:numId w:val="4"/>
        </w:numPr>
        <w:rPr>
          <w:lang w:val="en-US"/>
        </w:rPr>
      </w:pPr>
      <w:r>
        <w:rPr>
          <w:rFonts w:hint="eastAsia"/>
          <w:lang w:val="en-US"/>
        </w:rPr>
        <w:t>《可再生能源建筑应用工程评价标准》GBT 50801—2013</w:t>
      </w:r>
    </w:p>
    <w:p>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pPr>
        <w:pStyle w:val="3"/>
        <w:numPr>
          <w:ilvl w:val="0"/>
          <w:numId w:val="4"/>
        </w:numPr>
        <w:rPr>
          <w:lang w:val="en-US"/>
        </w:rPr>
      </w:pPr>
      <w:r>
        <w:rPr>
          <w:lang w:val="en-US"/>
        </w:rPr>
        <w:t>《绿色建筑评价标准》GB/T 50378—2019</w:t>
      </w:r>
    </w:p>
    <w:p>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pPr>
        <w:pStyle w:val="2"/>
      </w:pPr>
      <w:bookmarkStart w:id="21" w:name="_Toc25696"/>
      <w:r>
        <w:rPr>
          <w:rFonts w:hint="eastAsia"/>
        </w:rPr>
        <w:t>太阳能资源分析</w:t>
      </w:r>
      <w:bookmarkEnd w:id="21"/>
    </w:p>
    <w:p>
      <w:pPr>
        <w:pStyle w:val="4"/>
        <w:rPr>
          <w:lang w:val="zh-CN"/>
        </w:rPr>
      </w:pPr>
      <w:bookmarkStart w:id="22" w:name="_Toc16334"/>
      <w:r>
        <w:rPr>
          <w:rFonts w:hint="eastAsia"/>
        </w:rPr>
        <w:t>太阳能资源概况</w:t>
      </w:r>
      <w:bookmarkEnd w:id="22"/>
    </w:p>
    <w:p>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pPr>
        <w:pStyle w:val="3"/>
        <w:spacing w:line="276" w:lineRule="auto"/>
        <w:ind w:firstLine="480"/>
        <w:jc w:val="center"/>
        <w:rPr>
          <w:lang w:val="zh-CN"/>
        </w:rPr>
      </w:pPr>
      <w:r>
        <w:rPr>
          <w:lang w:val="en-US"/>
        </w:rPr>
        <w:drawing>
          <wp:inline distT="0" distB="0" distL="0" distR="0">
            <wp:extent cx="4143375" cy="2975610"/>
            <wp:effectExtent l="0" t="0" r="0" b="0"/>
            <wp:docPr id="4" name="图片 4" descr="C:\Users\Administrator\Desktop\660-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660-410.jpg"/>
                    <pic:cNvPicPr>
                      <a:picLocks noChangeAspect="1" noChangeArrowheads="1"/>
                    </pic:cNvPicPr>
                  </pic:nvPicPr>
                  <pic:blipFill>
                    <a:blip r:embed="rId12">
                      <a:extLst>
                        <a:ext uri="{28A0092B-C50C-407E-A947-70E740481C1C}">
                          <a14:useLocalDpi xmlns:a14="http://schemas.microsoft.com/office/drawing/2010/main" val="0"/>
                        </a:ext>
                      </a:extLst>
                    </a:blip>
                    <a:srcRect l="6905" r="6334"/>
                    <a:stretch>
                      <a:fillRect/>
                    </a:stretch>
                  </pic:blipFill>
                  <pic:spPr>
                    <a:xfrm>
                      <a:off x="0" y="0"/>
                      <a:ext cx="4203885" cy="3019140"/>
                    </a:xfrm>
                    <a:prstGeom prst="rect">
                      <a:avLst/>
                    </a:prstGeom>
                    <a:noFill/>
                    <a:ln>
                      <a:noFill/>
                    </a:ln>
                  </pic:spPr>
                </pic:pic>
              </a:graphicData>
            </a:graphic>
          </wp:inline>
        </w:drawing>
      </w:r>
    </w:p>
    <w:p>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pPr>
              <w:jc w:val="center"/>
              <w:rPr>
                <w:b w:val="0"/>
                <w:bCs/>
                <w:color w:val="FFFFFF" w:themeColor="background1"/>
                <w:szCs w:val="21"/>
                <w:lang w:val="en-US"/>
              </w:rPr>
            </w:pPr>
            <w:r>
              <w:rPr>
                <w:rFonts w:hint="eastAsia"/>
                <w:b w:val="0"/>
                <w:bCs/>
                <w:color w:val="FFFFFF" w:themeColor="background1"/>
                <w:szCs w:val="21"/>
                <w:lang w:val="en-US"/>
              </w:rPr>
              <w:t>地点</w:t>
            </w:r>
          </w:p>
        </w:tc>
        <w:tc>
          <w:tcPr>
            <w:tcW w:w="1843" w:type="dxa"/>
            <w:tcBorders>
              <w:bottom w:val="nil"/>
            </w:tcBorders>
            <w:shd w:val="clear" w:color="auto" w:fill="ED7D31" w:themeFill="accent2"/>
            <w:vAlign w:val="center"/>
          </w:tcPr>
          <w:p>
            <w:pPr>
              <w:jc w:val="center"/>
              <w:rPr>
                <w:b w:val="0"/>
                <w:bCs/>
                <w:color w:val="FFFFFF" w:themeColor="background1"/>
                <w:szCs w:val="21"/>
                <w:lang w:val="en-US"/>
              </w:rPr>
            </w:pPr>
            <w:r>
              <w:rPr>
                <w:rFonts w:hint="eastAsia"/>
                <w:b w:val="0"/>
                <w:bCs/>
                <w:color w:val="FFFFFF" w:themeColor="background1"/>
                <w:szCs w:val="21"/>
                <w:lang w:val="en-US"/>
              </w:rPr>
              <w:t>水平面年总辐照量</w:t>
            </w:r>
            <w:r>
              <w:rPr>
                <w:rFonts w:eastAsia="等线"/>
                <w:b w:val="0"/>
                <w:bCs/>
                <w:color w:val="FFFFFF" w:themeColor="background1"/>
                <w:szCs w:val="21"/>
              </w:rPr>
              <w:t>MJ/(m</w:t>
            </w:r>
            <w:r>
              <w:rPr>
                <w:rFonts w:eastAsia="等线"/>
                <w:b w:val="0"/>
                <w:bCs/>
                <w:color w:val="FFFFFF" w:themeColor="background1"/>
                <w:szCs w:val="21"/>
                <w:vertAlign w:val="superscript"/>
              </w:rPr>
              <w:t>2</w:t>
            </w:r>
            <w:r>
              <w:rPr>
                <w:rFonts w:hint="eastAsia"/>
                <w:b w:val="0"/>
                <w:bCs/>
                <w:color w:val="FFFFFF" w:themeColor="background1"/>
                <w:szCs w:val="21"/>
              </w:rPr>
              <w:t>•</w:t>
            </w:r>
            <w:r>
              <w:rPr>
                <w:rFonts w:eastAsia="等线"/>
                <w:b w:val="0"/>
                <w:bCs/>
                <w:color w:val="FFFFFF" w:themeColor="background1"/>
                <w:szCs w:val="21"/>
              </w:rPr>
              <w:t>a)</w:t>
            </w:r>
          </w:p>
        </w:tc>
        <w:tc>
          <w:tcPr>
            <w:tcW w:w="2409" w:type="dxa"/>
            <w:tcBorders>
              <w:bottom w:val="nil"/>
            </w:tcBorders>
            <w:shd w:val="clear" w:color="auto" w:fill="ED7D31" w:themeFill="accent2"/>
            <w:vAlign w:val="center"/>
          </w:tcPr>
          <w:p>
            <w:pPr>
              <w:jc w:val="center"/>
              <w:rPr>
                <w:b w:val="0"/>
                <w:bCs/>
                <w:color w:val="FFFFFF" w:themeColor="background1"/>
                <w:szCs w:val="21"/>
                <w:lang w:val="en-US"/>
              </w:rPr>
            </w:pPr>
            <w:r>
              <w:rPr>
                <w:rFonts w:hint="eastAsia"/>
                <w:b w:val="0"/>
                <w:bCs/>
                <w:color w:val="FFFFFF" w:themeColor="background1"/>
                <w:szCs w:val="21"/>
                <w:lang w:val="en-US"/>
              </w:rPr>
              <w:t>水平面年平均日辐照量</w:t>
            </w:r>
            <w:r>
              <w:rPr>
                <w:rFonts w:eastAsia="等线"/>
                <w:b w:val="0"/>
                <w:bCs/>
                <w:color w:val="FFFFFF" w:themeColor="background1"/>
                <w:szCs w:val="21"/>
              </w:rPr>
              <w:t>KJ/(m</w:t>
            </w:r>
            <w:r>
              <w:rPr>
                <w:rFonts w:eastAsia="等线"/>
                <w:b w:val="0"/>
                <w:bCs/>
                <w:color w:val="FFFFFF" w:themeColor="background1"/>
                <w:szCs w:val="21"/>
                <w:vertAlign w:val="superscript"/>
              </w:rPr>
              <w:t>2</w:t>
            </w:r>
            <w:r>
              <w:rPr>
                <w:rFonts w:hint="eastAsia" w:ascii="宋体" w:hAnsi="宋体"/>
                <w:b w:val="0"/>
                <w:bCs/>
                <w:color w:val="FFFFFF" w:themeColor="background1"/>
                <w:szCs w:val="21"/>
              </w:rPr>
              <w:t>•</w:t>
            </w:r>
            <w:r>
              <w:rPr>
                <w:rFonts w:hint="eastAsia" w:eastAsia="等线"/>
                <w:b w:val="0"/>
                <w:bCs/>
                <w:color w:val="FFFFFF" w:themeColor="background1"/>
                <w:szCs w:val="21"/>
              </w:rPr>
              <w:t>day</w:t>
            </w:r>
            <w:r>
              <w:rPr>
                <w:rFonts w:eastAsia="等线"/>
                <w:b w:val="0"/>
                <w:bCs/>
                <w:color w:val="FFFFFF" w:themeColor="background1"/>
                <w:szCs w:val="21"/>
              </w:rPr>
              <w:t>)</w:t>
            </w:r>
          </w:p>
        </w:tc>
        <w:tc>
          <w:tcPr>
            <w:tcW w:w="1843" w:type="dxa"/>
            <w:tcBorders>
              <w:bottom w:val="nil"/>
            </w:tcBorders>
            <w:shd w:val="clear" w:color="auto" w:fill="ED7D31" w:themeFill="accent2"/>
            <w:vAlign w:val="center"/>
          </w:tcPr>
          <w:p>
            <w:pPr>
              <w:jc w:val="center"/>
              <w:rPr>
                <w:b w:val="0"/>
                <w:bCs/>
                <w:color w:val="FFFFFF" w:themeColor="background1"/>
                <w:szCs w:val="21"/>
                <w:lang w:val="en-US"/>
              </w:rPr>
            </w:pPr>
            <w:r>
              <w:rPr>
                <w:rFonts w:hint="eastAsia"/>
                <w:b w:val="0"/>
                <w:bCs/>
                <w:color w:val="FFFFFF" w:themeColor="background1"/>
                <w:szCs w:val="21"/>
                <w:lang w:val="en-US"/>
              </w:rPr>
              <w:t>日照时数</w:t>
            </w:r>
          </w:p>
          <w:p>
            <w:pPr>
              <w:jc w:val="center"/>
              <w:rPr>
                <w:b w:val="0"/>
                <w:bCs/>
                <w:color w:val="FFFFFF" w:themeColor="background1"/>
                <w:szCs w:val="21"/>
                <w:lang w:val="en-US"/>
              </w:rPr>
            </w:pPr>
            <w:r>
              <w:rPr>
                <w:rFonts w:hint="eastAsia"/>
                <w:b w:val="0"/>
                <w:bCs/>
                <w:color w:val="FFFFFF" w:themeColor="background1"/>
                <w:szCs w:val="21"/>
                <w:lang w:val="en-US"/>
              </w:rPr>
              <w:t>h</w:t>
            </w:r>
          </w:p>
        </w:tc>
        <w:tc>
          <w:tcPr>
            <w:tcW w:w="1550" w:type="dxa"/>
            <w:tcBorders>
              <w:bottom w:val="nil"/>
            </w:tcBorders>
            <w:shd w:val="clear" w:color="auto" w:fill="ED7D31" w:themeFill="accent2"/>
            <w:vAlign w:val="center"/>
          </w:tcPr>
          <w:p>
            <w:pPr>
              <w:jc w:val="center"/>
              <w:rPr>
                <w:b/>
                <w:bCs w:val="0"/>
                <w:color w:val="FFFFFF" w:themeColor="background1"/>
                <w:szCs w:val="21"/>
                <w:lang w:val="en-US"/>
              </w:rPr>
            </w:pPr>
            <w:r>
              <w:rPr>
                <w:rFonts w:hint="eastAsia"/>
                <w:b w:val="0"/>
                <w:bCs/>
                <w:color w:val="FFFFFF" w:themeColor="background1"/>
                <w:szCs w:val="21"/>
                <w:lang w:val="en-US"/>
              </w:rPr>
              <w:t>峰值日照时数</w:t>
            </w:r>
          </w:p>
          <w:p>
            <w:pPr>
              <w:jc w:val="center"/>
              <w:rPr>
                <w:b w:val="0"/>
                <w:bCs/>
                <w:color w:val="FFFFFF" w:themeColor="background1"/>
                <w:szCs w:val="21"/>
                <w:lang w:val="en-US"/>
              </w:rPr>
            </w:pPr>
            <w:r>
              <w:rPr>
                <w:rFonts w:hint="eastAsia"/>
                <w:b w:val="0"/>
                <w:bCs/>
                <w:color w:val="FFFFFF" w:themeColor="background1"/>
                <w:szCs w:val="21"/>
                <w:lang w:val="en-US"/>
              </w:rPr>
              <w:t>h</w:t>
            </w:r>
          </w:p>
        </w:tc>
      </w:tr>
      <w:tr>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pPr>
              <w:pStyle w:val="3"/>
              <w:jc w:val="center"/>
              <w:rPr>
                <w:b/>
                <w:bCs/>
                <w:sz w:val="21"/>
                <w:lang w:val="en-US"/>
              </w:rPr>
            </w:pPr>
            <w:bookmarkStart w:id="23" w:name="工程地点3"/>
            <w:r>
              <w:rPr>
                <w:rFonts w:hint="eastAsia"/>
                <w:b/>
                <w:bCs/>
                <w:sz w:val="21"/>
                <w:lang w:val="en-US"/>
              </w:rPr>
              <w:t>呼和浩特</w:t>
            </w:r>
            <w:bookmarkEnd w:id="23"/>
          </w:p>
        </w:tc>
        <w:tc>
          <w:tcPr>
            <w:tcW w:w="1843" w:type="dxa"/>
            <w:shd w:val="clear" w:color="auto" w:fill="ECECEC" w:themeFill="accent3" w:themeFillTint="33"/>
            <w:vAlign w:val="center"/>
          </w:tcPr>
          <w:p>
            <w:pPr>
              <w:pStyle w:val="3"/>
              <w:jc w:val="center"/>
              <w:rPr>
                <w:sz w:val="21"/>
                <w:lang w:val="en-US"/>
              </w:rPr>
            </w:pPr>
            <w:bookmarkStart w:id="24" w:name="水平面年总辐照量"/>
            <w:r>
              <w:rPr>
                <w:rFonts w:hint="eastAsia"/>
                <w:sz w:val="21"/>
                <w:lang w:val="en-US"/>
              </w:rPr>
              <w:t>5437.2</w:t>
            </w:r>
            <w:bookmarkEnd w:id="24"/>
          </w:p>
        </w:tc>
        <w:tc>
          <w:tcPr>
            <w:tcW w:w="2409" w:type="dxa"/>
            <w:shd w:val="clear" w:color="auto" w:fill="ECECEC" w:themeFill="accent3" w:themeFillTint="33"/>
            <w:vAlign w:val="center"/>
          </w:tcPr>
          <w:p>
            <w:pPr>
              <w:pStyle w:val="3"/>
              <w:jc w:val="center"/>
              <w:rPr>
                <w:sz w:val="21"/>
                <w:lang w:val="en-US"/>
              </w:rPr>
            </w:pPr>
            <w:bookmarkStart w:id="25" w:name="水平面日辐照量"/>
            <w:r>
              <w:rPr>
                <w:rFonts w:hint="eastAsia"/>
                <w:sz w:val="21"/>
                <w:lang w:val="en-US"/>
              </w:rPr>
              <w:t>14896.6</w:t>
            </w:r>
            <w:bookmarkEnd w:id="25"/>
          </w:p>
        </w:tc>
        <w:tc>
          <w:tcPr>
            <w:tcW w:w="1843" w:type="dxa"/>
            <w:shd w:val="clear" w:color="auto" w:fill="ECECEC" w:themeFill="accent3" w:themeFillTint="33"/>
            <w:vAlign w:val="center"/>
          </w:tcPr>
          <w:p>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pPr>
              <w:pStyle w:val="3"/>
              <w:jc w:val="center"/>
              <w:rPr>
                <w:sz w:val="21"/>
                <w:lang w:val="en-US"/>
              </w:rPr>
            </w:pPr>
            <w:bookmarkStart w:id="27" w:name="峰值日照时数"/>
            <w:r>
              <w:rPr>
                <w:rFonts w:hint="eastAsia"/>
                <w:sz w:val="21"/>
                <w:lang w:val="en-US"/>
              </w:rPr>
              <w:t>3</w:t>
            </w:r>
            <w:r>
              <w:rPr>
                <w:sz w:val="21"/>
                <w:lang w:val="en-US"/>
              </w:rPr>
              <w:t>.83</w:t>
            </w:r>
            <w:bookmarkEnd w:id="27"/>
          </w:p>
        </w:tc>
      </w:tr>
    </w:tbl>
    <w:p>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pPr>
        <w:spacing w:before="240"/>
        <w:jc w:val="center"/>
        <w:rPr>
          <w:lang w:val="en-US"/>
        </w:rPr>
      </w:pPr>
      <w:bookmarkStart w:id="29" w:name="逐月法向直射辐照量图"/>
      <w:bookmarkEnd w:id="29"/>
      <w:bookmarkStart w:id="30" w:name="水平面总辐照量图"/>
      <w:bookmarkEnd w:id="30"/>
    </w:p>
    <w:p>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2</w:t>
      </w:r>
      <w:r>
        <w:fldChar w:fldCharType="end"/>
      </w:r>
      <w:r>
        <w:rPr>
          <w:rFonts w:hint="eastAsia"/>
        </w:rPr>
        <w:t>水平面总辐照量</w:t>
      </w:r>
    </w:p>
    <w:p>
      <w:pPr>
        <w:spacing w:before="240"/>
        <w:jc w:val="center"/>
        <w:rPr>
          <w:rFonts w:ascii="黑体" w:hAnsi="黑体" w:eastAsia="黑体" w:cs="宋体"/>
          <w:bCs/>
          <w:color w:val="000000"/>
          <w:szCs w:val="18"/>
          <w:lang w:val="en-US"/>
        </w:rPr>
      </w:pPr>
      <w:bookmarkStart w:id="31" w:name="逐月日照时数图"/>
      <w:bookmarkEnd w:id="31"/>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3</w:t>
      </w:r>
      <w:r>
        <w:fldChar w:fldCharType="end"/>
      </w:r>
      <w:r>
        <w:rPr>
          <w:rFonts w:hint="eastAsia"/>
        </w:rPr>
        <w:t>逐月日照时数</w:t>
      </w:r>
    </w:p>
    <w:p>
      <w:pPr>
        <w:spacing w:before="240"/>
        <w:jc w:val="center"/>
      </w:pPr>
      <w:bookmarkStart w:id="32" w:name="逐月平均温度图"/>
      <w:bookmarkEnd w:id="32"/>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4</w:t>
      </w:r>
      <w:r>
        <w:fldChar w:fldCharType="end"/>
      </w:r>
      <w:r>
        <w:rPr>
          <w:rFonts w:hint="eastAsia"/>
        </w:rPr>
        <w:t>逐月平均温度</w:t>
      </w:r>
    </w:p>
    <w:p>
      <w:pPr>
        <w:pStyle w:val="4"/>
        <w:rPr>
          <w:szCs w:val="21"/>
        </w:rPr>
      </w:pPr>
      <w:bookmarkStart w:id="33" w:name="_Toc99707948"/>
      <w:bookmarkStart w:id="34" w:name="_Toc29942"/>
      <w:r>
        <w:t>太阳能综合评价</w:t>
      </w:r>
      <w:bookmarkEnd w:id="33"/>
      <w:bookmarkEnd w:id="34"/>
    </w:p>
    <w:p>
      <w:pPr>
        <w:pStyle w:val="49"/>
        <w:numPr>
          <w:ilvl w:val="0"/>
          <w:numId w:val="5"/>
        </w:numPr>
        <w:ind w:firstLineChars="0"/>
        <w:rPr>
          <w:b/>
          <w:sz w:val="24"/>
          <w:szCs w:val="21"/>
        </w:rPr>
      </w:pPr>
      <w:r>
        <w:rPr>
          <w:rFonts w:hint="eastAsia"/>
          <w:b/>
          <w:sz w:val="24"/>
          <w:szCs w:val="21"/>
        </w:rPr>
        <w:t>辐照量等级分析</w:t>
      </w:r>
    </w:p>
    <w:p>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r>
        <w:rPr>
          <w:rFonts w:hint="eastAsia"/>
        </w:rPr>
        <w:t>全国太阳辐射总量等级和区域分布表</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pPr>
              <w:spacing w:line="360" w:lineRule="exact"/>
              <w:jc w:val="center"/>
              <w:rPr>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pPr>
              <w:spacing w:line="360" w:lineRule="exact"/>
              <w:jc w:val="center"/>
              <w:rPr>
                <w:b/>
                <w:color w:val="FFFFFF" w:themeColor="background1"/>
                <w:szCs w:val="21"/>
              </w:rPr>
            </w:pPr>
            <w:r>
              <w:rPr>
                <w:b/>
                <w:color w:val="FFFFFF" w:themeColor="background1"/>
                <w:szCs w:val="21"/>
              </w:rPr>
              <w:t>年总量(MJ/m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pPr>
              <w:spacing w:line="360" w:lineRule="exact"/>
              <w:jc w:val="center"/>
              <w:rPr>
                <w:b/>
                <w:color w:val="FFFFFF" w:themeColor="background1"/>
                <w:szCs w:val="21"/>
              </w:rPr>
            </w:pPr>
            <w:r>
              <w:rPr>
                <w:b/>
                <w:color w:val="FFFFFF" w:themeColor="background1"/>
                <w:szCs w:val="21"/>
              </w:rPr>
              <w:t>年总量(kWh/m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pPr>
              <w:spacing w:line="360" w:lineRule="exact"/>
              <w:jc w:val="center"/>
              <w:rPr>
                <w:b/>
                <w:color w:val="FFFFFF" w:themeColor="background1"/>
                <w:szCs w:val="21"/>
              </w:rPr>
            </w:pPr>
            <w:r>
              <w:rPr>
                <w:rFonts w:hint="eastAsia"/>
                <w:b/>
                <w:color w:val="FFFFFF" w:themeColor="background1"/>
                <w:szCs w:val="21"/>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pPr>
              <w:spacing w:line="360" w:lineRule="exact"/>
              <w:jc w:val="center"/>
            </w:pPr>
            <w:r>
              <w:rPr>
                <w:rFonts w:hint="eastAsia"/>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5 040</w:t>
            </w:r>
            <w:r>
              <w:rPr>
                <w:rFonts w:hint="eastAsia"/>
              </w:rPr>
              <w:t>≤</w:t>
            </w:r>
            <w:r>
              <w:t>GHR</w:t>
            </w:r>
            <w:r>
              <w:rPr>
                <w:rFonts w:hint="eastAsia"/>
              </w:rPr>
              <w:t>＜</w:t>
            </w:r>
            <w:r>
              <w:t>6 300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1 400</w:t>
            </w:r>
            <w:r>
              <w:rPr>
                <w:rFonts w:hint="eastAsia"/>
              </w:rPr>
              <w:t>≤</w:t>
            </w:r>
            <w:r>
              <w:t>GHR</w:t>
            </w:r>
            <w:r>
              <w:rPr>
                <w:rFonts w:hint="eastAsia"/>
              </w:rPr>
              <w:t>＜1</w:t>
            </w:r>
            <w:r>
              <w:t xml:space="preserve"> 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3 780</w:t>
            </w:r>
            <w:r>
              <w:rPr>
                <w:rFonts w:hint="eastAsia"/>
              </w:rPr>
              <w:t>≤</w:t>
            </w:r>
            <w:r>
              <w:t>GHR</w:t>
            </w:r>
            <w:r>
              <w:rPr>
                <w:rFonts w:hint="eastAsia"/>
              </w:rPr>
              <w:t>＜5</w:t>
            </w:r>
            <w:r>
              <w:t xml:space="preserve"> 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1 050</w:t>
            </w:r>
            <w:r>
              <w:rPr>
                <w:rFonts w:hint="eastAsia"/>
              </w:rPr>
              <w:t>≤</w:t>
            </w:r>
            <w:r>
              <w:t>GHR</w:t>
            </w:r>
            <w:r>
              <w:rPr>
                <w:rFonts w:hint="eastAsia"/>
              </w:rPr>
              <w:t>＜1</w:t>
            </w:r>
            <w:r>
              <w:t xml:space="preserve"> 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D</w:t>
            </w:r>
          </w:p>
        </w:tc>
      </w:tr>
    </w:tbl>
    <w:p>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5" w:name="水平面年总辐照量2"/>
      <w:r>
        <w:rPr>
          <w:rFonts w:hint="eastAsia" w:ascii="微软雅黑" w:hAnsi="微软雅黑" w:cs="微软雅黑"/>
          <w:sz w:val="24"/>
          <w:szCs w:val="21"/>
          <w:lang w:val="en-GB"/>
        </w:rPr>
        <w:t>5437.2</w:t>
      </w:r>
      <w:bookmarkEnd w:id="35"/>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6" w:name="资源等级"/>
      <w:r>
        <w:rPr>
          <w:rFonts w:hint="eastAsia" w:ascii="微软雅黑" w:hAnsi="微软雅黑" w:cs="微软雅黑"/>
          <w:sz w:val="24"/>
          <w:szCs w:val="21"/>
          <w:lang w:val="en-GB"/>
        </w:rPr>
        <w:t>B级太阳能资源很丰富</w:t>
      </w:r>
      <w:bookmarkEnd w:id="36"/>
      <w:r>
        <w:rPr>
          <w:rFonts w:ascii="微软雅黑" w:hAnsi="微软雅黑" w:cs="微软雅黑"/>
          <w:sz w:val="24"/>
          <w:szCs w:val="21"/>
          <w:lang w:val="en-GB"/>
        </w:rPr>
        <w:t>区域。</w:t>
      </w:r>
    </w:p>
    <w:p>
      <w:pPr>
        <w:pStyle w:val="49"/>
        <w:numPr>
          <w:ilvl w:val="0"/>
          <w:numId w:val="5"/>
        </w:numPr>
        <w:ind w:firstLineChars="0"/>
        <w:rPr>
          <w:sz w:val="24"/>
          <w:szCs w:val="21"/>
        </w:rPr>
      </w:pPr>
      <w:r>
        <w:rPr>
          <w:rFonts w:hint="eastAsia"/>
          <w:b/>
          <w:sz w:val="24"/>
          <w:szCs w:val="21"/>
        </w:rPr>
        <w:t>直射比等级分析</w:t>
      </w:r>
    </w:p>
    <w:p>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3</w:t>
      </w:r>
      <w:r>
        <w:fldChar w:fldCharType="end"/>
      </w:r>
      <w:r>
        <w:t>直射比等级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6"/>
        <w:gridCol w:w="1882"/>
        <w:gridCol w:w="2285"/>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rPr>
            </w:pPr>
            <w:r>
              <w:rPr>
                <w:rFonts w:hint="eastAsia"/>
                <w:b/>
                <w:color w:val="FFFFFF" w:themeColor="background1"/>
              </w:rPr>
              <w:t>等级名称</w:t>
            </w:r>
          </w:p>
        </w:tc>
        <w:tc>
          <w:tcPr>
            <w:tcW w:w="1882"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rPr>
            </w:pPr>
            <w:r>
              <w:rPr>
                <w:b/>
                <w:color w:val="FFFFFF" w:themeColor="background1"/>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rPr>
            </w:pPr>
            <w:r>
              <w:rPr>
                <w:b/>
                <w:color w:val="FFFFFF" w:themeColor="background1"/>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rPr>
            </w:pPr>
            <w:r>
              <w:rPr>
                <w:b/>
                <w:color w:val="FFFFFF" w:themeColor="background1"/>
              </w:rPr>
              <w:t>等级说明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很高</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R</w:t>
            </w:r>
            <w:r>
              <w:rPr>
                <w:vertAlign w:val="subscript"/>
              </w:rPr>
              <w:t>D</w:t>
            </w:r>
            <w:r>
              <w:t>≥0.6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高</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0.5≤R</w:t>
            </w:r>
            <w:r>
              <w:rPr>
                <w:vertAlign w:val="subscript"/>
              </w:rPr>
              <w:t>D</w:t>
            </w:r>
            <w:r>
              <w:t>＜0.6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中</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0.35≤R</w:t>
            </w:r>
            <w:r>
              <w:rPr>
                <w:vertAlign w:val="subscript"/>
              </w:rPr>
              <w:t>D</w:t>
            </w:r>
            <w:r>
              <w:t>＜0.5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低</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R</w:t>
            </w:r>
            <w:r>
              <w:rPr>
                <w:vertAlign w:val="subscript"/>
              </w:rPr>
              <w:t>D</w:t>
            </w:r>
            <w:r>
              <w:t>＜0.35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散射辐射主导</w:t>
            </w:r>
          </w:p>
        </w:tc>
      </w:tr>
    </w:tbl>
    <w:p>
      <w:pPr>
        <w:ind w:firstLine="420" w:firstLineChars="200"/>
        <w:rPr>
          <w:lang w:val="en-US"/>
        </w:rPr>
      </w:pPr>
    </w:p>
    <w:p>
      <w:pPr>
        <w:ind w:firstLine="420" w:firstLineChars="200"/>
        <w:jc w:val="center"/>
        <w:rPr>
          <w:lang w:val="en-US"/>
        </w:rPr>
      </w:pPr>
      <w:bookmarkStart w:id="37" w:name="水平面总辐照量图2"/>
      <w:bookmarkEnd w:id="37"/>
      <w:bookmarkStart w:id="38" w:name="直射比图"/>
      <w:bookmarkEnd w:id="38"/>
    </w:p>
    <w:p>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5</w:t>
      </w:r>
      <w:r>
        <w:fldChar w:fldCharType="end"/>
      </w:r>
      <w:r>
        <w:t>各月水平面总辐射</w:t>
      </w:r>
      <w:r>
        <w:rPr>
          <w:rFonts w:hint="eastAsia"/>
        </w:rPr>
        <w:t>和直接辐射</w:t>
      </w:r>
      <w:r>
        <w:t>数据图</w:t>
      </w:r>
    </w:p>
    <w:p>
      <w:pPr>
        <w:pStyle w:val="3"/>
        <w:spacing w:before="240" w:line="276" w:lineRule="auto"/>
        <w:ind w:firstLine="480" w:firstLineChars="200"/>
      </w:pPr>
      <w:r>
        <w:rPr>
          <w:rFonts w:hint="eastAsia"/>
        </w:rPr>
        <w:t>本项目全年总辐照量数据直射比为</w:t>
      </w:r>
      <w:bookmarkStart w:id="39" w:name="直射比DHRR"/>
      <w:r>
        <w:t>0.68,直接辐射主导,直射比等级属于A级等级很高地区</w:t>
      </w:r>
      <w:bookmarkEnd w:id="39"/>
      <w:r>
        <w:t>。</w:t>
      </w:r>
    </w:p>
    <w:p>
      <w:pPr>
        <w:pStyle w:val="3"/>
        <w:numPr>
          <w:ilvl w:val="0"/>
          <w:numId w:val="6"/>
        </w:numPr>
        <w:spacing w:line="276" w:lineRule="auto"/>
        <w:rPr>
          <w:b/>
        </w:rPr>
      </w:pPr>
      <w:r>
        <w:rPr>
          <w:rFonts w:hint="eastAsia"/>
          <w:b/>
        </w:rPr>
        <w:t>太阳能资源稳定度分析</w:t>
      </w:r>
    </w:p>
    <w:p>
      <w:pPr>
        <w:pStyle w:val="3"/>
        <w:ind w:firstLine="480" w:firstLineChars="200"/>
      </w:pPr>
      <w:r>
        <w:rPr>
          <w:rFonts w:hint="eastAsia"/>
        </w:rPr>
        <w:t>太阳能资源稳定度是太阳能资源年内变化的状态和幅度的体现，用全年中各月平均日水平面总辐照量的最小值与最大值之比表示。</w:t>
      </w:r>
    </w:p>
    <w:p>
      <w:pPr>
        <w:pStyle w:val="3"/>
        <w:ind w:firstLine="480" w:firstLineChars="200"/>
      </w:pPr>
      <w:r>
        <w:rPr>
          <w:rFonts w:hint="eastAsia"/>
        </w:rPr>
        <w:t>根据《太阳能资源等级总辐射》（</w:t>
      </w:r>
      <w:r>
        <w:t>GB/T31155—2014）的分类方法，稳定度划分为四个等级：很稳定（A）、稳定（B）、一般（C）、欠稳定（D）。</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4</w:t>
      </w:r>
      <w:r>
        <w:fldChar w:fldCharType="end"/>
      </w:r>
      <w:r>
        <w:rPr>
          <w:rFonts w:hint="eastAsia"/>
        </w:rPr>
        <w:t>稳定度等级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rPr>
            </w:pPr>
            <w:r>
              <w:rPr>
                <w:rFonts w:hint="eastAsia"/>
                <w:b/>
                <w:color w:val="FFFFFF" w:themeColor="background1"/>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rPr>
            </w:pPr>
            <w:r>
              <w:rPr>
                <w:b/>
                <w:color w:val="FFFFFF" w:themeColor="background1"/>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rPr>
            </w:pPr>
            <w:r>
              <w:rPr>
                <w:b/>
                <w:color w:val="FFFFFF" w:themeColor="background1"/>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r>
    </w:tbl>
    <w:p>
      <w:pPr>
        <w:pStyle w:val="3"/>
        <w:spacing w:line="276" w:lineRule="auto"/>
        <w:ind w:firstLine="480" w:firstLineChars="200"/>
      </w:pPr>
      <w:r>
        <w:rPr>
          <w:rFonts w:hint="eastAsia"/>
        </w:rPr>
        <w:t>本项目所在地的</w:t>
      </w:r>
      <w:r>
        <w:t>GHRS</w:t>
      </w:r>
      <w:r>
        <w:rPr>
          <w:rFonts w:hint="eastAsia"/>
        </w:rPr>
        <w:t>（表示水平面总辐射稳定度）为</w:t>
      </w:r>
      <w:bookmarkStart w:id="40" w:name="稳定度GHRS"/>
      <w:r>
        <w:t>0.29，等级B稳定地区</w:t>
      </w:r>
      <w:bookmarkEnd w:id="40"/>
      <w:r>
        <w:rPr>
          <w:rFonts w:hint="eastAsia"/>
        </w:rPr>
        <w:t>。</w:t>
      </w:r>
    </w:p>
    <w:p>
      <w:pPr>
        <w:pStyle w:val="2"/>
      </w:pPr>
      <w:bookmarkStart w:id="41" w:name="_Toc127542295"/>
      <w:bookmarkStart w:id="42" w:name="_Toc30933"/>
      <w:r>
        <w:rPr>
          <w:rFonts w:hint="eastAsia"/>
        </w:rPr>
        <w:t>软件选用</w:t>
      </w:r>
      <w:bookmarkEnd w:id="41"/>
      <w:bookmarkEnd w:id="42"/>
    </w:p>
    <w:p>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pPr>
        <w:pStyle w:val="2"/>
      </w:pPr>
      <w:bookmarkStart w:id="43" w:name="_Toc22050"/>
      <w:r>
        <w:rPr>
          <w:rFonts w:hint="eastAsia"/>
        </w:rPr>
        <w:t>光伏系统设计</w:t>
      </w:r>
      <w:bookmarkEnd w:id="43"/>
    </w:p>
    <w:p>
      <w:pPr>
        <w:pStyle w:val="3"/>
        <w:ind w:firstLine="480" w:firstLineChars="200"/>
      </w:pPr>
      <w:bookmarkStart w:id="44" w:name="_Toc512608180"/>
      <w:bookmarkStart w:id="45" w:name="_Toc275165382"/>
      <w:bookmarkStart w:id="46" w:name="_Toc264043625"/>
      <w:bookmarkStart w:id="47" w:name="_Toc290209312"/>
      <w:bookmarkStart w:id="48" w:name="_Toc290209336"/>
      <w:bookmarkStart w:id="49" w:name="_Toc290149054"/>
      <w:bookmarkStart w:id="50" w:name="_Toc264569232"/>
      <w:bookmarkStart w:id="51" w:name="_Toc312399791"/>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4"/>
    <w:bookmarkEnd w:id="45"/>
    <w:bookmarkEnd w:id="46"/>
    <w:bookmarkEnd w:id="47"/>
    <w:bookmarkEnd w:id="48"/>
    <w:bookmarkEnd w:id="49"/>
    <w:bookmarkEnd w:id="50"/>
    <w:bookmarkEnd w:id="51"/>
    <w:p>
      <w:pPr>
        <w:pStyle w:val="4"/>
      </w:pPr>
      <w:bookmarkStart w:id="52" w:name="_Toc19121"/>
      <w:r>
        <w:rPr>
          <w:rFonts w:hint="eastAsia"/>
        </w:rPr>
        <w:t>阴影遮挡分析</w:t>
      </w:r>
      <w:bookmarkEnd w:id="52"/>
    </w:p>
    <w:p>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pPr>
        <w:pStyle w:val="3"/>
        <w:ind w:firstLine="480" w:firstLineChars="200"/>
        <w:rPr>
          <w:lang w:val="en-US"/>
        </w:rPr>
      </w:pPr>
    </w:p>
    <w:p>
      <w:pPr>
        <w:pStyle w:val="3"/>
        <w:spacing w:before="240"/>
        <w:jc w:val="center"/>
        <w:rPr>
          <w:lang w:val="en-US"/>
        </w:rPr>
      </w:pPr>
      <w:bookmarkStart w:id="53" w:name="遮挡分析图"/>
      <w:bookmarkEnd w:id="53"/>
      <w:r>
        <w:drawing>
          <wp:inline distT="0" distB="0" distL="0" distR="0">
            <wp:extent cx="5667375" cy="3905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3"/>
                    <a:stretch>
                      <a:fillRect/>
                    </a:stretch>
                  </pic:blipFill>
                  <pic:spPr>
                    <a:xfrm>
                      <a:off x="0" y="0"/>
                      <a:ext cx="5667375" cy="3905250"/>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6</w:t>
      </w:r>
      <w:r>
        <w:fldChar w:fldCharType="end"/>
      </w:r>
      <w:r>
        <w:rPr>
          <w:rFonts w:hint="eastAsia"/>
        </w:rPr>
        <w:t>遮挡分析图</w:t>
      </w:r>
    </w:p>
    <w:p>
      <w:pPr>
        <w:pStyle w:val="3"/>
        <w:ind w:firstLine="480" w:firstLineChars="200"/>
        <w:rPr>
          <w:strike/>
          <w:lang w:val="en-US"/>
        </w:rPr>
      </w:pPr>
    </w:p>
    <w:p>
      <w:pPr>
        <w:pStyle w:val="4"/>
      </w:pPr>
      <w:bookmarkStart w:id="54" w:name="_Toc12813"/>
      <w:r>
        <w:t>辐照分析</w:t>
      </w:r>
      <w:bookmarkEnd w:id="54"/>
    </w:p>
    <w:p>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pPr>
        <w:pStyle w:val="15"/>
      </w:pPr>
      <w:bookmarkStart w:id="55" w:name="辐照分析彩图"/>
      <w:bookmarkEnd w:id="55"/>
      <w:r>
        <w:drawing>
          <wp:inline distT="0" distB="0" distL="0" distR="0">
            <wp:extent cx="5667375" cy="29813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
                    <a:stretch>
                      <a:fillRect/>
                    </a:stretch>
                  </pic:blipFill>
                  <pic:spPr>
                    <a:xfrm>
                      <a:off x="0" y="0"/>
                      <a:ext cx="5667375" cy="2981325"/>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7</w:t>
      </w:r>
      <w:r>
        <w:fldChar w:fldCharType="end"/>
      </w:r>
      <w:r>
        <w:rPr>
          <w:rFonts w:hint="eastAsia"/>
        </w:rPr>
        <w:t>辐照分析图</w:t>
      </w:r>
    </w:p>
    <w:p>
      <w:pPr>
        <w:pStyle w:val="4"/>
      </w:pPr>
      <w:bookmarkStart w:id="56" w:name="_Toc11665"/>
      <w:r>
        <w:rPr>
          <w:rFonts w:hint="eastAsia"/>
        </w:rPr>
        <w:t>光伏方阵设计</w:t>
      </w:r>
      <w:bookmarkEnd w:id="56"/>
    </w:p>
    <w:p>
      <w:pPr>
        <w:pStyle w:val="3"/>
        <w:ind w:firstLine="480"/>
        <w:rPr>
          <w:lang w:val="en-US"/>
        </w:rPr>
      </w:pPr>
      <w:r>
        <w:rPr>
          <w:rFonts w:hint="eastAsia"/>
          <w:lang w:val="en-US"/>
        </w:rPr>
        <w:t>通过对</w:t>
      </w:r>
      <w:bookmarkStart w:id="57" w:name="工程地点2"/>
      <w:r>
        <w:rPr>
          <w:rFonts w:hint="eastAsia"/>
        </w:rPr>
        <w:t>呼和浩特</w:t>
      </w:r>
      <w:bookmarkEnd w:id="57"/>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pPr>
        <w:pStyle w:val="5"/>
      </w:pPr>
      <w:bookmarkStart w:id="58" w:name="_Toc25649"/>
      <w:r>
        <w:rPr>
          <w:rFonts w:hint="eastAsia"/>
        </w:rPr>
        <w:t>安装倾角</w:t>
      </w:r>
      <w:bookmarkEnd w:id="58"/>
    </w:p>
    <w:p>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59" w:name="独立推荐倾角"/>
      <w:r>
        <w:rPr>
          <w:rFonts w:hint="eastAsia"/>
          <w:b/>
        </w:rPr>
        <w:t>43.8</w:t>
      </w:r>
      <w:bookmarkEnd w:id="59"/>
      <w:r>
        <w:rPr>
          <w:rFonts w:hint="eastAsia"/>
          <w:b/>
        </w:rPr>
        <w:t>°；并网系统推荐倾角为</w:t>
      </w:r>
      <w:bookmarkStart w:id="60" w:name="并网推荐倾角"/>
      <w:r>
        <w:rPr>
          <w:rFonts w:hint="eastAsia"/>
          <w:b/>
        </w:rPr>
        <w:t>37.8</w:t>
      </w:r>
      <w:bookmarkEnd w:id="60"/>
      <w:r>
        <w:rPr>
          <w:rFonts w:hint="eastAsia"/>
          <w:b/>
        </w:rPr>
        <w:t>°。</w:t>
      </w:r>
      <w:r>
        <w:rPr>
          <w:rFonts w:hint="eastAsia"/>
        </w:rPr>
        <w:t>建筑光伏一体化</w:t>
      </w:r>
      <w:r>
        <w:rPr>
          <w:rFonts w:hint="eastAsia"/>
          <w:lang w:val="en-US"/>
        </w:rPr>
        <w:t>一般将安装在建筑表面，如屋顶、外墙、幕墙等，倾角设置还需考虑建筑自身情况。</w:t>
      </w:r>
    </w:p>
    <w:p>
      <w:pPr>
        <w:pStyle w:val="5"/>
      </w:pPr>
      <w:bookmarkStart w:id="61" w:name="_Toc19197"/>
      <w:r>
        <w:rPr>
          <w:rFonts w:hint="eastAsia"/>
        </w:rPr>
        <w:t>方阵设计</w:t>
      </w:r>
      <w:bookmarkEnd w:id="61"/>
    </w:p>
    <w:p>
      <w:pPr>
        <w:pStyle w:val="3"/>
        <w:ind w:firstLine="480"/>
        <w:rPr>
          <w:lang w:val="en-US"/>
        </w:rPr>
      </w:pPr>
      <w:r>
        <w:rPr>
          <w:rFonts w:hint="eastAsia"/>
          <w:lang w:val="en-US"/>
        </w:rPr>
        <w:t>本项目光伏方阵的安装方案如下：</w:t>
      </w:r>
    </w:p>
    <w:p>
      <w:pPr>
        <w:pStyle w:val="15"/>
        <w:spacing w:before="240"/>
        <w:rPr>
          <w:rFonts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光伏组件布置统计表</w:t>
      </w:r>
    </w:p>
    <w:tbl>
      <w:tblPr>
        <w:tblStyle w:val="72"/>
        <w:tblW w:w="8982" w:type="dxa"/>
        <w:tblInd w:w="0" w:type="dxa"/>
        <w:tblLayout w:type="fixed"/>
        <w:tblCellMar>
          <w:top w:w="0" w:type="dxa"/>
          <w:left w:w="108" w:type="dxa"/>
          <w:bottom w:w="0" w:type="dxa"/>
          <w:right w:w="108" w:type="dxa"/>
        </w:tblCellMar>
      </w:tblPr>
      <w:tblGrid>
        <w:gridCol w:w="2328"/>
        <w:gridCol w:w="2218"/>
        <w:gridCol w:w="2218"/>
        <w:gridCol w:w="2218"/>
      </w:tblGrid>
      <w:tr>
        <w:tblPrEx>
          <w:tblCellMar>
            <w:top w:w="0" w:type="dxa"/>
            <w:left w:w="108" w:type="dxa"/>
            <w:bottom w:w="0" w:type="dxa"/>
            <w:right w:w="108" w:type="dxa"/>
          </w:tblCellMar>
        </w:tblPrEx>
        <w:tc>
          <w:tcPr>
            <w:tcW w:w="2328" w:type="dxa"/>
            <w:tcBorders>
              <w:top w:val="single" w:color="FFFFFF" w:themeColor="background1" w:sz="18" w:space="0"/>
              <w:left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rPr>
            </w:pPr>
            <w:bookmarkStart w:id="62" w:name="光伏板参数表" w:colFirst="0" w:colLast="3"/>
            <w:r>
              <w:rPr>
                <w:b/>
                <w:bCs/>
                <w:color w:val="FFFFFF" w:themeColor="background1"/>
                <w:szCs w:val="21"/>
              </w:rPr>
              <w:t>尺寸/面积</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rPr>
            </w:pPr>
            <w:r>
              <w:rPr>
                <w:b/>
                <w:bCs/>
                <w:color w:val="FFFFFF" w:themeColor="background1"/>
                <w:szCs w:val="21"/>
              </w:rPr>
              <w:t>朝向角</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rPr>
            </w:pPr>
            <w:r>
              <w:rPr>
                <w:b/>
                <w:bCs/>
                <w:color w:val="FFFFFF" w:themeColor="background1"/>
                <w:szCs w:val="21"/>
              </w:rPr>
              <w:t>倾角</w:t>
            </w:r>
          </w:p>
        </w:tc>
        <w:tc>
          <w:tcPr>
            <w:tcW w:w="2218" w:type="dxa"/>
            <w:tcBorders>
              <w:top w:val="single" w:color="FFFFFF" w:themeColor="background1" w:sz="18" w:space="0"/>
              <w:bottom w:val="single" w:color="C8C8C8" w:themeColor="accent3" w:themeTint="99" w:sz="4" w:space="0"/>
              <w:right w:val="single" w:color="FFFFFF" w:themeColor="background1" w:sz="18" w:space="0"/>
              <w:insideH w:val="single" w:sz="4" w:space="0"/>
            </w:tcBorders>
            <w:shd w:val="clear" w:color="auto" w:fill="F57C00"/>
          </w:tcPr>
          <w:p>
            <w:pPr>
              <w:jc w:val="center"/>
              <w:rPr>
                <w:b/>
                <w:bCs/>
                <w:color w:val="FFFFFF" w:themeColor="background1"/>
                <w:szCs w:val="21"/>
              </w:rPr>
            </w:pPr>
            <w:r>
              <w:rPr>
                <w:b/>
                <w:bCs/>
                <w:color w:val="FFFFFF" w:themeColor="background1"/>
                <w:szCs w:val="21"/>
              </w:rPr>
              <w:t>数量</w:t>
            </w:r>
          </w:p>
        </w:tc>
      </w:tr>
      <w:tr>
        <w:tblPrEx>
          <w:tblCellMar>
            <w:top w:w="0" w:type="dxa"/>
            <w:left w:w="108" w:type="dxa"/>
            <w:bottom w:w="0" w:type="dxa"/>
            <w:right w:w="108" w:type="dxa"/>
          </w:tblCellMar>
        </w:tblPrEx>
        <w:tc>
          <w:tcPr>
            <w:tcW w:w="2328" w:type="dxa"/>
            <w:tcBorders>
              <w:left w:val="single" w:color="FFFFFF" w:themeColor="background1" w:sz="18" w:space="0"/>
            </w:tcBorders>
            <w:shd w:val="clear" w:color="auto" w:fill="ECECEC" w:themeFill="accent3" w:themeFillTint="33"/>
          </w:tcPr>
          <w:p>
            <w:pPr>
              <w:jc w:val="center"/>
              <w:rPr>
                <w:b w:val="0"/>
                <w:bCs w:val="0"/>
                <w:szCs w:val="21"/>
              </w:rPr>
            </w:pPr>
            <w:r>
              <w:rPr>
                <w:b w:val="0"/>
                <w:bCs w:val="0"/>
                <w:szCs w:val="21"/>
              </w:rPr>
              <w:t>1.64(1.65X0.99)</w:t>
            </w:r>
          </w:p>
        </w:tc>
        <w:tc>
          <w:tcPr>
            <w:tcW w:w="2218" w:type="dxa"/>
            <w:shd w:val="clear" w:color="auto" w:fill="ECECEC" w:themeFill="accent3" w:themeFillTint="33"/>
          </w:tcPr>
          <w:p>
            <w:pPr>
              <w:jc w:val="center"/>
              <w:rPr>
                <w:szCs w:val="21"/>
              </w:rPr>
            </w:pPr>
            <w:r>
              <w:rPr>
                <w:szCs w:val="21"/>
              </w:rPr>
              <w:t>南偏西76度</w:t>
            </w:r>
          </w:p>
        </w:tc>
        <w:tc>
          <w:tcPr>
            <w:tcW w:w="2218" w:type="dxa"/>
            <w:shd w:val="clear" w:color="auto" w:fill="ECECEC" w:themeFill="accent3" w:themeFillTint="33"/>
          </w:tcPr>
          <w:p>
            <w:pPr>
              <w:jc w:val="center"/>
              <w:rPr>
                <w:szCs w:val="21"/>
              </w:rPr>
            </w:pPr>
            <w:r>
              <w:rPr>
                <w:szCs w:val="21"/>
              </w:rPr>
              <w:t>30</w:t>
            </w:r>
          </w:p>
        </w:tc>
        <w:tc>
          <w:tcPr>
            <w:tcW w:w="2218" w:type="dxa"/>
            <w:tcBorders>
              <w:right w:val="single" w:color="FFFFFF" w:themeColor="background1" w:sz="18" w:space="0"/>
            </w:tcBorders>
            <w:shd w:val="clear" w:color="auto" w:fill="ECECEC" w:themeFill="accent3" w:themeFillTint="33"/>
          </w:tcPr>
          <w:p>
            <w:pPr>
              <w:jc w:val="center"/>
              <w:rPr>
                <w:szCs w:val="21"/>
              </w:rPr>
            </w:pPr>
            <w:r>
              <w:rPr>
                <w:szCs w:val="21"/>
              </w:rPr>
              <w:t>212</w:t>
            </w:r>
          </w:p>
        </w:tc>
      </w:tr>
      <w:bookmarkEnd w:id="62"/>
    </w:tbl>
    <w:p>
      <w:pPr>
        <w:pStyle w:val="3"/>
      </w:pPr>
    </w:p>
    <w:p>
      <w:pPr>
        <w:pStyle w:val="3"/>
        <w:jc w:val="center"/>
      </w:pPr>
      <w:bookmarkStart w:id="63" w:name="模型观察图"/>
      <w:bookmarkEnd w:id="63"/>
      <w:r>
        <w:drawing>
          <wp:inline distT="0" distB="0" distL="0" distR="0">
            <wp:extent cx="5667375" cy="27813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5"/>
                    <a:stretch>
                      <a:fillRect/>
                    </a:stretch>
                  </pic:blipFill>
                  <pic:spPr>
                    <a:xfrm>
                      <a:off x="0" y="0"/>
                      <a:ext cx="5667375" cy="278130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8</w:t>
      </w:r>
      <w:r>
        <w:fldChar w:fldCharType="end"/>
      </w:r>
      <w:r>
        <w:rPr>
          <w:rFonts w:hint="eastAsia"/>
        </w:rPr>
        <w:t>光伏板布置效果图</w:t>
      </w:r>
    </w:p>
    <w:p>
      <w:pPr>
        <w:pStyle w:val="4"/>
      </w:pPr>
      <w:bookmarkStart w:id="64" w:name="_Toc9219"/>
      <w:r>
        <w:rPr>
          <w:rFonts w:hint="eastAsia"/>
        </w:rPr>
        <w:t>光伏组件和逆变器的选择</w:t>
      </w:r>
      <w:bookmarkEnd w:id="64"/>
    </w:p>
    <w:p>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rPr>
            </w:pPr>
            <w:bookmarkStart w:id="65" w:name="组件详表" w:colFirst="0" w:colLast="9"/>
            <w:r>
              <w:rPr>
                <w:b/>
                <w:bCs/>
                <w:color w:val="FFFFFF" w:themeColor="background1"/>
                <w:szCs w:val="21"/>
              </w:rPr>
              <w:t>序号</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rPr>
            </w:pPr>
            <w:r>
              <w:rPr>
                <w:b/>
                <w:bCs/>
                <w:color w:val="FFFFFF" w:themeColor="background1"/>
                <w:szCs w:val="21"/>
              </w:rPr>
              <w:t>尺寸</w:t>
            </w:r>
            <w:r>
              <w:rPr>
                <w:b/>
                <w:bCs/>
                <w:color w:val="FFFFFF" w:themeColor="background1"/>
                <w:szCs w:val="21"/>
              </w:rPr>
              <w:br w:type="textWrapping"/>
            </w:r>
            <w:r>
              <w:rPr>
                <w:b/>
                <w:bCs/>
                <w:color w:val="FFFFFF" w:themeColor="background1"/>
                <w:szCs w:val="21"/>
              </w:rPr>
              <w:t>mm</w:t>
            </w:r>
          </w:p>
        </w:tc>
        <w:tc>
          <w:tcPr>
            <w:tcW w:w="2372" w:type="dxa"/>
            <w:tcBorders>
              <w:bottom w:val="single" w:color="C8C8C8" w:themeColor="accent3" w:themeTint="99" w:sz="4" w:space="0"/>
              <w:insideH w:val="single" w:sz="4" w:space="0"/>
            </w:tcBorders>
            <w:shd w:val="clear" w:color="auto" w:fill="F57C00"/>
          </w:tcPr>
          <w:p>
            <w:pPr>
              <w:jc w:val="center"/>
              <w:rPr>
                <w:b/>
                <w:bCs/>
                <w:color w:val="FFFFFF" w:themeColor="background1"/>
                <w:szCs w:val="21"/>
              </w:rPr>
            </w:pPr>
            <w:r>
              <w:rPr>
                <w:b/>
                <w:bCs/>
                <w:color w:val="FFFFFF" w:themeColor="background1"/>
                <w:szCs w:val="21"/>
              </w:rPr>
              <w:t>类型</w:t>
            </w:r>
          </w:p>
        </w:tc>
        <w:tc>
          <w:tcPr>
            <w:tcW w:w="586" w:type="dxa"/>
            <w:tcBorders>
              <w:bottom w:val="single" w:color="C8C8C8" w:themeColor="accent3" w:themeTint="99" w:sz="4" w:space="0"/>
              <w:insideH w:val="single" w:sz="4" w:space="0"/>
            </w:tcBorders>
            <w:shd w:val="clear" w:color="auto" w:fill="F57C00"/>
          </w:tcPr>
          <w:p>
            <w:pPr>
              <w:jc w:val="center"/>
              <w:rPr>
                <w:b/>
                <w:bCs/>
                <w:color w:val="FFFFFF" w:themeColor="background1"/>
                <w:szCs w:val="21"/>
              </w:rPr>
            </w:pPr>
            <w:r>
              <w:rPr>
                <w:b/>
                <w:bCs/>
                <w:color w:val="FFFFFF" w:themeColor="background1"/>
                <w:szCs w:val="21"/>
              </w:rPr>
              <w:t>数量</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rPr>
            </w:pPr>
            <w:r>
              <w:rPr>
                <w:b/>
                <w:bCs/>
                <w:color w:val="FFFFFF" w:themeColor="background1"/>
                <w:szCs w:val="21"/>
              </w:rPr>
              <w:t>峰值</w:t>
            </w:r>
            <w:r>
              <w:rPr>
                <w:b/>
                <w:bCs/>
                <w:color w:val="FFFFFF" w:themeColor="background1"/>
                <w:szCs w:val="21"/>
              </w:rPr>
              <w:br w:type="textWrapping"/>
            </w:r>
            <w:r>
              <w:rPr>
                <w:b/>
                <w:bCs/>
                <w:color w:val="FFFFFF" w:themeColor="background1"/>
                <w:szCs w:val="21"/>
              </w:rPr>
              <w:t>功率</w:t>
            </w:r>
            <w:r>
              <w:rPr>
                <w:b/>
                <w:bCs/>
                <w:color w:val="FFFFFF" w:themeColor="background1"/>
                <w:szCs w:val="21"/>
              </w:rPr>
              <w:br w:type="textWrapping"/>
            </w:r>
            <w:r>
              <w:rPr>
                <w:b/>
                <w:bCs/>
                <w:color w:val="FFFFFF" w:themeColor="background1"/>
                <w:szCs w:val="21"/>
              </w:rPr>
              <w:t>Wp</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rPr>
            </w:pPr>
            <w:r>
              <w:rPr>
                <w:b/>
                <w:bCs/>
                <w:color w:val="FFFFFF" w:themeColor="background1"/>
                <w:szCs w:val="21"/>
              </w:rPr>
              <w:t>每瓦</w:t>
            </w:r>
            <w:r>
              <w:rPr>
                <w:b/>
                <w:bCs/>
                <w:color w:val="FFFFFF" w:themeColor="background1"/>
                <w:szCs w:val="21"/>
              </w:rPr>
              <w:br w:type="textWrapping"/>
            </w:r>
            <w:r>
              <w:rPr>
                <w:b/>
                <w:bCs/>
                <w:color w:val="FFFFFF" w:themeColor="background1"/>
                <w:szCs w:val="21"/>
              </w:rPr>
              <w:t>成本</w:t>
            </w:r>
            <w:r>
              <w:rPr>
                <w:b/>
                <w:bCs/>
                <w:color w:val="FFFFFF" w:themeColor="background1"/>
                <w:szCs w:val="21"/>
              </w:rPr>
              <w:br w:type="textWrapping"/>
            </w:r>
            <w:r>
              <w:rPr>
                <w:b/>
                <w:bCs/>
                <w:color w:val="FFFFFF" w:themeColor="background1"/>
                <w:szCs w:val="21"/>
              </w:rPr>
              <w:t>元</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rPr>
            </w:pPr>
            <w:r>
              <w:rPr>
                <w:b/>
                <w:bCs/>
                <w:color w:val="FFFFFF" w:themeColor="background1"/>
                <w:szCs w:val="21"/>
              </w:rPr>
              <w:t>温度</w:t>
            </w:r>
            <w:r>
              <w:rPr>
                <w:b/>
                <w:bCs/>
                <w:color w:val="FFFFFF" w:themeColor="background1"/>
                <w:szCs w:val="21"/>
              </w:rPr>
              <w:br w:type="textWrapping"/>
            </w:r>
            <w:r>
              <w:rPr>
                <w:b/>
                <w:bCs/>
                <w:color w:val="FFFFFF" w:themeColor="background1"/>
                <w:szCs w:val="21"/>
              </w:rPr>
              <w:t>系数</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rPr>
            </w:pPr>
            <w:r>
              <w:rPr>
                <w:b/>
                <w:bCs/>
                <w:color w:val="FFFFFF" w:themeColor="background1"/>
                <w:szCs w:val="21"/>
              </w:rPr>
              <w:t>标准</w:t>
            </w:r>
            <w:r>
              <w:rPr>
                <w:b/>
                <w:bCs/>
                <w:color w:val="FFFFFF" w:themeColor="background1"/>
                <w:szCs w:val="21"/>
              </w:rPr>
              <w:br w:type="textWrapping"/>
            </w:r>
            <w:r>
              <w:rPr>
                <w:b/>
                <w:bCs/>
                <w:color w:val="FFFFFF" w:themeColor="background1"/>
                <w:szCs w:val="21"/>
              </w:rPr>
              <w:t>工作</w:t>
            </w:r>
            <w:r>
              <w:rPr>
                <w:b/>
                <w:bCs/>
                <w:color w:val="FFFFFF" w:themeColor="background1"/>
                <w:szCs w:val="21"/>
              </w:rPr>
              <w:br w:type="textWrapping"/>
            </w:r>
            <w:r>
              <w:rPr>
                <w:b/>
                <w:bCs/>
                <w:color w:val="FFFFFF" w:themeColor="background1"/>
                <w:szCs w:val="21"/>
              </w:rPr>
              <w:t>温度</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rPr>
            </w:pPr>
            <w:r>
              <w:rPr>
                <w:b/>
                <w:bCs/>
                <w:color w:val="FFFFFF" w:themeColor="background1"/>
                <w:szCs w:val="21"/>
              </w:rPr>
              <w:t>首年</w:t>
            </w:r>
            <w:r>
              <w:rPr>
                <w:b/>
                <w:bCs/>
                <w:color w:val="FFFFFF" w:themeColor="background1"/>
                <w:szCs w:val="21"/>
              </w:rPr>
              <w:br w:type="textWrapping"/>
            </w:r>
            <w:r>
              <w:rPr>
                <w:b/>
                <w:bCs/>
                <w:color w:val="FFFFFF" w:themeColor="background1"/>
                <w:szCs w:val="21"/>
              </w:rPr>
              <w:t>衰减</w:t>
            </w:r>
          </w:p>
        </w:tc>
        <w:tc>
          <w:tcPr>
            <w:tcW w:w="1158" w:type="dxa"/>
            <w:tcBorders>
              <w:bottom w:val="single" w:color="C8C8C8" w:themeColor="accent3" w:themeTint="99" w:sz="4" w:space="0"/>
              <w:insideH w:val="single" w:sz="4" w:space="0"/>
            </w:tcBorders>
            <w:shd w:val="clear" w:color="auto" w:fill="F57C00"/>
          </w:tcPr>
          <w:p>
            <w:pPr>
              <w:jc w:val="center"/>
              <w:rPr>
                <w:b/>
                <w:bCs/>
                <w:color w:val="FFFFFF" w:themeColor="background1"/>
                <w:szCs w:val="21"/>
              </w:rPr>
            </w:pPr>
            <w:r>
              <w:rPr>
                <w:b/>
                <w:bCs/>
                <w:color w:val="FFFFFF" w:themeColor="background1"/>
                <w:szCs w:val="21"/>
              </w:rPr>
              <w:t>其它</w:t>
            </w:r>
            <w:r>
              <w:rPr>
                <w:b/>
                <w:bCs/>
                <w:color w:val="FFFFFF" w:themeColor="background1"/>
                <w:szCs w:val="21"/>
              </w:rPr>
              <w:br w:type="textWrapping"/>
            </w:r>
            <w:r>
              <w:rPr>
                <w:b/>
                <w:bCs/>
                <w:color w:val="FFFFFF" w:themeColor="background1"/>
                <w:szCs w:val="21"/>
              </w:rPr>
              <w:t>年</w:t>
            </w:r>
            <w:r>
              <w:rPr>
                <w:b/>
                <w:bCs/>
                <w:color w:val="FFFFFF" w:themeColor="background1"/>
                <w:szCs w:val="21"/>
              </w:rPr>
              <w:br w:type="textWrapping"/>
            </w:r>
            <w:r>
              <w:rPr>
                <w:b/>
                <w:bCs/>
                <w:color w:val="FFFFFF" w:themeColor="background1"/>
                <w:szCs w:val="21"/>
              </w:rPr>
              <w:t>衰减</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val="0"/>
                <w:bCs w:val="0"/>
                <w:szCs w:val="21"/>
              </w:rPr>
            </w:pPr>
            <w:r>
              <w:rPr>
                <w:b w:val="0"/>
                <w:bCs w:val="0"/>
                <w:szCs w:val="21"/>
              </w:rPr>
              <w:t>1</w:t>
            </w:r>
          </w:p>
        </w:tc>
        <w:tc>
          <w:tcPr>
            <w:tcW w:w="0" w:type="auto"/>
            <w:shd w:val="clear" w:color="auto" w:fill="ECECEC" w:themeFill="accent3" w:themeFillTint="33"/>
          </w:tcPr>
          <w:p>
            <w:pPr>
              <w:jc w:val="center"/>
              <w:rPr>
                <w:szCs w:val="21"/>
              </w:rPr>
            </w:pPr>
            <w:r>
              <w:rPr>
                <w:szCs w:val="21"/>
              </w:rPr>
              <w:t>1650×992</w:t>
            </w:r>
          </w:p>
        </w:tc>
        <w:tc>
          <w:tcPr>
            <w:tcW w:w="2372" w:type="dxa"/>
            <w:shd w:val="clear" w:color="auto" w:fill="ECECEC" w:themeFill="accent3" w:themeFillTint="33"/>
          </w:tcPr>
          <w:p>
            <w:pPr>
              <w:jc w:val="center"/>
              <w:rPr>
                <w:szCs w:val="21"/>
              </w:rPr>
            </w:pPr>
            <w:r>
              <w:rPr>
                <w:szCs w:val="21"/>
              </w:rPr>
              <w:t>单晶硅</w:t>
            </w:r>
          </w:p>
        </w:tc>
        <w:tc>
          <w:tcPr>
            <w:tcW w:w="586" w:type="dxa"/>
            <w:shd w:val="clear" w:color="auto" w:fill="ECECEC" w:themeFill="accent3" w:themeFillTint="33"/>
          </w:tcPr>
          <w:p>
            <w:pPr>
              <w:jc w:val="center"/>
              <w:rPr>
                <w:szCs w:val="21"/>
              </w:rPr>
            </w:pPr>
            <w:r>
              <w:rPr>
                <w:szCs w:val="21"/>
              </w:rPr>
              <w:t>212</w:t>
            </w:r>
          </w:p>
        </w:tc>
        <w:tc>
          <w:tcPr>
            <w:tcW w:w="0" w:type="auto"/>
            <w:shd w:val="clear" w:color="auto" w:fill="ECECEC" w:themeFill="accent3" w:themeFillTint="33"/>
          </w:tcPr>
          <w:p>
            <w:pPr>
              <w:jc w:val="center"/>
              <w:rPr>
                <w:szCs w:val="21"/>
              </w:rPr>
            </w:pPr>
            <w:r>
              <w:rPr>
                <w:szCs w:val="21"/>
              </w:rPr>
              <w:t>260</w:t>
            </w:r>
          </w:p>
        </w:tc>
        <w:tc>
          <w:tcPr>
            <w:tcW w:w="0" w:type="auto"/>
            <w:shd w:val="clear" w:color="auto" w:fill="ECECEC" w:themeFill="accent3" w:themeFillTint="33"/>
          </w:tcPr>
          <w:p>
            <w:pPr>
              <w:jc w:val="center"/>
              <w:rPr>
                <w:szCs w:val="21"/>
              </w:rPr>
            </w:pPr>
            <w:r>
              <w:rPr>
                <w:szCs w:val="21"/>
              </w:rPr>
              <w:t>5</w:t>
            </w:r>
          </w:p>
        </w:tc>
        <w:tc>
          <w:tcPr>
            <w:tcW w:w="0" w:type="auto"/>
            <w:shd w:val="clear" w:color="auto" w:fill="ECECEC" w:themeFill="accent3" w:themeFillTint="33"/>
          </w:tcPr>
          <w:p>
            <w:pPr>
              <w:jc w:val="center"/>
              <w:rPr>
                <w:szCs w:val="21"/>
              </w:rPr>
            </w:pPr>
            <w:r>
              <w:rPr>
                <w:szCs w:val="21"/>
              </w:rPr>
              <w:t>0.5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5%</w:t>
            </w:r>
          </w:p>
        </w:tc>
        <w:tc>
          <w:tcPr>
            <w:tcW w:w="1158" w:type="dxa"/>
            <w:shd w:val="clear" w:color="auto" w:fill="ECECEC" w:themeFill="accent3" w:themeFillTint="33"/>
          </w:tcPr>
          <w:p>
            <w:pPr>
              <w:jc w:val="center"/>
              <w:rPr>
                <w:szCs w:val="21"/>
              </w:rPr>
            </w:pPr>
            <w:r>
              <w:rPr>
                <w:szCs w:val="21"/>
              </w:rPr>
              <w:t>0.7%</w:t>
            </w:r>
          </w:p>
        </w:tc>
      </w:tr>
      <w:bookmarkEnd w:id="65"/>
    </w:tbl>
    <w:p>
      <w:pPr>
        <w:jc w:val="center"/>
      </w:pPr>
    </w:p>
    <w:p>
      <w:pPr>
        <w:pStyle w:val="2"/>
      </w:pPr>
      <w:bookmarkStart w:id="66" w:name="_Toc10339"/>
      <w:r>
        <w:rPr>
          <w:rFonts w:hint="eastAsia"/>
        </w:rPr>
        <w:t>光伏发电产量</w:t>
      </w:r>
      <w:bookmarkEnd w:id="66"/>
    </w:p>
    <w:p>
      <w:pPr>
        <w:pStyle w:val="4"/>
      </w:pPr>
      <w:bookmarkStart w:id="67" w:name="_Toc1502"/>
      <w:r>
        <w:rPr>
          <w:rFonts w:hint="eastAsia"/>
        </w:rPr>
        <w:t>发电量算法</w:t>
      </w:r>
      <w:bookmarkEnd w:id="67"/>
    </w:p>
    <w:p>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pPr>
        <w:ind w:firstLine="630" w:firstLineChars="300"/>
        <w:jc w:val="center"/>
      </w:pPr>
      <w:r>
        <w:object>
          <v:shape id="_x0000_i1025" o:spt="75" type="#_x0000_t75" style="height:39pt;width:105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p>
    <w:p>
      <w:pPr>
        <w:pStyle w:val="3"/>
        <w:ind w:left="420" w:leftChars="200"/>
      </w:pPr>
      <w:r>
        <w:rPr>
          <w:rFonts w:hint="eastAsia"/>
        </w:rPr>
        <w:t>式中E</w:t>
      </w:r>
      <w:r>
        <w:rPr>
          <w:rFonts w:hint="eastAsia"/>
          <w:vertAlign w:val="subscript"/>
        </w:rPr>
        <w:t>p</w:t>
      </w:r>
      <w:r>
        <w:rPr>
          <w:rFonts w:hint="eastAsia"/>
        </w:rPr>
        <w:t>——发电量（kWh）；</w:t>
      </w:r>
    </w:p>
    <w:p>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pPr>
        <w:pStyle w:val="3"/>
        <w:ind w:left="420" w:leftChars="200"/>
      </w:pPr>
      <w:r>
        <w:t>P</w:t>
      </w:r>
      <w:r>
        <w:rPr>
          <w:rFonts w:hint="eastAsia"/>
        </w:rPr>
        <w:t>——装机容量（kW</w:t>
      </w:r>
      <w:r>
        <w:rPr>
          <w:rFonts w:hint="eastAsia"/>
          <w:vertAlign w:val="subscript"/>
        </w:rPr>
        <w:t>p</w:t>
      </w:r>
      <w:r>
        <w:rPr>
          <w:rFonts w:hint="eastAsia"/>
        </w:rPr>
        <w:t>）；</w:t>
      </w:r>
    </w:p>
    <w:p>
      <w:pPr>
        <w:pStyle w:val="3"/>
        <w:ind w:left="420" w:leftChars="200"/>
      </w:pPr>
      <w:r>
        <w:rPr>
          <w:rFonts w:hint="eastAsia"/>
        </w:rPr>
        <w:t>K——综合效率系数，受逆变器效率、集电线路损耗系数、光伏组件表面污染系数、修正系数等参数影响。</w:t>
      </w:r>
    </w:p>
    <w:p>
      <w:pPr>
        <w:pStyle w:val="4"/>
      </w:pPr>
      <w:bookmarkStart w:id="68" w:name="_Toc8905"/>
      <w:r>
        <w:rPr>
          <w:rFonts w:hint="eastAsia"/>
        </w:rPr>
        <w:t>系统效率和损失</w:t>
      </w:r>
      <w:bookmarkEnd w:id="68"/>
    </w:p>
    <w:p>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pPr>
        <w:pStyle w:val="3"/>
        <w:ind w:firstLine="480" w:firstLineChars="200"/>
        <w:rPr>
          <w:lang w:val="en-US"/>
        </w:rPr>
      </w:pPr>
      <w:r>
        <w:rPr>
          <w:lang w:val="en-US"/>
        </w:rPr>
        <w:t>各影响因素参考值如下表所示：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pPr>
              <w:jc w:val="center"/>
              <w:rPr>
                <w:b/>
                <w:bCs/>
                <w:color w:val="FFFFFF" w:themeColor="background1"/>
                <w:szCs w:val="21"/>
              </w:rPr>
            </w:pPr>
            <w:bookmarkStart w:id="69" w:name="光伏系统信息表" w:colFirst="0" w:colLast="2"/>
            <w:r>
              <w:rPr>
                <w:b/>
                <w:bCs/>
                <w:color w:val="FFFFFF" w:themeColor="background1"/>
                <w:szCs w:val="21"/>
              </w:rPr>
              <w:t>光伏系统信息</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组件类型</w:t>
            </w:r>
          </w:p>
        </w:tc>
        <w:tc>
          <w:tcPr>
            <w:tcW w:w="2320" w:type="dxa"/>
            <w:shd w:val="clear" w:color="auto" w:fill="ECECEC" w:themeFill="accent3" w:themeFillTint="33"/>
          </w:tcPr>
          <w:p>
            <w:r>
              <w:t>单晶硅</w:t>
            </w:r>
          </w:p>
        </w:tc>
        <w:tc>
          <w:tcPr>
            <w:tcW w:w="2321" w:type="dxa"/>
            <w:shd w:val="clear" w:color="auto" w:fill="ECECEC" w:themeFill="accent3" w:themeFillTint="33"/>
          </w:tcPr>
          <w:p>
            <w:r>
              <w:t>组件数量</w:t>
            </w:r>
          </w:p>
        </w:tc>
        <w:tc>
          <w:tcPr>
            <w:tcW w:w="2321" w:type="dxa"/>
            <w:shd w:val="clear" w:color="auto" w:fill="ECECEC" w:themeFill="accent3" w:themeFillTint="33"/>
          </w:tcPr>
          <w:p>
            <w:r>
              <w:t>212</w:t>
            </w:r>
          </w:p>
        </w:tc>
      </w:tr>
      <w:tr>
        <w:tblPrEx>
          <w:tblCellMar>
            <w:top w:w="0" w:type="dxa"/>
            <w:left w:w="108" w:type="dxa"/>
            <w:bottom w:w="0" w:type="dxa"/>
            <w:right w:w="108" w:type="dxa"/>
          </w:tblCellMar>
        </w:tblPrEx>
        <w:tc>
          <w:tcPr>
            <w:tcW w:w="2320" w:type="dxa"/>
          </w:tcPr>
          <w:p>
            <w:pPr>
              <w:rPr>
                <w:b w:val="0"/>
                <w:bCs w:val="0"/>
              </w:rPr>
            </w:pPr>
            <w:r>
              <w:rPr>
                <w:b w:val="0"/>
                <w:bCs w:val="0"/>
              </w:rPr>
              <w:t>总装机量</w:t>
            </w:r>
          </w:p>
        </w:tc>
        <w:tc>
          <w:tcPr>
            <w:tcW w:w="2320" w:type="dxa"/>
          </w:tcPr>
          <w:p>
            <w:r>
              <w:t>55.12kW</w:t>
            </w:r>
          </w:p>
        </w:tc>
        <w:tc>
          <w:tcPr>
            <w:tcW w:w="2321" w:type="dxa"/>
          </w:tcPr>
          <w:p>
            <w:r>
              <w:t>组件安装方式</w:t>
            </w:r>
          </w:p>
        </w:tc>
        <w:tc>
          <w:tcPr>
            <w:tcW w:w="2321" w:type="dxa"/>
          </w:tcPr>
          <w:p>
            <w:r>
              <w:t>固定集成</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组件面积</w:t>
            </w:r>
          </w:p>
        </w:tc>
        <w:tc>
          <w:tcPr>
            <w:tcW w:w="2320" w:type="dxa"/>
            <w:shd w:val="clear" w:color="auto" w:fill="ECECEC" w:themeFill="accent3" w:themeFillTint="33"/>
          </w:tcPr>
          <w:p>
            <w:r>
              <w:t>347㎡</w:t>
            </w:r>
          </w:p>
        </w:tc>
        <w:tc>
          <w:tcPr>
            <w:tcW w:w="2321" w:type="dxa"/>
            <w:shd w:val="clear" w:color="auto" w:fill="ECECEC" w:themeFill="accent3" w:themeFillTint="33"/>
          </w:tcPr>
          <w:p>
            <w:r>
              <w:t>逆变器效率</w:t>
            </w:r>
          </w:p>
        </w:tc>
        <w:tc>
          <w:tcPr>
            <w:tcW w:w="2321" w:type="dxa"/>
            <w:shd w:val="clear" w:color="auto" w:fill="ECECEC" w:themeFill="accent3" w:themeFillTint="33"/>
          </w:tcPr>
          <w:p>
            <w:r>
              <w:t>96%</w:t>
            </w:r>
          </w:p>
        </w:tc>
      </w:tr>
      <w:tr>
        <w:tblPrEx>
          <w:tblCellMar>
            <w:top w:w="0" w:type="dxa"/>
            <w:left w:w="108" w:type="dxa"/>
            <w:bottom w:w="0" w:type="dxa"/>
            <w:right w:w="108" w:type="dxa"/>
          </w:tblCellMar>
        </w:tblPrEx>
        <w:tc>
          <w:tcPr>
            <w:tcW w:w="2320" w:type="dxa"/>
          </w:tcPr>
          <w:p>
            <w:pPr>
              <w:rPr>
                <w:b w:val="0"/>
                <w:bCs w:val="0"/>
              </w:rPr>
            </w:pPr>
            <w:r>
              <w:rPr>
                <w:b w:val="0"/>
                <w:bCs w:val="0"/>
              </w:rPr>
              <w:t>逆变器功率</w:t>
            </w:r>
          </w:p>
        </w:tc>
        <w:tc>
          <w:tcPr>
            <w:tcW w:w="2320" w:type="dxa"/>
          </w:tcPr>
          <w:p>
            <w:r>
              <w:t>6.75kW</w:t>
            </w:r>
          </w:p>
        </w:tc>
        <w:tc>
          <w:tcPr>
            <w:tcW w:w="2321" w:type="dxa"/>
          </w:tcPr>
          <w:p>
            <w:r>
              <w:t>线路损耗效率</w:t>
            </w:r>
          </w:p>
        </w:tc>
        <w:tc>
          <w:tcPr>
            <w:tcW w:w="2321" w:type="dxa"/>
          </w:tcPr>
          <w:p>
            <w:r>
              <w:t>1%</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材料表面污染效率</w:t>
            </w:r>
          </w:p>
        </w:tc>
        <w:tc>
          <w:tcPr>
            <w:tcW w:w="2320" w:type="dxa"/>
            <w:shd w:val="clear" w:color="auto" w:fill="ECECEC" w:themeFill="accent3" w:themeFillTint="33"/>
          </w:tcPr>
          <w:p>
            <w:r>
              <w:t>1%</w:t>
            </w:r>
          </w:p>
        </w:tc>
        <w:tc>
          <w:tcPr>
            <w:tcW w:w="2321" w:type="dxa"/>
            <w:shd w:val="clear" w:color="auto" w:fill="ECECEC" w:themeFill="accent3" w:themeFillTint="33"/>
          </w:tcPr>
          <w:p>
            <w:r>
              <w:t>修正系数</w:t>
            </w:r>
          </w:p>
        </w:tc>
        <w:tc>
          <w:tcPr>
            <w:tcW w:w="2321" w:type="dxa"/>
            <w:shd w:val="clear" w:color="auto" w:fill="ECECEC" w:themeFill="accent3" w:themeFillTint="33"/>
          </w:tcPr>
          <w:p>
            <w:r>
              <w:t>1%</w:t>
            </w:r>
          </w:p>
        </w:tc>
      </w:tr>
      <w:tr>
        <w:tblPrEx>
          <w:tblCellMar>
            <w:top w:w="0" w:type="dxa"/>
            <w:left w:w="108" w:type="dxa"/>
            <w:bottom w:w="0" w:type="dxa"/>
            <w:right w:w="108" w:type="dxa"/>
          </w:tblCellMar>
        </w:tblPrEx>
        <w:trPr>
          <w:trHeight w:val="680" w:hRule="atLeast"/>
        </w:trPr>
        <w:tc>
          <w:tcPr>
            <w:tcW w:w="2320" w:type="dxa"/>
            <w:vAlign w:val="center"/>
          </w:tcPr>
          <w:p>
            <w:pPr>
              <w:jc w:val="both"/>
              <w:rPr>
                <w:b/>
                <w:bCs/>
              </w:rPr>
            </w:pPr>
            <w:r>
              <w:rPr>
                <w:b/>
                <w:bCs/>
                <w:sz w:val="24"/>
              </w:rPr>
              <w:t>系统综合效率</w:t>
            </w:r>
          </w:p>
        </w:tc>
        <w:tc>
          <w:tcPr>
            <w:tcW w:w="6962" w:type="dxa"/>
            <w:gridSpan w:val="3"/>
            <w:shd w:val="clear" w:color="auto" w:fill="E65100"/>
            <w:vAlign w:val="center"/>
          </w:tcPr>
          <w:p>
            <w:pPr>
              <w:jc w:val="center"/>
              <w:rPr>
                <w:b/>
                <w:color w:val="FFFFFF" w:themeColor="background1"/>
                <w:sz w:val="24"/>
                <w:szCs w:val="36"/>
              </w:rPr>
            </w:pPr>
            <w:r>
              <w:rPr>
                <w:b/>
                <w:color w:val="FFFFFF" w:themeColor="background1"/>
                <w:sz w:val="24"/>
                <w:szCs w:val="36"/>
              </w:rPr>
              <w:t>84.0%</w:t>
            </w:r>
          </w:p>
        </w:tc>
      </w:tr>
      <w:bookmarkEnd w:id="69"/>
    </w:tbl>
    <w:p>
      <w:pPr>
        <w:jc w:val="center"/>
      </w:pPr>
    </w:p>
    <w:p>
      <w:pPr>
        <w:pStyle w:val="4"/>
      </w:pPr>
      <w:bookmarkStart w:id="70" w:name="_Toc3169"/>
      <w:r>
        <w:rPr>
          <w:rFonts w:hint="eastAsia"/>
        </w:rPr>
        <w:t>发电量计算</w:t>
      </w:r>
      <w:bookmarkEnd w:id="70"/>
    </w:p>
    <w:p>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pPr>
        <w:pStyle w:val="5"/>
      </w:pPr>
      <w:bookmarkStart w:id="71" w:name="_Toc11584"/>
      <w:r>
        <w:rPr>
          <w:rFonts w:hint="eastAsia"/>
        </w:rPr>
        <w:t>首年发电量</w:t>
      </w:r>
      <w:bookmarkEnd w:id="71"/>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rPr>
            </w:pPr>
            <w:bookmarkStart w:id="72" w:name="初始阶段光伏发电产量表" w:colFirst="0" w:colLast="2"/>
            <w:r>
              <w:rPr>
                <w:b/>
                <w:bCs/>
                <w:color w:val="FFFFFF" w:themeColor="background1"/>
                <w:szCs w:val="21"/>
              </w:rPr>
              <w:t>月</w:t>
            </w:r>
            <w:r>
              <w:rPr>
                <w:rFonts w:hint="eastAsia"/>
                <w:b/>
                <w:bCs/>
                <w:color w:val="FFFFFF" w:themeColor="background1"/>
                <w:szCs w:val="21"/>
              </w:rPr>
              <w:t>份</w:t>
            </w:r>
          </w:p>
        </w:tc>
        <w:tc>
          <w:tcPr>
            <w:tcW w:w="2831"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rPr>
            </w:pPr>
            <w:r>
              <w:rPr>
                <w:b/>
                <w:bCs/>
                <w:color w:val="FFFFFF" w:themeColor="background1"/>
                <w:szCs w:val="21"/>
              </w:rPr>
              <w:t>太阳能总辐照量</w:t>
            </w:r>
            <w:r>
              <w:rPr>
                <w:b/>
                <w:bCs/>
                <w:color w:val="FFFFFF" w:themeColor="background1"/>
                <w:szCs w:val="21"/>
              </w:rPr>
              <w:br w:type="textWrapping"/>
            </w:r>
            <w:r>
              <w:rPr>
                <w:b/>
                <w:bCs/>
                <w:color w:val="FFFFFF" w:themeColor="background1"/>
                <w:szCs w:val="21"/>
              </w:rPr>
              <w:t>kWh/㎡</w:t>
            </w:r>
          </w:p>
        </w:tc>
        <w:tc>
          <w:tcPr>
            <w:tcW w:w="243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rPr>
            </w:pPr>
            <w:r>
              <w:rPr>
                <w:b/>
                <w:bCs/>
                <w:color w:val="FFFFFF" w:themeColor="background1"/>
                <w:szCs w:val="21"/>
              </w:rPr>
              <w:t>交流发电量MWh</w:t>
            </w:r>
          </w:p>
        </w:tc>
        <w:tc>
          <w:tcPr>
            <w:tcW w:w="222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rPr>
            </w:pPr>
            <w:r>
              <w:rPr>
                <w:b/>
                <w:bCs/>
                <w:color w:val="FFFFFF" w:themeColor="background1"/>
                <w:szCs w:val="21"/>
              </w:rPr>
              <w:t>占全年百分比%</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1月</w:t>
            </w:r>
          </w:p>
        </w:tc>
        <w:tc>
          <w:tcPr>
            <w:tcW w:w="2831" w:type="dxa"/>
            <w:shd w:val="clear" w:color="auto" w:fill="ECECEC" w:themeFill="accent3" w:themeFillTint="33"/>
          </w:tcPr>
          <w:p>
            <w:pPr>
              <w:jc w:val="center"/>
              <w:rPr>
                <w:szCs w:val="21"/>
              </w:rPr>
            </w:pPr>
            <w:r>
              <w:rPr>
                <w:szCs w:val="21"/>
              </w:rPr>
              <w:t>70.0</w:t>
            </w:r>
          </w:p>
        </w:tc>
        <w:tc>
          <w:tcPr>
            <w:tcW w:w="2434" w:type="dxa"/>
            <w:shd w:val="clear" w:color="auto" w:fill="ECECEC" w:themeFill="accent3" w:themeFillTint="33"/>
          </w:tcPr>
          <w:p>
            <w:pPr>
              <w:jc w:val="center"/>
              <w:rPr>
                <w:szCs w:val="21"/>
              </w:rPr>
            </w:pPr>
            <w:r>
              <w:rPr>
                <w:szCs w:val="21"/>
              </w:rPr>
              <w:t>3.59</w:t>
            </w:r>
          </w:p>
        </w:tc>
        <w:tc>
          <w:tcPr>
            <w:tcW w:w="2224" w:type="dxa"/>
            <w:shd w:val="clear" w:color="auto" w:fill="ECECEC" w:themeFill="accent3" w:themeFillTint="33"/>
          </w:tcPr>
          <w:p>
            <w:pPr>
              <w:jc w:val="center"/>
              <w:rPr>
                <w:szCs w:val="21"/>
              </w:rPr>
            </w:pPr>
            <w:r>
              <w:rPr>
                <w:szCs w:val="21"/>
              </w:rPr>
              <w:t>5.0</w:t>
            </w:r>
          </w:p>
        </w:tc>
      </w:tr>
      <w:tr>
        <w:tblPrEx>
          <w:tblCellMar>
            <w:top w:w="0" w:type="dxa"/>
            <w:left w:w="108" w:type="dxa"/>
            <w:bottom w:w="0" w:type="dxa"/>
            <w:right w:w="108" w:type="dxa"/>
          </w:tblCellMar>
        </w:tblPrEx>
        <w:tc>
          <w:tcPr>
            <w:tcW w:w="1583" w:type="dxa"/>
          </w:tcPr>
          <w:p>
            <w:pPr>
              <w:jc w:val="center"/>
              <w:rPr>
                <w:b/>
                <w:bCs/>
                <w:szCs w:val="21"/>
              </w:rPr>
            </w:pPr>
            <w:r>
              <w:rPr>
                <w:b/>
                <w:bCs/>
                <w:szCs w:val="21"/>
              </w:rPr>
              <w:t>2月</w:t>
            </w:r>
          </w:p>
        </w:tc>
        <w:tc>
          <w:tcPr>
            <w:tcW w:w="2831" w:type="dxa"/>
          </w:tcPr>
          <w:p>
            <w:pPr>
              <w:jc w:val="center"/>
              <w:rPr>
                <w:szCs w:val="21"/>
              </w:rPr>
            </w:pPr>
            <w:r>
              <w:rPr>
                <w:szCs w:val="21"/>
              </w:rPr>
              <w:t>88.6</w:t>
            </w:r>
          </w:p>
        </w:tc>
        <w:tc>
          <w:tcPr>
            <w:tcW w:w="2434" w:type="dxa"/>
          </w:tcPr>
          <w:p>
            <w:pPr>
              <w:jc w:val="center"/>
              <w:rPr>
                <w:szCs w:val="21"/>
              </w:rPr>
            </w:pPr>
            <w:r>
              <w:rPr>
                <w:szCs w:val="21"/>
              </w:rPr>
              <w:t>4.49</w:t>
            </w:r>
          </w:p>
        </w:tc>
        <w:tc>
          <w:tcPr>
            <w:tcW w:w="2224" w:type="dxa"/>
          </w:tcPr>
          <w:p>
            <w:pPr>
              <w:jc w:val="center"/>
              <w:rPr>
                <w:szCs w:val="21"/>
              </w:rPr>
            </w:pPr>
            <w:r>
              <w:rPr>
                <w:szCs w:val="21"/>
              </w:rPr>
              <w:t>6.2</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3月</w:t>
            </w:r>
          </w:p>
        </w:tc>
        <w:tc>
          <w:tcPr>
            <w:tcW w:w="2831" w:type="dxa"/>
            <w:shd w:val="clear" w:color="auto" w:fill="ECECEC" w:themeFill="accent3" w:themeFillTint="33"/>
          </w:tcPr>
          <w:p>
            <w:pPr>
              <w:jc w:val="center"/>
              <w:rPr>
                <w:szCs w:val="21"/>
              </w:rPr>
            </w:pPr>
            <w:r>
              <w:rPr>
                <w:szCs w:val="21"/>
              </w:rPr>
              <w:t>138.7</w:t>
            </w:r>
          </w:p>
        </w:tc>
        <w:tc>
          <w:tcPr>
            <w:tcW w:w="2434" w:type="dxa"/>
            <w:shd w:val="clear" w:color="auto" w:fill="ECECEC" w:themeFill="accent3" w:themeFillTint="33"/>
          </w:tcPr>
          <w:p>
            <w:pPr>
              <w:jc w:val="center"/>
              <w:rPr>
                <w:szCs w:val="21"/>
              </w:rPr>
            </w:pPr>
            <w:r>
              <w:rPr>
                <w:szCs w:val="21"/>
              </w:rPr>
              <w:t>6.85</w:t>
            </w:r>
          </w:p>
        </w:tc>
        <w:tc>
          <w:tcPr>
            <w:tcW w:w="2224" w:type="dxa"/>
            <w:shd w:val="clear" w:color="auto" w:fill="ECECEC" w:themeFill="accent3" w:themeFillTint="33"/>
          </w:tcPr>
          <w:p>
            <w:pPr>
              <w:jc w:val="center"/>
              <w:rPr>
                <w:szCs w:val="21"/>
              </w:rPr>
            </w:pPr>
            <w:r>
              <w:rPr>
                <w:szCs w:val="21"/>
              </w:rPr>
              <w:t>9.5</w:t>
            </w:r>
          </w:p>
        </w:tc>
      </w:tr>
      <w:tr>
        <w:tblPrEx>
          <w:tblCellMar>
            <w:top w:w="0" w:type="dxa"/>
            <w:left w:w="108" w:type="dxa"/>
            <w:bottom w:w="0" w:type="dxa"/>
            <w:right w:w="108" w:type="dxa"/>
          </w:tblCellMar>
        </w:tblPrEx>
        <w:tc>
          <w:tcPr>
            <w:tcW w:w="1583" w:type="dxa"/>
          </w:tcPr>
          <w:p>
            <w:pPr>
              <w:jc w:val="center"/>
              <w:rPr>
                <w:b/>
                <w:bCs/>
                <w:szCs w:val="21"/>
              </w:rPr>
            </w:pPr>
            <w:r>
              <w:rPr>
                <w:b/>
                <w:bCs/>
                <w:szCs w:val="21"/>
              </w:rPr>
              <w:t>4月</w:t>
            </w:r>
          </w:p>
        </w:tc>
        <w:tc>
          <w:tcPr>
            <w:tcW w:w="2831" w:type="dxa"/>
          </w:tcPr>
          <w:p>
            <w:pPr>
              <w:jc w:val="center"/>
              <w:rPr>
                <w:szCs w:val="21"/>
              </w:rPr>
            </w:pPr>
            <w:r>
              <w:rPr>
                <w:szCs w:val="21"/>
              </w:rPr>
              <w:t>159.3</w:t>
            </w:r>
          </w:p>
        </w:tc>
        <w:tc>
          <w:tcPr>
            <w:tcW w:w="2434" w:type="dxa"/>
          </w:tcPr>
          <w:p>
            <w:pPr>
              <w:jc w:val="center"/>
              <w:rPr>
                <w:szCs w:val="21"/>
              </w:rPr>
            </w:pPr>
            <w:r>
              <w:rPr>
                <w:szCs w:val="21"/>
              </w:rPr>
              <w:t>7.48</w:t>
            </w:r>
          </w:p>
        </w:tc>
        <w:tc>
          <w:tcPr>
            <w:tcW w:w="2224" w:type="dxa"/>
          </w:tcPr>
          <w:p>
            <w:pPr>
              <w:jc w:val="center"/>
              <w:rPr>
                <w:szCs w:val="21"/>
              </w:rPr>
            </w:pPr>
            <w:r>
              <w:rPr>
                <w:szCs w:val="21"/>
              </w:rPr>
              <w:t>10.3</w:t>
            </w:r>
          </w:p>
        </w:tc>
      </w:tr>
      <w:tr>
        <w:tc>
          <w:tcPr>
            <w:tcW w:w="1583" w:type="dxa"/>
            <w:shd w:val="clear" w:color="auto" w:fill="ECECEC" w:themeFill="accent3" w:themeFillTint="33"/>
          </w:tcPr>
          <w:p>
            <w:pPr>
              <w:jc w:val="center"/>
              <w:rPr>
                <w:b/>
                <w:bCs/>
                <w:szCs w:val="21"/>
              </w:rPr>
            </w:pPr>
            <w:r>
              <w:rPr>
                <w:b/>
                <w:bCs/>
                <w:szCs w:val="21"/>
              </w:rPr>
              <w:t>5月</w:t>
            </w:r>
          </w:p>
        </w:tc>
        <w:tc>
          <w:tcPr>
            <w:tcW w:w="2831" w:type="dxa"/>
            <w:shd w:val="clear" w:color="auto" w:fill="ECECEC" w:themeFill="accent3" w:themeFillTint="33"/>
          </w:tcPr>
          <w:p>
            <w:pPr>
              <w:jc w:val="center"/>
              <w:rPr>
                <w:szCs w:val="21"/>
              </w:rPr>
            </w:pPr>
            <w:r>
              <w:rPr>
                <w:szCs w:val="21"/>
              </w:rPr>
              <w:t>190.4</w:t>
            </w:r>
          </w:p>
        </w:tc>
        <w:tc>
          <w:tcPr>
            <w:tcW w:w="2434" w:type="dxa"/>
            <w:shd w:val="clear" w:color="auto" w:fill="ECECEC" w:themeFill="accent3" w:themeFillTint="33"/>
          </w:tcPr>
          <w:p>
            <w:pPr>
              <w:jc w:val="center"/>
              <w:rPr>
                <w:szCs w:val="21"/>
              </w:rPr>
            </w:pPr>
            <w:r>
              <w:rPr>
                <w:szCs w:val="21"/>
              </w:rPr>
              <w:t>8.55</w:t>
            </w:r>
          </w:p>
        </w:tc>
        <w:tc>
          <w:tcPr>
            <w:tcW w:w="2224" w:type="dxa"/>
            <w:shd w:val="clear" w:color="auto" w:fill="ECECEC" w:themeFill="accent3" w:themeFillTint="33"/>
          </w:tcPr>
          <w:p>
            <w:pPr>
              <w:jc w:val="center"/>
              <w:rPr>
                <w:szCs w:val="21"/>
              </w:rPr>
            </w:pPr>
            <w:r>
              <w:rPr>
                <w:szCs w:val="21"/>
              </w:rPr>
              <w:t>11.8</w:t>
            </w:r>
          </w:p>
        </w:tc>
      </w:tr>
      <w:tr>
        <w:tblPrEx>
          <w:tblCellMar>
            <w:top w:w="0" w:type="dxa"/>
            <w:left w:w="108" w:type="dxa"/>
            <w:bottom w:w="0" w:type="dxa"/>
            <w:right w:w="108" w:type="dxa"/>
          </w:tblCellMar>
        </w:tblPrEx>
        <w:tc>
          <w:tcPr>
            <w:tcW w:w="1583" w:type="dxa"/>
          </w:tcPr>
          <w:p>
            <w:pPr>
              <w:jc w:val="center"/>
              <w:rPr>
                <w:b/>
                <w:bCs/>
                <w:szCs w:val="21"/>
              </w:rPr>
            </w:pPr>
            <w:r>
              <w:rPr>
                <w:b/>
                <w:bCs/>
                <w:szCs w:val="21"/>
              </w:rPr>
              <w:t>6月</w:t>
            </w:r>
          </w:p>
        </w:tc>
        <w:tc>
          <w:tcPr>
            <w:tcW w:w="2831" w:type="dxa"/>
          </w:tcPr>
          <w:p>
            <w:pPr>
              <w:jc w:val="center"/>
              <w:rPr>
                <w:szCs w:val="21"/>
              </w:rPr>
            </w:pPr>
            <w:r>
              <w:rPr>
                <w:szCs w:val="21"/>
              </w:rPr>
              <w:t>187.9</w:t>
            </w:r>
          </w:p>
        </w:tc>
        <w:tc>
          <w:tcPr>
            <w:tcW w:w="2434" w:type="dxa"/>
          </w:tcPr>
          <w:p>
            <w:pPr>
              <w:jc w:val="center"/>
              <w:rPr>
                <w:szCs w:val="21"/>
              </w:rPr>
            </w:pPr>
            <w:r>
              <w:rPr>
                <w:szCs w:val="21"/>
              </w:rPr>
              <w:t>8.17</w:t>
            </w:r>
          </w:p>
        </w:tc>
        <w:tc>
          <w:tcPr>
            <w:tcW w:w="2224" w:type="dxa"/>
          </w:tcPr>
          <w:p>
            <w:pPr>
              <w:jc w:val="center"/>
              <w:rPr>
                <w:szCs w:val="21"/>
              </w:rPr>
            </w:pPr>
            <w:r>
              <w:rPr>
                <w:szCs w:val="21"/>
              </w:rPr>
              <w:t>11.3</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7月</w:t>
            </w:r>
          </w:p>
        </w:tc>
        <w:tc>
          <w:tcPr>
            <w:tcW w:w="2831" w:type="dxa"/>
            <w:shd w:val="clear" w:color="auto" w:fill="ECECEC" w:themeFill="accent3" w:themeFillTint="33"/>
          </w:tcPr>
          <w:p>
            <w:pPr>
              <w:jc w:val="center"/>
              <w:rPr>
                <w:szCs w:val="21"/>
              </w:rPr>
            </w:pPr>
            <w:r>
              <w:rPr>
                <w:szCs w:val="21"/>
              </w:rPr>
              <w:t>158.9</w:t>
            </w:r>
          </w:p>
        </w:tc>
        <w:tc>
          <w:tcPr>
            <w:tcW w:w="2434" w:type="dxa"/>
            <w:shd w:val="clear" w:color="auto" w:fill="ECECEC" w:themeFill="accent3" w:themeFillTint="33"/>
          </w:tcPr>
          <w:p>
            <w:pPr>
              <w:jc w:val="center"/>
              <w:rPr>
                <w:szCs w:val="21"/>
              </w:rPr>
            </w:pPr>
            <w:r>
              <w:rPr>
                <w:szCs w:val="21"/>
              </w:rPr>
              <w:t>6.89</w:t>
            </w:r>
          </w:p>
        </w:tc>
        <w:tc>
          <w:tcPr>
            <w:tcW w:w="2224" w:type="dxa"/>
            <w:shd w:val="clear" w:color="auto" w:fill="ECECEC" w:themeFill="accent3" w:themeFillTint="33"/>
          </w:tcPr>
          <w:p>
            <w:pPr>
              <w:jc w:val="center"/>
              <w:rPr>
                <w:szCs w:val="21"/>
              </w:rPr>
            </w:pPr>
            <w:r>
              <w:rPr>
                <w:szCs w:val="21"/>
              </w:rPr>
              <w:t>9.5</w:t>
            </w:r>
          </w:p>
        </w:tc>
      </w:tr>
      <w:tr>
        <w:tblPrEx>
          <w:tblCellMar>
            <w:top w:w="0" w:type="dxa"/>
            <w:left w:w="108" w:type="dxa"/>
            <w:bottom w:w="0" w:type="dxa"/>
            <w:right w:w="108" w:type="dxa"/>
          </w:tblCellMar>
        </w:tblPrEx>
        <w:tc>
          <w:tcPr>
            <w:tcW w:w="1583" w:type="dxa"/>
          </w:tcPr>
          <w:p>
            <w:pPr>
              <w:jc w:val="center"/>
              <w:rPr>
                <w:b/>
                <w:bCs/>
                <w:szCs w:val="21"/>
              </w:rPr>
            </w:pPr>
            <w:r>
              <w:rPr>
                <w:b/>
                <w:bCs/>
                <w:szCs w:val="21"/>
              </w:rPr>
              <w:t>8月</w:t>
            </w:r>
          </w:p>
        </w:tc>
        <w:tc>
          <w:tcPr>
            <w:tcW w:w="2831" w:type="dxa"/>
          </w:tcPr>
          <w:p>
            <w:pPr>
              <w:jc w:val="center"/>
              <w:rPr>
                <w:szCs w:val="21"/>
              </w:rPr>
            </w:pPr>
            <w:r>
              <w:rPr>
                <w:szCs w:val="21"/>
              </w:rPr>
              <w:t>164.4</w:t>
            </w:r>
          </w:p>
        </w:tc>
        <w:tc>
          <w:tcPr>
            <w:tcW w:w="2434" w:type="dxa"/>
          </w:tcPr>
          <w:p>
            <w:pPr>
              <w:jc w:val="center"/>
              <w:rPr>
                <w:szCs w:val="21"/>
              </w:rPr>
            </w:pPr>
            <w:r>
              <w:rPr>
                <w:szCs w:val="21"/>
              </w:rPr>
              <w:t>7.21</w:t>
            </w:r>
          </w:p>
        </w:tc>
        <w:tc>
          <w:tcPr>
            <w:tcW w:w="2224" w:type="dxa"/>
          </w:tcPr>
          <w:p>
            <w:pPr>
              <w:jc w:val="center"/>
              <w:rPr>
                <w:szCs w:val="21"/>
              </w:rPr>
            </w:pPr>
            <w:r>
              <w:rPr>
                <w:szCs w:val="21"/>
              </w:rPr>
              <w:t>10.0</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9月</w:t>
            </w:r>
          </w:p>
        </w:tc>
        <w:tc>
          <w:tcPr>
            <w:tcW w:w="2831" w:type="dxa"/>
            <w:shd w:val="clear" w:color="auto" w:fill="ECECEC" w:themeFill="accent3" w:themeFillTint="33"/>
          </w:tcPr>
          <w:p>
            <w:pPr>
              <w:jc w:val="center"/>
              <w:rPr>
                <w:szCs w:val="21"/>
              </w:rPr>
            </w:pPr>
            <w:r>
              <w:rPr>
                <w:szCs w:val="21"/>
              </w:rPr>
              <w:t>146.5</w:t>
            </w:r>
          </w:p>
        </w:tc>
        <w:tc>
          <w:tcPr>
            <w:tcW w:w="2434" w:type="dxa"/>
            <w:shd w:val="clear" w:color="auto" w:fill="ECECEC" w:themeFill="accent3" w:themeFillTint="33"/>
          </w:tcPr>
          <w:p>
            <w:pPr>
              <w:jc w:val="center"/>
              <w:rPr>
                <w:szCs w:val="21"/>
              </w:rPr>
            </w:pPr>
            <w:r>
              <w:rPr>
                <w:szCs w:val="21"/>
              </w:rPr>
              <w:t>6.58</w:t>
            </w:r>
          </w:p>
        </w:tc>
        <w:tc>
          <w:tcPr>
            <w:tcW w:w="2224" w:type="dxa"/>
            <w:shd w:val="clear" w:color="auto" w:fill="ECECEC" w:themeFill="accent3" w:themeFillTint="33"/>
          </w:tcPr>
          <w:p>
            <w:pPr>
              <w:jc w:val="center"/>
              <w:rPr>
                <w:szCs w:val="21"/>
              </w:rPr>
            </w:pPr>
            <w:r>
              <w:rPr>
                <w:szCs w:val="21"/>
              </w:rPr>
              <w:t>9.1</w:t>
            </w:r>
          </w:p>
        </w:tc>
      </w:tr>
      <w:tr>
        <w:tblPrEx>
          <w:tblCellMar>
            <w:top w:w="0" w:type="dxa"/>
            <w:left w:w="108" w:type="dxa"/>
            <w:bottom w:w="0" w:type="dxa"/>
            <w:right w:w="108" w:type="dxa"/>
          </w:tblCellMar>
        </w:tblPrEx>
        <w:tc>
          <w:tcPr>
            <w:tcW w:w="1583" w:type="dxa"/>
          </w:tcPr>
          <w:p>
            <w:pPr>
              <w:jc w:val="center"/>
              <w:rPr>
                <w:b/>
                <w:bCs/>
                <w:szCs w:val="21"/>
              </w:rPr>
            </w:pPr>
            <w:r>
              <w:rPr>
                <w:b/>
                <w:bCs/>
                <w:szCs w:val="21"/>
              </w:rPr>
              <w:t>10月</w:t>
            </w:r>
          </w:p>
        </w:tc>
        <w:tc>
          <w:tcPr>
            <w:tcW w:w="2831" w:type="dxa"/>
          </w:tcPr>
          <w:p>
            <w:pPr>
              <w:jc w:val="center"/>
              <w:rPr>
                <w:szCs w:val="21"/>
              </w:rPr>
            </w:pPr>
            <w:r>
              <w:rPr>
                <w:szCs w:val="21"/>
              </w:rPr>
              <w:t>121.5</w:t>
            </w:r>
          </w:p>
        </w:tc>
        <w:tc>
          <w:tcPr>
            <w:tcW w:w="2434" w:type="dxa"/>
          </w:tcPr>
          <w:p>
            <w:pPr>
              <w:jc w:val="center"/>
              <w:rPr>
                <w:szCs w:val="21"/>
              </w:rPr>
            </w:pPr>
            <w:r>
              <w:rPr>
                <w:szCs w:val="21"/>
              </w:rPr>
              <w:t>5.73</w:t>
            </w:r>
          </w:p>
        </w:tc>
        <w:tc>
          <w:tcPr>
            <w:tcW w:w="2224" w:type="dxa"/>
          </w:tcPr>
          <w:p>
            <w:pPr>
              <w:jc w:val="center"/>
              <w:rPr>
                <w:szCs w:val="21"/>
              </w:rPr>
            </w:pPr>
            <w:r>
              <w:rPr>
                <w:szCs w:val="21"/>
              </w:rPr>
              <w:t>7.9</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11月</w:t>
            </w:r>
          </w:p>
        </w:tc>
        <w:tc>
          <w:tcPr>
            <w:tcW w:w="2831" w:type="dxa"/>
            <w:shd w:val="clear" w:color="auto" w:fill="ECECEC" w:themeFill="accent3" w:themeFillTint="33"/>
          </w:tcPr>
          <w:p>
            <w:pPr>
              <w:jc w:val="center"/>
              <w:rPr>
                <w:szCs w:val="21"/>
              </w:rPr>
            </w:pPr>
            <w:r>
              <w:rPr>
                <w:szCs w:val="21"/>
              </w:rPr>
              <w:t>74.2</w:t>
            </w:r>
          </w:p>
        </w:tc>
        <w:tc>
          <w:tcPr>
            <w:tcW w:w="2434" w:type="dxa"/>
            <w:shd w:val="clear" w:color="auto" w:fill="ECECEC" w:themeFill="accent3" w:themeFillTint="33"/>
          </w:tcPr>
          <w:p>
            <w:pPr>
              <w:jc w:val="center"/>
              <w:rPr>
                <w:szCs w:val="21"/>
              </w:rPr>
            </w:pPr>
            <w:r>
              <w:rPr>
                <w:szCs w:val="21"/>
              </w:rPr>
              <w:t>3.70</w:t>
            </w:r>
          </w:p>
        </w:tc>
        <w:tc>
          <w:tcPr>
            <w:tcW w:w="2224" w:type="dxa"/>
            <w:shd w:val="clear" w:color="auto" w:fill="ECECEC" w:themeFill="accent3" w:themeFillTint="33"/>
          </w:tcPr>
          <w:p>
            <w:pPr>
              <w:jc w:val="center"/>
              <w:rPr>
                <w:szCs w:val="21"/>
              </w:rPr>
            </w:pPr>
            <w:r>
              <w:rPr>
                <w:szCs w:val="21"/>
              </w:rPr>
              <w:t>5.1</w:t>
            </w:r>
          </w:p>
        </w:tc>
      </w:tr>
      <w:tr>
        <w:tblPrEx>
          <w:tblCellMar>
            <w:top w:w="0" w:type="dxa"/>
            <w:left w:w="108" w:type="dxa"/>
            <w:bottom w:w="0" w:type="dxa"/>
            <w:right w:w="108" w:type="dxa"/>
          </w:tblCellMar>
        </w:tblPrEx>
        <w:tc>
          <w:tcPr>
            <w:tcW w:w="1583" w:type="dxa"/>
          </w:tcPr>
          <w:p>
            <w:pPr>
              <w:jc w:val="center"/>
              <w:rPr>
                <w:b/>
                <w:bCs/>
                <w:szCs w:val="21"/>
              </w:rPr>
            </w:pPr>
            <w:r>
              <w:rPr>
                <w:b/>
                <w:bCs/>
                <w:szCs w:val="21"/>
              </w:rPr>
              <w:t>12月</w:t>
            </w:r>
          </w:p>
        </w:tc>
        <w:tc>
          <w:tcPr>
            <w:tcW w:w="2831" w:type="dxa"/>
          </w:tcPr>
          <w:p>
            <w:pPr>
              <w:jc w:val="center"/>
              <w:rPr>
                <w:szCs w:val="21"/>
              </w:rPr>
            </w:pPr>
            <w:r>
              <w:rPr>
                <w:szCs w:val="21"/>
              </w:rPr>
              <w:t>61.9</w:t>
            </w:r>
          </w:p>
        </w:tc>
        <w:tc>
          <w:tcPr>
            <w:tcW w:w="2434" w:type="dxa"/>
          </w:tcPr>
          <w:p>
            <w:pPr>
              <w:jc w:val="center"/>
              <w:rPr>
                <w:szCs w:val="21"/>
              </w:rPr>
            </w:pPr>
            <w:r>
              <w:rPr>
                <w:szCs w:val="21"/>
              </w:rPr>
              <w:t>3.15</w:t>
            </w:r>
          </w:p>
        </w:tc>
        <w:tc>
          <w:tcPr>
            <w:tcW w:w="2224" w:type="dxa"/>
          </w:tcPr>
          <w:p>
            <w:pPr>
              <w:jc w:val="center"/>
              <w:rPr>
                <w:szCs w:val="21"/>
              </w:rPr>
            </w:pPr>
            <w:r>
              <w:rPr>
                <w:szCs w:val="21"/>
              </w:rPr>
              <w:t>4.4</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全年</w:t>
            </w:r>
          </w:p>
        </w:tc>
        <w:tc>
          <w:tcPr>
            <w:tcW w:w="2831" w:type="dxa"/>
            <w:shd w:val="clear" w:color="auto" w:fill="ECECEC" w:themeFill="accent3" w:themeFillTint="33"/>
          </w:tcPr>
          <w:p>
            <w:pPr>
              <w:jc w:val="center"/>
              <w:rPr>
                <w:szCs w:val="21"/>
              </w:rPr>
            </w:pPr>
            <w:r>
              <w:rPr>
                <w:szCs w:val="21"/>
              </w:rPr>
              <w:t>1562.4</w:t>
            </w:r>
          </w:p>
        </w:tc>
        <w:tc>
          <w:tcPr>
            <w:tcW w:w="2434" w:type="dxa"/>
            <w:shd w:val="clear" w:color="auto" w:fill="ECECEC" w:themeFill="accent3" w:themeFillTint="33"/>
          </w:tcPr>
          <w:p>
            <w:pPr>
              <w:jc w:val="center"/>
              <w:rPr>
                <w:szCs w:val="21"/>
              </w:rPr>
            </w:pPr>
            <w:r>
              <w:rPr>
                <w:szCs w:val="21"/>
              </w:rPr>
              <w:t>72.3788</w:t>
            </w:r>
          </w:p>
        </w:tc>
        <w:tc>
          <w:tcPr>
            <w:tcW w:w="2224" w:type="dxa"/>
            <w:shd w:val="clear" w:color="auto" w:fill="ECECEC" w:themeFill="accent3" w:themeFillTint="33"/>
          </w:tcPr>
          <w:p>
            <w:pPr>
              <w:jc w:val="center"/>
              <w:rPr>
                <w:szCs w:val="21"/>
              </w:rPr>
            </w:pPr>
            <w:r>
              <w:rPr>
                <w:szCs w:val="21"/>
              </w:rPr>
              <w:t>100</w:t>
            </w:r>
          </w:p>
        </w:tc>
      </w:tr>
      <w:tr>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pPr>
              <w:jc w:val="center"/>
              <w:rPr>
                <w:b w:val="0"/>
                <w:bCs/>
                <w:color w:val="FFFFFF" w:themeColor="background1"/>
                <w:sz w:val="22"/>
                <w:szCs w:val="21"/>
              </w:rPr>
            </w:pPr>
            <w:r>
              <w:rPr>
                <w:b/>
                <w:bCs/>
                <w:sz w:val="24"/>
                <w:szCs w:val="21"/>
              </w:rPr>
              <w:t>年总发电量</w:t>
            </w:r>
          </w:p>
        </w:tc>
        <w:tc>
          <w:tcPr>
            <w:tcW w:w="7489" w:type="dxa"/>
            <w:gridSpan w:val="3"/>
            <w:shd w:val="clear" w:color="auto" w:fill="E65100"/>
            <w:vAlign w:val="center"/>
          </w:tcPr>
          <w:p>
            <w:pPr>
              <w:jc w:val="center"/>
              <w:rPr>
                <w:b/>
                <w:color w:val="FFFFFF" w:themeColor="background1"/>
                <w:sz w:val="22"/>
                <w:szCs w:val="21"/>
              </w:rPr>
            </w:pPr>
            <w:r>
              <w:rPr>
                <w:b/>
                <w:color w:val="FFFFFF" w:themeColor="background1"/>
                <w:sz w:val="24"/>
                <w:szCs w:val="21"/>
              </w:rPr>
              <w:t>72.4MWh</w:t>
            </w:r>
          </w:p>
        </w:tc>
      </w:tr>
      <w:bookmarkEnd w:id="72"/>
    </w:tbl>
    <w:p>
      <w:pPr>
        <w:pStyle w:val="3"/>
        <w:jc w:val="center"/>
      </w:pPr>
    </w:p>
    <w:p>
      <w:pPr>
        <w:pStyle w:val="3"/>
        <w:jc w:val="center"/>
      </w:pPr>
      <w:bookmarkStart w:id="73" w:name="光伏发电彩图"/>
      <w:bookmarkEnd w:id="73"/>
      <w:r>
        <w:t>请选择光伏计算结果输出[彩图输出]选项，软件会生成对应光伏发电彩图！</w:t>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9</w:t>
      </w:r>
      <w:r>
        <w:fldChar w:fldCharType="end"/>
      </w:r>
      <w:r>
        <w:rPr>
          <w:rFonts w:hint="eastAsia"/>
        </w:rPr>
        <w:t>光伏发电彩图</w:t>
      </w:r>
    </w:p>
    <w:p>
      <w:pPr>
        <w:spacing w:before="240"/>
        <w:jc w:val="center"/>
      </w:pPr>
      <w:bookmarkStart w:id="74" w:name="太阳能总辐照量图"/>
      <w:bookmarkEnd w:id="74"/>
      <w:bookmarkStart w:id="75" w:name="光伏板接收太阳能总辐照量图"/>
      <w:bookmarkEnd w:id="75"/>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10</w:t>
      </w:r>
      <w:r>
        <w:fldChar w:fldCharType="end"/>
      </w:r>
      <w:r>
        <w:rPr>
          <w:rFonts w:hint="eastAsia"/>
        </w:rPr>
        <w:t>光伏板接收太阳能总辐照量图</w:t>
      </w:r>
    </w:p>
    <w:p>
      <w:pPr>
        <w:spacing w:before="240"/>
        <w:jc w:val="center"/>
      </w:pPr>
      <w:bookmarkStart w:id="76" w:name="交流发电量图"/>
      <w:bookmarkEnd w:id="76"/>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r>
        <w:rPr>
          <w:rFonts w:hint="eastAsia"/>
        </w:rPr>
        <w:t>首年交流发电量图</w:t>
      </w:r>
    </w:p>
    <w:p>
      <w:pPr>
        <w:pStyle w:val="5"/>
      </w:pPr>
      <w:bookmarkStart w:id="77" w:name="_Toc127542304"/>
      <w:bookmarkStart w:id="78" w:name="_Toc5531"/>
      <w:r>
        <w:rPr>
          <w:rFonts w:hint="eastAsia"/>
        </w:rPr>
        <w:t>全周期发电量</w:t>
      </w:r>
      <w:bookmarkEnd w:id="77"/>
      <w:bookmarkEnd w:id="78"/>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9</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第1年</w:t>
            </w:r>
          </w:p>
        </w:tc>
        <w:tc>
          <w:tcPr>
            <w:tcW w:w="2268" w:type="dxa"/>
          </w:tcPr>
          <w:p>
            <w:pPr>
              <w:spacing w:line="360" w:lineRule="exact"/>
              <w:jc w:val="center"/>
              <w:rPr>
                <w:lang w:val="en-US"/>
              </w:rPr>
            </w:pPr>
            <w:r>
              <w:rPr>
                <w:lang w:val="en-US"/>
              </w:rPr>
              <w:t>5</w:t>
            </w:r>
          </w:p>
        </w:tc>
        <w:tc>
          <w:tcPr>
            <w:tcW w:w="2268" w:type="dxa"/>
          </w:tcPr>
          <w:p>
            <w:pPr>
              <w:spacing w:line="360" w:lineRule="exact"/>
              <w:jc w:val="center"/>
              <w:rPr>
                <w:lang w:val="en-US"/>
              </w:rPr>
            </w:pPr>
            <w:r>
              <w:rPr>
                <w:lang w:val="en-US"/>
              </w:rPr>
              <w:t>72.38</w:t>
            </w:r>
          </w:p>
        </w:tc>
        <w:tc>
          <w:tcPr>
            <w:tcW w:w="2268" w:type="dxa"/>
          </w:tcPr>
          <w:p>
            <w:pPr>
              <w:spacing w:line="360" w:lineRule="exact"/>
              <w:jc w:val="center"/>
              <w:rPr>
                <w:lang w:val="en-US"/>
              </w:rPr>
            </w:pPr>
            <w:r>
              <w:rPr>
                <w:lang w:val="en-US"/>
              </w:rPr>
              <w:t>1313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68.76</w:t>
            </w:r>
          </w:p>
        </w:tc>
        <w:tc>
          <w:tcPr>
            <w:tcW w:w="2268" w:type="dxa"/>
            <w:shd w:val="clear" w:color="auto" w:fill="F2F2F2"/>
          </w:tcPr>
          <w:p>
            <w:pPr>
              <w:spacing w:line="360" w:lineRule="exact"/>
              <w:jc w:val="center"/>
              <w:rPr>
                <w:lang w:val="en-US"/>
              </w:rPr>
            </w:pPr>
            <w:r>
              <w:rPr>
                <w:lang w:val="en-US"/>
              </w:rPr>
              <w:t>1247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68.28</w:t>
            </w:r>
          </w:p>
        </w:tc>
        <w:tc>
          <w:tcPr>
            <w:tcW w:w="2268" w:type="dxa"/>
          </w:tcPr>
          <w:p>
            <w:pPr>
              <w:spacing w:line="360" w:lineRule="exact"/>
              <w:jc w:val="center"/>
              <w:rPr>
                <w:lang w:val="en-US"/>
              </w:rPr>
            </w:pPr>
            <w:r>
              <w:rPr>
                <w:lang w:val="en-US"/>
              </w:rPr>
              <w:t>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67.80</w:t>
            </w:r>
          </w:p>
        </w:tc>
        <w:tc>
          <w:tcPr>
            <w:tcW w:w="2268" w:type="dxa"/>
            <w:shd w:val="clear" w:color="auto" w:fill="F2F2F2"/>
          </w:tcPr>
          <w:p>
            <w:pPr>
              <w:spacing w:line="360" w:lineRule="exact"/>
              <w:jc w:val="center"/>
              <w:rPr>
                <w:lang w:val="en-US"/>
              </w:rPr>
            </w:pPr>
            <w:r>
              <w:rPr>
                <w:lang w:val="en-US"/>
              </w:rPr>
              <w:t>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67.33</w:t>
            </w:r>
          </w:p>
        </w:tc>
        <w:tc>
          <w:tcPr>
            <w:tcW w:w="2268" w:type="dxa"/>
          </w:tcPr>
          <w:p>
            <w:pPr>
              <w:spacing w:line="360" w:lineRule="exact"/>
              <w:jc w:val="center"/>
              <w:rPr>
                <w:lang w:val="en-US"/>
              </w:rPr>
            </w:pPr>
            <w:r>
              <w:rPr>
                <w:lang w:val="en-US"/>
              </w:rPr>
              <w:t>1221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66.85</w:t>
            </w:r>
          </w:p>
        </w:tc>
        <w:tc>
          <w:tcPr>
            <w:tcW w:w="2268" w:type="dxa"/>
            <w:shd w:val="clear" w:color="auto" w:fill="F2F2F2"/>
          </w:tcPr>
          <w:p>
            <w:pPr>
              <w:spacing w:line="360" w:lineRule="exact"/>
              <w:jc w:val="center"/>
              <w:rPr>
                <w:lang w:val="en-US"/>
              </w:rPr>
            </w:pPr>
            <w:r>
              <w:rPr>
                <w:lang w:val="en-US"/>
              </w:rPr>
              <w:t>1213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66.39</w:t>
            </w:r>
          </w:p>
        </w:tc>
        <w:tc>
          <w:tcPr>
            <w:tcW w:w="2268" w:type="dxa"/>
          </w:tcPr>
          <w:p>
            <w:pPr>
              <w:spacing w:line="360" w:lineRule="exact"/>
              <w:jc w:val="center"/>
              <w:rPr>
                <w:lang w:val="en-US"/>
              </w:rPr>
            </w:pPr>
            <w:r>
              <w:rPr>
                <w:lang w:val="en-US"/>
              </w:rPr>
              <w:t>1204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65.92</w:t>
            </w:r>
          </w:p>
        </w:tc>
        <w:tc>
          <w:tcPr>
            <w:tcW w:w="2268" w:type="dxa"/>
            <w:shd w:val="clear" w:color="auto" w:fill="F2F2F2"/>
          </w:tcPr>
          <w:p>
            <w:pPr>
              <w:spacing w:line="360" w:lineRule="exact"/>
              <w:jc w:val="center"/>
              <w:rPr>
                <w:lang w:val="en-US"/>
              </w:rPr>
            </w:pPr>
            <w:r>
              <w:rPr>
                <w:lang w:val="en-US"/>
              </w:rPr>
              <w:t>1196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65.46</w:t>
            </w:r>
          </w:p>
        </w:tc>
        <w:tc>
          <w:tcPr>
            <w:tcW w:w="2268" w:type="dxa"/>
          </w:tcPr>
          <w:p>
            <w:pPr>
              <w:spacing w:line="360" w:lineRule="exact"/>
              <w:jc w:val="center"/>
              <w:rPr>
                <w:lang w:val="en-US"/>
              </w:rPr>
            </w:pPr>
            <w:r>
              <w:rPr>
                <w:lang w:val="en-US"/>
              </w:rPr>
              <w:t>1188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65.00</w:t>
            </w:r>
          </w:p>
        </w:tc>
        <w:tc>
          <w:tcPr>
            <w:tcW w:w="2268" w:type="dxa"/>
            <w:shd w:val="clear" w:color="auto" w:fill="F2F2F2"/>
          </w:tcPr>
          <w:p>
            <w:pPr>
              <w:spacing w:line="360" w:lineRule="exact"/>
              <w:jc w:val="center"/>
              <w:rPr>
                <w:lang w:val="en-US"/>
              </w:rPr>
            </w:pPr>
            <w:r>
              <w:rPr>
                <w:lang w:val="en-US"/>
              </w:rPr>
              <w:t>1179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64.55</w:t>
            </w:r>
          </w:p>
        </w:tc>
        <w:tc>
          <w:tcPr>
            <w:tcW w:w="2268" w:type="dxa"/>
          </w:tcPr>
          <w:p>
            <w:pPr>
              <w:spacing w:line="360" w:lineRule="exact"/>
              <w:jc w:val="center"/>
              <w:rPr>
                <w:lang w:val="en-US"/>
              </w:rPr>
            </w:pPr>
            <w:r>
              <w:rPr>
                <w:lang w:val="en-US"/>
              </w:rPr>
              <w:t>1171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64.10</w:t>
            </w:r>
          </w:p>
        </w:tc>
        <w:tc>
          <w:tcPr>
            <w:tcW w:w="2268" w:type="dxa"/>
            <w:shd w:val="clear" w:color="auto" w:fill="F2F2F2"/>
          </w:tcPr>
          <w:p>
            <w:pPr>
              <w:spacing w:line="360" w:lineRule="exact"/>
              <w:jc w:val="center"/>
              <w:rPr>
                <w:lang w:val="en-US"/>
              </w:rPr>
            </w:pPr>
            <w:r>
              <w:rPr>
                <w:lang w:val="en-US"/>
              </w:rPr>
              <w:t>1163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63.65</w:t>
            </w:r>
          </w:p>
        </w:tc>
        <w:tc>
          <w:tcPr>
            <w:tcW w:w="2268" w:type="dxa"/>
          </w:tcPr>
          <w:p>
            <w:pPr>
              <w:spacing w:line="360" w:lineRule="exact"/>
              <w:jc w:val="center"/>
              <w:rPr>
                <w:lang w:val="en-US"/>
              </w:rPr>
            </w:pPr>
            <w:r>
              <w:rPr>
                <w:lang w:val="en-US"/>
              </w:rPr>
              <w:t>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63.20</w:t>
            </w:r>
          </w:p>
        </w:tc>
        <w:tc>
          <w:tcPr>
            <w:tcW w:w="2268" w:type="dxa"/>
            <w:shd w:val="clear" w:color="auto" w:fill="F2F2F2"/>
          </w:tcPr>
          <w:p>
            <w:pPr>
              <w:spacing w:line="360" w:lineRule="exact"/>
              <w:jc w:val="center"/>
              <w:rPr>
                <w:lang w:val="en-US"/>
              </w:rPr>
            </w:pPr>
            <w:r>
              <w:rPr>
                <w:lang w:val="en-US"/>
              </w:rPr>
              <w:t>1147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62.76</w:t>
            </w:r>
          </w:p>
        </w:tc>
        <w:tc>
          <w:tcPr>
            <w:tcW w:w="2268" w:type="dxa"/>
          </w:tcPr>
          <w:p>
            <w:pPr>
              <w:spacing w:line="360" w:lineRule="exact"/>
              <w:jc w:val="center"/>
              <w:rPr>
                <w:lang w:val="en-US"/>
              </w:rPr>
            </w:pPr>
            <w:r>
              <w:rPr>
                <w:lang w:val="en-US"/>
              </w:rPr>
              <w:t>1139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62.32</w:t>
            </w:r>
          </w:p>
        </w:tc>
        <w:tc>
          <w:tcPr>
            <w:tcW w:w="2268" w:type="dxa"/>
            <w:shd w:val="clear" w:color="auto" w:fill="F2F2F2"/>
          </w:tcPr>
          <w:p>
            <w:pPr>
              <w:spacing w:line="360" w:lineRule="exact"/>
              <w:jc w:val="center"/>
              <w:rPr>
                <w:lang w:val="en-US"/>
              </w:rPr>
            </w:pPr>
            <w:r>
              <w:rPr>
                <w:lang w:val="en-US"/>
              </w:rPr>
              <w:t>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61.88</w:t>
            </w:r>
          </w:p>
        </w:tc>
        <w:tc>
          <w:tcPr>
            <w:tcW w:w="2268" w:type="dxa"/>
          </w:tcPr>
          <w:p>
            <w:pPr>
              <w:spacing w:line="360" w:lineRule="exact"/>
              <w:jc w:val="center"/>
              <w:rPr>
                <w:lang w:val="en-US"/>
              </w:rPr>
            </w:pPr>
            <w:r>
              <w:rPr>
                <w:lang w:val="en-US"/>
              </w:rPr>
              <w:t>1123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61.45</w:t>
            </w:r>
          </w:p>
        </w:tc>
        <w:tc>
          <w:tcPr>
            <w:tcW w:w="2268" w:type="dxa"/>
            <w:shd w:val="clear" w:color="auto" w:fill="F2F2F2"/>
          </w:tcPr>
          <w:p>
            <w:pPr>
              <w:spacing w:line="360" w:lineRule="exact"/>
              <w:jc w:val="center"/>
              <w:rPr>
                <w:lang w:val="en-US"/>
              </w:rPr>
            </w:pPr>
            <w:r>
              <w:rPr>
                <w:lang w:val="en-US"/>
              </w:rPr>
              <w:t>1115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61.02</w:t>
            </w:r>
          </w:p>
        </w:tc>
        <w:tc>
          <w:tcPr>
            <w:tcW w:w="2268" w:type="dxa"/>
          </w:tcPr>
          <w:p>
            <w:pPr>
              <w:spacing w:line="360" w:lineRule="exact"/>
              <w:jc w:val="center"/>
              <w:rPr>
                <w:lang w:val="en-US"/>
              </w:rPr>
            </w:pPr>
            <w:r>
              <w:rPr>
                <w:lang w:val="en-US"/>
              </w:rPr>
              <w:t>1107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60.59</w:t>
            </w:r>
          </w:p>
        </w:tc>
        <w:tc>
          <w:tcPr>
            <w:tcW w:w="2268" w:type="dxa"/>
            <w:shd w:val="clear" w:color="auto" w:fill="F2F2F2"/>
          </w:tcPr>
          <w:p>
            <w:pPr>
              <w:spacing w:line="360" w:lineRule="exact"/>
              <w:jc w:val="center"/>
              <w:rPr>
                <w:lang w:val="en-US"/>
              </w:rPr>
            </w:pPr>
            <w:r>
              <w:rPr>
                <w:lang w:val="en-US"/>
              </w:rPr>
              <w:t>1099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60.17</w:t>
            </w:r>
          </w:p>
        </w:tc>
        <w:tc>
          <w:tcPr>
            <w:tcW w:w="2268" w:type="dxa"/>
          </w:tcPr>
          <w:p>
            <w:pPr>
              <w:spacing w:line="360" w:lineRule="exact"/>
              <w:jc w:val="center"/>
              <w:rPr>
                <w:lang w:val="en-US"/>
              </w:rPr>
            </w:pPr>
            <w:r>
              <w:rPr>
                <w:lang w:val="en-US"/>
              </w:rPr>
              <w:t>1092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59.75</w:t>
            </w:r>
          </w:p>
        </w:tc>
        <w:tc>
          <w:tcPr>
            <w:tcW w:w="2268" w:type="dxa"/>
            <w:shd w:val="clear" w:color="auto" w:fill="F2F2F2"/>
          </w:tcPr>
          <w:p>
            <w:pPr>
              <w:spacing w:line="360" w:lineRule="exact"/>
              <w:jc w:val="center"/>
              <w:rPr>
                <w:lang w:val="en-US"/>
              </w:rPr>
            </w:pPr>
            <w:r>
              <w:rPr>
                <w:lang w:val="en-US"/>
              </w:rPr>
              <w:t>1084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59.33</w:t>
            </w:r>
          </w:p>
        </w:tc>
        <w:tc>
          <w:tcPr>
            <w:tcW w:w="2268" w:type="dxa"/>
          </w:tcPr>
          <w:p>
            <w:pPr>
              <w:spacing w:line="360" w:lineRule="exact"/>
              <w:jc w:val="center"/>
              <w:rPr>
                <w:lang w:val="en-US"/>
              </w:rPr>
            </w:pPr>
            <w:r>
              <w:rPr>
                <w:lang w:val="en-US"/>
              </w:rPr>
              <w:t>1076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58.91</w:t>
            </w:r>
          </w:p>
        </w:tc>
        <w:tc>
          <w:tcPr>
            <w:tcW w:w="2268" w:type="dxa"/>
            <w:shd w:val="clear" w:color="auto" w:fill="F2F2F2"/>
          </w:tcPr>
          <w:p>
            <w:pPr>
              <w:spacing w:line="360" w:lineRule="exact"/>
              <w:jc w:val="center"/>
              <w:rPr>
                <w:lang w:val="en-US"/>
              </w:rPr>
            </w:pPr>
            <w:r>
              <w:rPr>
                <w:lang w:val="en-US"/>
              </w:rPr>
              <w:t>1069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58.50</w:t>
            </w:r>
          </w:p>
        </w:tc>
        <w:tc>
          <w:tcPr>
            <w:tcW w:w="2268" w:type="dxa"/>
          </w:tcPr>
          <w:p>
            <w:pPr>
              <w:spacing w:line="360" w:lineRule="exact"/>
              <w:jc w:val="center"/>
              <w:rPr>
                <w:lang w:val="en-US"/>
              </w:rPr>
            </w:pPr>
            <w:r>
              <w:rPr>
                <w:lang w:val="en-US"/>
              </w:rPr>
              <w:t>1061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1596MWh</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28961.3h</w:t>
            </w:r>
          </w:p>
        </w:tc>
      </w:tr>
      <w:bookmarkEnd w:id="79"/>
    </w:tbl>
    <w:p>
      <w:pPr>
        <w:rPr>
          <w:rFonts w:ascii="黑体" w:hAnsi="黑体" w:eastAsia="黑体" w:cs="宋体"/>
          <w:bCs/>
          <w:color w:val="000000"/>
          <w:szCs w:val="18"/>
          <w:lang w:val="en-US"/>
        </w:rPr>
      </w:pPr>
    </w:p>
    <w:p>
      <w:pPr>
        <w:jc w:val="center"/>
        <w:rPr>
          <w:lang w:val="en-US"/>
        </w:rPr>
      </w:pPr>
      <w:bookmarkStart w:id="80" w:name="系统年发电量图"/>
      <w:bookmarkEnd w:id="80"/>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r>
        <w:rPr>
          <w:rFonts w:hint="eastAsia"/>
        </w:rPr>
        <w:t>全周期年发电量</w:t>
      </w:r>
    </w:p>
    <w:p>
      <w:pPr>
        <w:pStyle w:val="2"/>
      </w:pPr>
      <w:bookmarkStart w:id="81" w:name="_Toc4053"/>
      <w:r>
        <w:rPr>
          <w:rFonts w:hint="eastAsia"/>
        </w:rPr>
        <w:t>经济效益分析</w:t>
      </w:r>
      <w:bookmarkEnd w:id="81"/>
    </w:p>
    <w:p>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ascii="黑体" w:hAnsi="黑体" w:cs="宋体"/>
          <w:bCs/>
          <w:color w:val="000000"/>
          <w:szCs w:val="18"/>
          <w:lang w:val="en-US"/>
        </w:rPr>
        <w:t>经济效益分析表</w:t>
      </w:r>
    </w:p>
    <w:tbl>
      <w:tblPr>
        <w:tblStyle w:val="78"/>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1560"/>
        <w:gridCol w:w="2835"/>
        <w:gridCol w:w="179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395" w:type="dxa"/>
            <w:gridSpan w:val="2"/>
            <w:tcBorders>
              <w:top w:val="single" w:color="ED7D31" w:themeColor="accent2" w:sz="4" w:space="0"/>
              <w:bottom w:val="single" w:color="ED7D31" w:themeColor="accent2" w:sz="4" w:space="0"/>
              <w:right w:val="single" w:color="ED7D31" w:themeColor="accent2" w:sz="4" w:space="0"/>
            </w:tcBorders>
            <w:shd w:val="clear" w:color="auto" w:fill="ED7D31" w:themeFill="accent2"/>
          </w:tcPr>
          <w:p>
            <w:pPr>
              <w:jc w:val="center"/>
              <w:rPr>
                <w:rFonts w:ascii="黑体" w:hAnsi="黑体" w:eastAsia="黑体" w:cs="Arial"/>
                <w:b/>
                <w:bCs/>
                <w:color w:val="FFFFFF" w:themeColor="background1"/>
                <w:sz w:val="24"/>
                <w:szCs w:val="24"/>
                <w:lang w:val="en-US"/>
              </w:rPr>
            </w:pPr>
            <w:bookmarkStart w:id="82" w:name="经济效益表" w:colFirst="0" w:colLast="3"/>
            <w:r>
              <w:rPr>
                <w:rFonts w:hint="eastAsia"/>
                <w:b/>
                <w:bCs/>
                <w:color w:val="FFFFFF" w:themeColor="background1"/>
                <w:sz w:val="24"/>
                <w:lang w:val="en-US"/>
              </w:rPr>
              <w:t>成本</w:t>
            </w:r>
          </w:p>
        </w:tc>
        <w:tc>
          <w:tcPr>
            <w:tcW w:w="4633" w:type="dxa"/>
            <w:gridSpan w:val="2"/>
            <w:tcBorders>
              <w:top w:val="single" w:color="ED7D31" w:themeColor="accent2" w:sz="4" w:space="0"/>
              <w:left w:val="single" w:color="ED7D31" w:themeColor="accent2" w:sz="4" w:space="0"/>
              <w:bottom w:val="single" w:color="7E7E7E" w:themeColor="text1" w:themeTint="80" w:sz="4" w:space="0"/>
              <w:insideH w:val="single" w:sz="4" w:space="0"/>
            </w:tcBorders>
            <w:shd w:val="clear" w:color="auto" w:fill="ED7D31" w:themeFill="accent2"/>
          </w:tcPr>
          <w:p>
            <w:pPr>
              <w:jc w:val="center"/>
              <w:rPr>
                <w:rFonts w:ascii="黑体" w:hAnsi="黑体" w:eastAsia="黑体" w:cs="Arial"/>
                <w:b/>
                <w:bCs/>
                <w:color w:val="FFFFFF" w:themeColor="background1"/>
                <w:sz w:val="24"/>
                <w:szCs w:val="24"/>
                <w:lang w:val="en-US"/>
              </w:rPr>
            </w:pPr>
            <w:r>
              <w:rPr>
                <w:rFonts w:hint="eastAsia"/>
                <w:b/>
                <w:bCs/>
                <w:color w:val="FFFFFF" w:themeColor="background1"/>
                <w:sz w:val="24"/>
                <w:lang w:val="en-US"/>
              </w:rPr>
              <w:t>收益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总装机量（kW）</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55.12</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首年发电量（MWh）</w:t>
            </w:r>
          </w:p>
        </w:tc>
        <w:tc>
          <w:tcPr>
            <w:tcW w:w="1798" w:type="dxa"/>
            <w:tcBorders>
              <w:top w:val="single" w:color="7E7E7E" w:themeColor="text1" w:themeTint="80" w:sz="4" w:space="0"/>
              <w:bottom w:val="single" w:color="ED7D31" w:themeColor="accent2" w:sz="4" w:space="0"/>
            </w:tcBorders>
          </w:tcPr>
          <w:p>
            <w:pPr>
              <w:rPr>
                <w:lang w:val="en-US"/>
              </w:rPr>
            </w:pPr>
            <w:r>
              <w:rPr>
                <w:rFonts w:hint="eastAsia"/>
                <w:lang w:val="en-US"/>
              </w:rPr>
              <w:t>72.38</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每瓦成本（元）</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5</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25年发电量（MWh）</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1596.3</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组件占总投资比例(%)</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40</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电价（元/度）</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1</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2835" w:type="dxa"/>
            <w:tcBorders>
              <w:top w:val="single" w:color="ED7D31" w:themeColor="accent2" w:sz="4" w:space="0"/>
              <w:bottom w:val="single" w:color="ED7D31" w:themeColor="accent2" w:sz="4" w:space="0"/>
            </w:tcBorders>
          </w:tcPr>
          <w:p>
            <w:pPr>
              <w:rPr>
                <w:b/>
                <w:bCs/>
                <w:lang w:val="en-US"/>
              </w:rPr>
            </w:pPr>
            <w:r>
              <w:rPr>
                <w:rFonts w:hint="eastAsia"/>
                <w:b/>
                <w:bCs/>
                <w:lang w:val="en-US"/>
              </w:rPr>
              <w:t>总投资（万元）</w:t>
            </w:r>
          </w:p>
        </w:tc>
        <w:tc>
          <w:tcPr>
            <w:tcW w:w="1560" w:type="dxa"/>
            <w:tcBorders>
              <w:top w:val="single" w:color="ED7D31" w:themeColor="accent2" w:sz="4" w:space="0"/>
              <w:bottom w:val="single" w:color="ED7D31" w:themeColor="accent2" w:sz="4" w:space="0"/>
              <w:right w:val="single" w:color="ED7D31" w:themeColor="accent2" w:sz="4" w:space="0"/>
            </w:tcBorders>
          </w:tcPr>
          <w:p>
            <w:pPr>
              <w:rPr>
                <w:b/>
                <w:lang w:val="en-US"/>
              </w:rPr>
            </w:pPr>
            <w:r>
              <w:rPr>
                <w:rFonts w:hint="eastAsia"/>
                <w:b/>
                <w:lang w:val="en-US"/>
              </w:rPr>
              <w:t>68.9</w:t>
            </w:r>
          </w:p>
        </w:tc>
        <w:tc>
          <w:tcPr>
            <w:tcW w:w="2835" w:type="dxa"/>
            <w:tcBorders>
              <w:top w:val="single" w:color="ED7D31" w:themeColor="accent2" w:sz="4" w:space="0"/>
              <w:left w:val="single" w:color="ED7D31" w:themeColor="accent2" w:sz="4" w:space="0"/>
              <w:bottom w:val="single" w:color="ED7D31" w:themeColor="accent2" w:sz="4" w:space="0"/>
            </w:tcBorders>
          </w:tcPr>
          <w:p>
            <w:pPr>
              <w:rPr>
                <w:b/>
                <w:lang w:val="en-US"/>
              </w:rPr>
            </w:pPr>
            <w:r>
              <w:rPr>
                <w:rFonts w:hint="eastAsia"/>
                <w:b/>
                <w:lang w:val="en-US"/>
              </w:rPr>
              <w:t>总收益（万元）</w:t>
            </w:r>
          </w:p>
        </w:tc>
        <w:tc>
          <w:tcPr>
            <w:tcW w:w="1798" w:type="dxa"/>
            <w:tcBorders>
              <w:top w:val="single" w:color="ED7D31" w:themeColor="accent2" w:sz="4" w:space="0"/>
              <w:bottom w:val="single" w:color="ED7D31" w:themeColor="accent2" w:sz="4" w:space="0"/>
            </w:tcBorders>
          </w:tcPr>
          <w:p>
            <w:pPr>
              <w:rPr>
                <w:b/>
                <w:lang w:val="en-US"/>
              </w:rPr>
            </w:pPr>
            <w:r>
              <w:rPr>
                <w:rFonts w:hint="eastAsia"/>
                <w:b/>
                <w:lang w:val="en-US"/>
              </w:rPr>
              <w:t>159.63</w:t>
            </w:r>
          </w:p>
        </w:tc>
      </w:tr>
      <w:bookmarkEnd w:id="82"/>
    </w:tbl>
    <w:p>
      <w:pPr>
        <w:pStyle w:val="15"/>
        <w:spacing w:before="240"/>
        <w:rPr>
          <w:lang w:val="en-US"/>
        </w:rPr>
      </w:pPr>
      <w:r>
        <w:t xml:space="preserve">表 </w:t>
      </w:r>
      <w:r>
        <w:fldChar w:fldCharType="begin"/>
      </w:r>
      <w:r>
        <w:instrText xml:space="preserve"> SEQ 表 \* ARABIC </w:instrText>
      </w:r>
      <w:r>
        <w:fldChar w:fldCharType="separate"/>
      </w:r>
      <w:r>
        <w:t>11</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组件衰减率</w:t>
            </w:r>
          </w:p>
          <w:p>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年发电量</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收益平衡</w:t>
            </w:r>
          </w:p>
          <w:p>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b/>
                <w:bCs/>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-68.9</w:t>
            </w:r>
          </w:p>
        </w:tc>
        <w:tc>
          <w:tcPr>
            <w:tcW w:w="1512" w:type="dxa"/>
          </w:tcPr>
          <w:p>
            <w:pPr>
              <w:spacing w:line="360" w:lineRule="exact"/>
              <w:jc w:val="center"/>
              <w:rPr>
                <w:lang w:val="en-US"/>
              </w:rPr>
            </w:pP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第1年</w:t>
            </w:r>
          </w:p>
        </w:tc>
        <w:tc>
          <w:tcPr>
            <w:tcW w:w="1512" w:type="dxa"/>
            <w:shd w:val="clear" w:color="auto" w:fill="F2F2F2"/>
          </w:tcPr>
          <w:p>
            <w:pPr>
              <w:spacing w:line="360" w:lineRule="exact"/>
              <w:jc w:val="center"/>
              <w:rPr>
                <w:lang w:val="en-US"/>
              </w:rPr>
            </w:pPr>
            <w:r>
              <w:rPr>
                <w:rFonts w:hint="eastAsia"/>
                <w:lang w:val="en-US"/>
              </w:rPr>
              <w:t>5</w:t>
            </w:r>
          </w:p>
        </w:tc>
        <w:tc>
          <w:tcPr>
            <w:tcW w:w="1512" w:type="dxa"/>
            <w:shd w:val="clear" w:color="auto" w:fill="F2F2F2"/>
          </w:tcPr>
          <w:p>
            <w:pPr>
              <w:spacing w:line="360" w:lineRule="exact"/>
              <w:jc w:val="center"/>
              <w:rPr>
                <w:lang w:val="en-US"/>
              </w:rPr>
            </w:pPr>
            <w:r>
              <w:rPr>
                <w:rFonts w:hint="eastAsia"/>
                <w:lang w:val="en-US"/>
              </w:rPr>
              <w:t>72.38</w:t>
            </w:r>
          </w:p>
        </w:tc>
        <w:tc>
          <w:tcPr>
            <w:tcW w:w="1512" w:type="dxa"/>
            <w:shd w:val="clear" w:color="auto" w:fill="F2F2F2"/>
          </w:tcPr>
          <w:p>
            <w:pPr>
              <w:spacing w:line="360" w:lineRule="exact"/>
              <w:jc w:val="center"/>
              <w:rPr>
                <w:lang w:val="en-US"/>
              </w:rPr>
            </w:pPr>
            <w:r>
              <w:rPr>
                <w:rFonts w:hint="eastAsia"/>
                <w:lang w:val="en-US"/>
              </w:rPr>
              <w:t>72379</w:t>
            </w:r>
          </w:p>
        </w:tc>
        <w:tc>
          <w:tcPr>
            <w:tcW w:w="1512" w:type="dxa"/>
            <w:shd w:val="clear" w:color="auto" w:fill="F2F2F2"/>
          </w:tcPr>
          <w:p>
            <w:pPr>
              <w:spacing w:line="360" w:lineRule="exact"/>
              <w:jc w:val="center"/>
              <w:rPr>
                <w:lang w:val="en-US"/>
              </w:rPr>
            </w:pPr>
            <w:r>
              <w:rPr>
                <w:rFonts w:hint="eastAsia"/>
                <w:lang w:val="en-US"/>
              </w:rPr>
              <w:t>-61.66</w:t>
            </w:r>
          </w:p>
        </w:tc>
        <w:tc>
          <w:tcPr>
            <w:tcW w:w="1512" w:type="dxa"/>
            <w:shd w:val="clear" w:color="auto" w:fill="F2F2F2"/>
          </w:tcPr>
          <w:p>
            <w:pPr>
              <w:spacing w:line="360" w:lineRule="exact"/>
              <w:jc w:val="center"/>
              <w:rPr>
                <w:lang w:val="en-US"/>
              </w:rPr>
            </w:pPr>
            <w:r>
              <w:rPr>
                <w:rFonts w:hint="eastAsia"/>
                <w:lang w:val="en-US"/>
              </w:rPr>
              <w:t>1313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68.76</w:t>
            </w:r>
          </w:p>
        </w:tc>
        <w:tc>
          <w:tcPr>
            <w:tcW w:w="1512" w:type="dxa"/>
          </w:tcPr>
          <w:p>
            <w:pPr>
              <w:spacing w:line="360" w:lineRule="exact"/>
              <w:jc w:val="center"/>
              <w:rPr>
                <w:lang w:val="en-US"/>
              </w:rPr>
            </w:pPr>
            <w:r>
              <w:rPr>
                <w:rFonts w:hint="eastAsia"/>
                <w:lang w:val="en-US"/>
              </w:rPr>
              <w:t>68760</w:t>
            </w:r>
          </w:p>
        </w:tc>
        <w:tc>
          <w:tcPr>
            <w:tcW w:w="1512" w:type="dxa"/>
          </w:tcPr>
          <w:p>
            <w:pPr>
              <w:spacing w:line="360" w:lineRule="exact"/>
              <w:jc w:val="center"/>
              <w:rPr>
                <w:lang w:val="en-US"/>
              </w:rPr>
            </w:pPr>
            <w:r>
              <w:rPr>
                <w:rFonts w:hint="eastAsia"/>
                <w:lang w:val="en-US"/>
              </w:rPr>
              <w:t>-54.78</w:t>
            </w:r>
          </w:p>
        </w:tc>
        <w:tc>
          <w:tcPr>
            <w:tcW w:w="1512" w:type="dxa"/>
          </w:tcPr>
          <w:p>
            <w:pPr>
              <w:spacing w:line="360" w:lineRule="exact"/>
              <w:jc w:val="center"/>
              <w:rPr>
                <w:lang w:val="en-US"/>
              </w:rPr>
            </w:pPr>
            <w:r>
              <w:rPr>
                <w:rFonts w:hint="eastAsia"/>
                <w:lang w:val="en-US"/>
              </w:rPr>
              <w:t>1247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68.28</w:t>
            </w:r>
          </w:p>
        </w:tc>
        <w:tc>
          <w:tcPr>
            <w:tcW w:w="1512" w:type="dxa"/>
            <w:shd w:val="clear" w:color="auto" w:fill="F2F2F2"/>
          </w:tcPr>
          <w:p>
            <w:pPr>
              <w:spacing w:line="360" w:lineRule="exact"/>
              <w:jc w:val="center"/>
              <w:rPr>
                <w:lang w:val="en-US"/>
              </w:rPr>
            </w:pPr>
            <w:r>
              <w:rPr>
                <w:rFonts w:hint="eastAsia"/>
                <w:lang w:val="en-US"/>
              </w:rPr>
              <w:t>68279</w:t>
            </w:r>
          </w:p>
        </w:tc>
        <w:tc>
          <w:tcPr>
            <w:tcW w:w="1512" w:type="dxa"/>
            <w:shd w:val="clear" w:color="auto" w:fill="F2F2F2"/>
          </w:tcPr>
          <w:p>
            <w:pPr>
              <w:spacing w:line="360" w:lineRule="exact"/>
              <w:jc w:val="center"/>
              <w:rPr>
                <w:lang w:val="en-US"/>
              </w:rPr>
            </w:pPr>
            <w:r>
              <w:rPr>
                <w:rFonts w:hint="eastAsia"/>
                <w:lang w:val="en-US"/>
              </w:rPr>
              <w:t>-47.95</w:t>
            </w:r>
          </w:p>
        </w:tc>
        <w:tc>
          <w:tcPr>
            <w:tcW w:w="1512" w:type="dxa"/>
            <w:shd w:val="clear" w:color="auto" w:fill="F2F2F2"/>
          </w:tcPr>
          <w:p>
            <w:pPr>
              <w:spacing w:line="360" w:lineRule="exact"/>
              <w:jc w:val="center"/>
              <w:rPr>
                <w:lang w:val="en-US"/>
              </w:rPr>
            </w:pPr>
            <w:r>
              <w:rPr>
                <w:rFonts w:hint="eastAsia"/>
                <w:lang w:val="en-US"/>
              </w:rPr>
              <w:t>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67.80</w:t>
            </w:r>
          </w:p>
        </w:tc>
        <w:tc>
          <w:tcPr>
            <w:tcW w:w="1512" w:type="dxa"/>
          </w:tcPr>
          <w:p>
            <w:pPr>
              <w:spacing w:line="360" w:lineRule="exact"/>
              <w:jc w:val="center"/>
              <w:rPr>
                <w:lang w:val="en-US"/>
              </w:rPr>
            </w:pPr>
            <w:r>
              <w:rPr>
                <w:rFonts w:hint="eastAsia"/>
                <w:lang w:val="en-US"/>
              </w:rPr>
              <w:t>67801</w:t>
            </w:r>
          </w:p>
        </w:tc>
        <w:tc>
          <w:tcPr>
            <w:tcW w:w="1512" w:type="dxa"/>
          </w:tcPr>
          <w:p>
            <w:pPr>
              <w:spacing w:line="360" w:lineRule="exact"/>
              <w:jc w:val="center"/>
              <w:rPr>
                <w:lang w:val="en-US"/>
              </w:rPr>
            </w:pPr>
            <w:r>
              <w:rPr>
                <w:rFonts w:hint="eastAsia"/>
                <w:lang w:val="en-US"/>
              </w:rPr>
              <w:t>-41.17</w:t>
            </w:r>
          </w:p>
        </w:tc>
        <w:tc>
          <w:tcPr>
            <w:tcW w:w="1512" w:type="dxa"/>
          </w:tcPr>
          <w:p>
            <w:pPr>
              <w:spacing w:line="360" w:lineRule="exact"/>
              <w:jc w:val="center"/>
              <w:rPr>
                <w:lang w:val="en-US"/>
              </w:rPr>
            </w:pPr>
            <w:r>
              <w:rPr>
                <w:rFonts w:hint="eastAsia"/>
                <w:lang w:val="en-US"/>
              </w:rPr>
              <w:t>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67.33</w:t>
            </w:r>
          </w:p>
        </w:tc>
        <w:tc>
          <w:tcPr>
            <w:tcW w:w="1512" w:type="dxa"/>
            <w:shd w:val="clear" w:color="auto" w:fill="F2F2F2"/>
          </w:tcPr>
          <w:p>
            <w:pPr>
              <w:spacing w:line="360" w:lineRule="exact"/>
              <w:jc w:val="center"/>
              <w:rPr>
                <w:lang w:val="en-US"/>
              </w:rPr>
            </w:pPr>
            <w:r>
              <w:rPr>
                <w:rFonts w:hint="eastAsia"/>
                <w:lang w:val="en-US"/>
              </w:rPr>
              <w:t>67326</w:t>
            </w:r>
          </w:p>
        </w:tc>
        <w:tc>
          <w:tcPr>
            <w:tcW w:w="1512" w:type="dxa"/>
            <w:shd w:val="clear" w:color="auto" w:fill="F2F2F2"/>
          </w:tcPr>
          <w:p>
            <w:pPr>
              <w:spacing w:line="360" w:lineRule="exact"/>
              <w:jc w:val="center"/>
              <w:rPr>
                <w:lang w:val="en-US"/>
              </w:rPr>
            </w:pPr>
            <w:r>
              <w:rPr>
                <w:rFonts w:hint="eastAsia"/>
                <w:lang w:val="en-US"/>
              </w:rPr>
              <w:t>-34.44</w:t>
            </w:r>
          </w:p>
        </w:tc>
        <w:tc>
          <w:tcPr>
            <w:tcW w:w="1512" w:type="dxa"/>
            <w:shd w:val="clear" w:color="auto" w:fill="F2F2F2"/>
          </w:tcPr>
          <w:p>
            <w:pPr>
              <w:spacing w:line="360" w:lineRule="exact"/>
              <w:jc w:val="center"/>
              <w:rPr>
                <w:lang w:val="en-US"/>
              </w:rPr>
            </w:pPr>
            <w:r>
              <w:rPr>
                <w:rFonts w:hint="eastAsia"/>
                <w:lang w:val="en-US"/>
              </w:rPr>
              <w:t>1221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66.85</w:t>
            </w:r>
          </w:p>
        </w:tc>
        <w:tc>
          <w:tcPr>
            <w:tcW w:w="1512" w:type="dxa"/>
          </w:tcPr>
          <w:p>
            <w:pPr>
              <w:spacing w:line="360" w:lineRule="exact"/>
              <w:jc w:val="center"/>
              <w:rPr>
                <w:lang w:val="en-US"/>
              </w:rPr>
            </w:pPr>
            <w:r>
              <w:rPr>
                <w:rFonts w:hint="eastAsia"/>
                <w:lang w:val="en-US"/>
              </w:rPr>
              <w:t>66855</w:t>
            </w:r>
          </w:p>
        </w:tc>
        <w:tc>
          <w:tcPr>
            <w:tcW w:w="1512" w:type="dxa"/>
          </w:tcPr>
          <w:p>
            <w:pPr>
              <w:spacing w:line="360" w:lineRule="exact"/>
              <w:jc w:val="center"/>
              <w:rPr>
                <w:lang w:val="en-US"/>
              </w:rPr>
            </w:pPr>
            <w:r>
              <w:rPr>
                <w:rFonts w:hint="eastAsia"/>
                <w:lang w:val="en-US"/>
              </w:rPr>
              <w:t>-27.75</w:t>
            </w:r>
          </w:p>
        </w:tc>
        <w:tc>
          <w:tcPr>
            <w:tcW w:w="1512" w:type="dxa"/>
          </w:tcPr>
          <w:p>
            <w:pPr>
              <w:spacing w:line="360" w:lineRule="exact"/>
              <w:jc w:val="center"/>
              <w:rPr>
                <w:lang w:val="en-US"/>
              </w:rPr>
            </w:pPr>
            <w:r>
              <w:rPr>
                <w:rFonts w:hint="eastAsia"/>
                <w:lang w:val="en-US"/>
              </w:rPr>
              <w:t>1213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66.39</w:t>
            </w:r>
          </w:p>
        </w:tc>
        <w:tc>
          <w:tcPr>
            <w:tcW w:w="1512" w:type="dxa"/>
            <w:shd w:val="clear" w:color="auto" w:fill="F2F2F2"/>
          </w:tcPr>
          <w:p>
            <w:pPr>
              <w:spacing w:line="360" w:lineRule="exact"/>
              <w:jc w:val="center"/>
              <w:rPr>
                <w:lang w:val="en-US"/>
              </w:rPr>
            </w:pPr>
            <w:r>
              <w:rPr>
                <w:rFonts w:hint="eastAsia"/>
                <w:lang w:val="en-US"/>
              </w:rPr>
              <w:t>66387</w:t>
            </w:r>
          </w:p>
        </w:tc>
        <w:tc>
          <w:tcPr>
            <w:tcW w:w="1512" w:type="dxa"/>
            <w:shd w:val="clear" w:color="auto" w:fill="F2F2F2"/>
          </w:tcPr>
          <w:p>
            <w:pPr>
              <w:spacing w:line="360" w:lineRule="exact"/>
              <w:jc w:val="center"/>
              <w:rPr>
                <w:lang w:val="en-US"/>
              </w:rPr>
            </w:pPr>
            <w:r>
              <w:rPr>
                <w:rFonts w:hint="eastAsia"/>
                <w:lang w:val="en-US"/>
              </w:rPr>
              <w:t>-21.11</w:t>
            </w:r>
          </w:p>
        </w:tc>
        <w:tc>
          <w:tcPr>
            <w:tcW w:w="1512" w:type="dxa"/>
            <w:shd w:val="clear" w:color="auto" w:fill="F2F2F2"/>
          </w:tcPr>
          <w:p>
            <w:pPr>
              <w:spacing w:line="360" w:lineRule="exact"/>
              <w:jc w:val="center"/>
              <w:rPr>
                <w:lang w:val="en-US"/>
              </w:rPr>
            </w:pPr>
            <w:r>
              <w:rPr>
                <w:rFonts w:hint="eastAsia"/>
                <w:lang w:val="en-US"/>
              </w:rPr>
              <w:t>1204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65.92</w:t>
            </w:r>
          </w:p>
        </w:tc>
        <w:tc>
          <w:tcPr>
            <w:tcW w:w="1512" w:type="dxa"/>
          </w:tcPr>
          <w:p>
            <w:pPr>
              <w:spacing w:line="360" w:lineRule="exact"/>
              <w:jc w:val="center"/>
              <w:rPr>
                <w:lang w:val="en-US"/>
              </w:rPr>
            </w:pPr>
            <w:r>
              <w:rPr>
                <w:rFonts w:hint="eastAsia"/>
                <w:lang w:val="en-US"/>
              </w:rPr>
              <w:t>65922</w:t>
            </w:r>
          </w:p>
        </w:tc>
        <w:tc>
          <w:tcPr>
            <w:tcW w:w="1512" w:type="dxa"/>
          </w:tcPr>
          <w:p>
            <w:pPr>
              <w:spacing w:line="360" w:lineRule="exact"/>
              <w:jc w:val="center"/>
              <w:rPr>
                <w:lang w:val="en-US"/>
              </w:rPr>
            </w:pPr>
            <w:r>
              <w:rPr>
                <w:rFonts w:hint="eastAsia"/>
                <w:lang w:val="en-US"/>
              </w:rPr>
              <w:t>-14.52</w:t>
            </w:r>
          </w:p>
        </w:tc>
        <w:tc>
          <w:tcPr>
            <w:tcW w:w="1512" w:type="dxa"/>
          </w:tcPr>
          <w:p>
            <w:pPr>
              <w:spacing w:line="360" w:lineRule="exact"/>
              <w:jc w:val="center"/>
              <w:rPr>
                <w:lang w:val="en-US"/>
              </w:rPr>
            </w:pPr>
            <w:r>
              <w:rPr>
                <w:rFonts w:hint="eastAsia"/>
                <w:lang w:val="en-US"/>
              </w:rPr>
              <w:t>1196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65.46</w:t>
            </w:r>
          </w:p>
        </w:tc>
        <w:tc>
          <w:tcPr>
            <w:tcW w:w="1512" w:type="dxa"/>
            <w:shd w:val="clear" w:color="auto" w:fill="F2F2F2"/>
          </w:tcPr>
          <w:p>
            <w:pPr>
              <w:spacing w:line="360" w:lineRule="exact"/>
              <w:jc w:val="center"/>
              <w:rPr>
                <w:lang w:val="en-US"/>
              </w:rPr>
            </w:pPr>
            <w:r>
              <w:rPr>
                <w:rFonts w:hint="eastAsia"/>
                <w:lang w:val="en-US"/>
              </w:rPr>
              <w:t>65461</w:t>
            </w:r>
          </w:p>
        </w:tc>
        <w:tc>
          <w:tcPr>
            <w:tcW w:w="1512" w:type="dxa"/>
            <w:shd w:val="clear" w:color="auto" w:fill="F2F2F2"/>
          </w:tcPr>
          <w:p>
            <w:pPr>
              <w:spacing w:line="360" w:lineRule="exact"/>
              <w:jc w:val="center"/>
              <w:rPr>
                <w:lang w:val="en-US"/>
              </w:rPr>
            </w:pPr>
            <w:r>
              <w:rPr>
                <w:rFonts w:hint="eastAsia"/>
                <w:lang w:val="en-US"/>
              </w:rPr>
              <w:t>-7.97</w:t>
            </w:r>
          </w:p>
        </w:tc>
        <w:tc>
          <w:tcPr>
            <w:tcW w:w="1512" w:type="dxa"/>
            <w:shd w:val="clear" w:color="auto" w:fill="F2F2F2"/>
          </w:tcPr>
          <w:p>
            <w:pPr>
              <w:spacing w:line="360" w:lineRule="exact"/>
              <w:jc w:val="center"/>
              <w:rPr>
                <w:lang w:val="en-US"/>
              </w:rPr>
            </w:pPr>
            <w:r>
              <w:rPr>
                <w:rFonts w:hint="eastAsia"/>
                <w:lang w:val="en-US"/>
              </w:rPr>
              <w:t>1188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65.00</w:t>
            </w:r>
          </w:p>
        </w:tc>
        <w:tc>
          <w:tcPr>
            <w:tcW w:w="1512" w:type="dxa"/>
          </w:tcPr>
          <w:p>
            <w:pPr>
              <w:spacing w:line="360" w:lineRule="exact"/>
              <w:jc w:val="center"/>
              <w:rPr>
                <w:lang w:val="en-US"/>
              </w:rPr>
            </w:pPr>
            <w:r>
              <w:rPr>
                <w:rFonts w:hint="eastAsia"/>
                <w:lang w:val="en-US"/>
              </w:rPr>
              <w:t>65002</w:t>
            </w:r>
          </w:p>
        </w:tc>
        <w:tc>
          <w:tcPr>
            <w:tcW w:w="1512" w:type="dxa"/>
          </w:tcPr>
          <w:p>
            <w:pPr>
              <w:spacing w:line="360" w:lineRule="exact"/>
              <w:jc w:val="center"/>
              <w:rPr>
                <w:lang w:val="en-US"/>
              </w:rPr>
            </w:pPr>
            <w:r>
              <w:rPr>
                <w:rFonts w:hint="eastAsia"/>
                <w:lang w:val="en-US"/>
              </w:rPr>
              <w:t>-1.47</w:t>
            </w:r>
          </w:p>
        </w:tc>
        <w:tc>
          <w:tcPr>
            <w:tcW w:w="1512" w:type="dxa"/>
          </w:tcPr>
          <w:p>
            <w:pPr>
              <w:spacing w:line="360" w:lineRule="exact"/>
              <w:jc w:val="center"/>
              <w:rPr>
                <w:lang w:val="en-US"/>
              </w:rPr>
            </w:pPr>
            <w:r>
              <w:rPr>
                <w:rFonts w:hint="eastAsia"/>
                <w:lang w:val="en-US"/>
              </w:rPr>
              <w:t>1179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64.55</w:t>
            </w:r>
          </w:p>
        </w:tc>
        <w:tc>
          <w:tcPr>
            <w:tcW w:w="1512" w:type="dxa"/>
            <w:shd w:val="clear" w:color="auto" w:fill="F2F2F2"/>
          </w:tcPr>
          <w:p>
            <w:pPr>
              <w:spacing w:line="360" w:lineRule="exact"/>
              <w:jc w:val="center"/>
              <w:rPr>
                <w:lang w:val="en-US"/>
              </w:rPr>
            </w:pPr>
            <w:r>
              <w:rPr>
                <w:rFonts w:hint="eastAsia"/>
                <w:lang w:val="en-US"/>
              </w:rPr>
              <w:t>64547</w:t>
            </w:r>
          </w:p>
        </w:tc>
        <w:tc>
          <w:tcPr>
            <w:tcW w:w="1512" w:type="dxa"/>
            <w:shd w:val="clear" w:color="auto" w:fill="F2F2F2"/>
          </w:tcPr>
          <w:p>
            <w:pPr>
              <w:spacing w:line="360" w:lineRule="exact"/>
              <w:jc w:val="center"/>
              <w:rPr>
                <w:lang w:val="en-US"/>
              </w:rPr>
            </w:pPr>
            <w:r>
              <w:rPr>
                <w:rFonts w:hint="eastAsia"/>
                <w:lang w:val="en-US"/>
              </w:rPr>
              <w:t>4.98</w:t>
            </w:r>
          </w:p>
        </w:tc>
        <w:tc>
          <w:tcPr>
            <w:tcW w:w="1512" w:type="dxa"/>
            <w:shd w:val="clear" w:color="auto" w:fill="F2F2F2"/>
          </w:tcPr>
          <w:p>
            <w:pPr>
              <w:spacing w:line="360" w:lineRule="exact"/>
              <w:jc w:val="center"/>
              <w:rPr>
                <w:lang w:val="en-US"/>
              </w:rPr>
            </w:pPr>
            <w:r>
              <w:rPr>
                <w:rFonts w:hint="eastAsia"/>
                <w:lang w:val="en-US"/>
              </w:rPr>
              <w:t>1171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64.10</w:t>
            </w:r>
          </w:p>
        </w:tc>
        <w:tc>
          <w:tcPr>
            <w:tcW w:w="1512" w:type="dxa"/>
          </w:tcPr>
          <w:p>
            <w:pPr>
              <w:spacing w:line="360" w:lineRule="exact"/>
              <w:jc w:val="center"/>
              <w:rPr>
                <w:lang w:val="en-US"/>
              </w:rPr>
            </w:pPr>
            <w:r>
              <w:rPr>
                <w:rFonts w:hint="eastAsia"/>
                <w:lang w:val="en-US"/>
              </w:rPr>
              <w:t>64095</w:t>
            </w:r>
          </w:p>
        </w:tc>
        <w:tc>
          <w:tcPr>
            <w:tcW w:w="1512" w:type="dxa"/>
          </w:tcPr>
          <w:p>
            <w:pPr>
              <w:spacing w:line="360" w:lineRule="exact"/>
              <w:jc w:val="center"/>
              <w:rPr>
                <w:lang w:val="en-US"/>
              </w:rPr>
            </w:pPr>
            <w:r>
              <w:rPr>
                <w:rFonts w:hint="eastAsia"/>
                <w:lang w:val="en-US"/>
              </w:rPr>
              <w:t>11.39</w:t>
            </w:r>
          </w:p>
        </w:tc>
        <w:tc>
          <w:tcPr>
            <w:tcW w:w="1512" w:type="dxa"/>
          </w:tcPr>
          <w:p>
            <w:pPr>
              <w:spacing w:line="360" w:lineRule="exact"/>
              <w:jc w:val="center"/>
              <w:rPr>
                <w:lang w:val="en-US"/>
              </w:rPr>
            </w:pPr>
            <w:r>
              <w:rPr>
                <w:rFonts w:hint="eastAsia"/>
                <w:lang w:val="en-US"/>
              </w:rPr>
              <w:t>1163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63.65</w:t>
            </w:r>
          </w:p>
        </w:tc>
        <w:tc>
          <w:tcPr>
            <w:tcW w:w="1512" w:type="dxa"/>
            <w:shd w:val="clear" w:color="auto" w:fill="F2F2F2"/>
          </w:tcPr>
          <w:p>
            <w:pPr>
              <w:spacing w:line="360" w:lineRule="exact"/>
              <w:jc w:val="center"/>
              <w:rPr>
                <w:lang w:val="en-US"/>
              </w:rPr>
            </w:pPr>
            <w:r>
              <w:rPr>
                <w:rFonts w:hint="eastAsia"/>
                <w:lang w:val="en-US"/>
              </w:rPr>
              <w:t>63647</w:t>
            </w:r>
          </w:p>
        </w:tc>
        <w:tc>
          <w:tcPr>
            <w:tcW w:w="1512" w:type="dxa"/>
            <w:shd w:val="clear" w:color="auto" w:fill="F2F2F2"/>
          </w:tcPr>
          <w:p>
            <w:pPr>
              <w:spacing w:line="360" w:lineRule="exact"/>
              <w:jc w:val="center"/>
              <w:rPr>
                <w:lang w:val="en-US"/>
              </w:rPr>
            </w:pPr>
            <w:r>
              <w:rPr>
                <w:rFonts w:hint="eastAsia"/>
                <w:lang w:val="en-US"/>
              </w:rPr>
              <w:t>17.75</w:t>
            </w:r>
          </w:p>
        </w:tc>
        <w:tc>
          <w:tcPr>
            <w:tcW w:w="1512" w:type="dxa"/>
            <w:shd w:val="clear" w:color="auto" w:fill="F2F2F2"/>
          </w:tcPr>
          <w:p>
            <w:pPr>
              <w:spacing w:line="360" w:lineRule="exact"/>
              <w:jc w:val="center"/>
              <w:rPr>
                <w:lang w:val="en-US"/>
              </w:rPr>
            </w:pPr>
            <w:r>
              <w:rPr>
                <w:rFonts w:hint="eastAsia"/>
                <w:lang w:val="en-US"/>
              </w:rPr>
              <w:t>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63.20</w:t>
            </w:r>
          </w:p>
        </w:tc>
        <w:tc>
          <w:tcPr>
            <w:tcW w:w="1512" w:type="dxa"/>
          </w:tcPr>
          <w:p>
            <w:pPr>
              <w:spacing w:line="360" w:lineRule="exact"/>
              <w:jc w:val="center"/>
              <w:rPr>
                <w:lang w:val="en-US"/>
              </w:rPr>
            </w:pPr>
            <w:r>
              <w:rPr>
                <w:rFonts w:hint="eastAsia"/>
                <w:lang w:val="en-US"/>
              </w:rPr>
              <w:t>63201</w:t>
            </w:r>
          </w:p>
        </w:tc>
        <w:tc>
          <w:tcPr>
            <w:tcW w:w="1512" w:type="dxa"/>
          </w:tcPr>
          <w:p>
            <w:pPr>
              <w:spacing w:line="360" w:lineRule="exact"/>
              <w:jc w:val="center"/>
              <w:rPr>
                <w:lang w:val="en-US"/>
              </w:rPr>
            </w:pPr>
            <w:r>
              <w:rPr>
                <w:rFonts w:hint="eastAsia"/>
                <w:lang w:val="en-US"/>
              </w:rPr>
              <w:t>24.07</w:t>
            </w:r>
          </w:p>
        </w:tc>
        <w:tc>
          <w:tcPr>
            <w:tcW w:w="1512" w:type="dxa"/>
          </w:tcPr>
          <w:p>
            <w:pPr>
              <w:spacing w:line="360" w:lineRule="exact"/>
              <w:jc w:val="center"/>
              <w:rPr>
                <w:lang w:val="en-US"/>
              </w:rPr>
            </w:pPr>
            <w:r>
              <w:rPr>
                <w:rFonts w:hint="eastAsia"/>
                <w:lang w:val="en-US"/>
              </w:rPr>
              <w:t>1147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62.76</w:t>
            </w:r>
          </w:p>
        </w:tc>
        <w:tc>
          <w:tcPr>
            <w:tcW w:w="1512" w:type="dxa"/>
            <w:shd w:val="clear" w:color="auto" w:fill="F2F2F2"/>
          </w:tcPr>
          <w:p>
            <w:pPr>
              <w:spacing w:line="360" w:lineRule="exact"/>
              <w:jc w:val="center"/>
              <w:rPr>
                <w:lang w:val="en-US"/>
              </w:rPr>
            </w:pPr>
            <w:r>
              <w:rPr>
                <w:rFonts w:hint="eastAsia"/>
                <w:lang w:val="en-US"/>
              </w:rPr>
              <w:t>62759</w:t>
            </w:r>
          </w:p>
        </w:tc>
        <w:tc>
          <w:tcPr>
            <w:tcW w:w="1512" w:type="dxa"/>
            <w:shd w:val="clear" w:color="auto" w:fill="F2F2F2"/>
          </w:tcPr>
          <w:p>
            <w:pPr>
              <w:spacing w:line="360" w:lineRule="exact"/>
              <w:jc w:val="center"/>
              <w:rPr>
                <w:lang w:val="en-US"/>
              </w:rPr>
            </w:pPr>
            <w:r>
              <w:rPr>
                <w:rFonts w:hint="eastAsia"/>
                <w:lang w:val="en-US"/>
              </w:rPr>
              <w:t>30.35</w:t>
            </w:r>
          </w:p>
        </w:tc>
        <w:tc>
          <w:tcPr>
            <w:tcW w:w="1512" w:type="dxa"/>
            <w:shd w:val="clear" w:color="auto" w:fill="F2F2F2"/>
          </w:tcPr>
          <w:p>
            <w:pPr>
              <w:spacing w:line="360" w:lineRule="exact"/>
              <w:jc w:val="center"/>
              <w:rPr>
                <w:lang w:val="en-US"/>
              </w:rPr>
            </w:pPr>
            <w:r>
              <w:rPr>
                <w:rFonts w:hint="eastAsia"/>
                <w:lang w:val="en-US"/>
              </w:rPr>
              <w:t>1139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62.32</w:t>
            </w:r>
          </w:p>
        </w:tc>
        <w:tc>
          <w:tcPr>
            <w:tcW w:w="1512" w:type="dxa"/>
          </w:tcPr>
          <w:p>
            <w:pPr>
              <w:spacing w:line="360" w:lineRule="exact"/>
              <w:jc w:val="center"/>
              <w:rPr>
                <w:lang w:val="en-US"/>
              </w:rPr>
            </w:pPr>
            <w:r>
              <w:rPr>
                <w:rFonts w:hint="eastAsia"/>
                <w:lang w:val="en-US"/>
              </w:rPr>
              <w:t>62320</w:t>
            </w:r>
          </w:p>
        </w:tc>
        <w:tc>
          <w:tcPr>
            <w:tcW w:w="1512" w:type="dxa"/>
          </w:tcPr>
          <w:p>
            <w:pPr>
              <w:spacing w:line="360" w:lineRule="exact"/>
              <w:jc w:val="center"/>
              <w:rPr>
                <w:lang w:val="en-US"/>
              </w:rPr>
            </w:pPr>
            <w:r>
              <w:rPr>
                <w:rFonts w:hint="eastAsia"/>
                <w:lang w:val="en-US"/>
              </w:rPr>
              <w:t>36.58</w:t>
            </w:r>
          </w:p>
        </w:tc>
        <w:tc>
          <w:tcPr>
            <w:tcW w:w="1512" w:type="dxa"/>
          </w:tcPr>
          <w:p>
            <w:pPr>
              <w:spacing w:line="360" w:lineRule="exact"/>
              <w:jc w:val="center"/>
              <w:rPr>
                <w:lang w:val="en-US"/>
              </w:rPr>
            </w:pPr>
            <w:r>
              <w:rPr>
                <w:rFonts w:hint="eastAsia"/>
                <w:lang w:val="en-US"/>
              </w:rPr>
              <w:t>1131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61.88</w:t>
            </w:r>
          </w:p>
        </w:tc>
        <w:tc>
          <w:tcPr>
            <w:tcW w:w="1512" w:type="dxa"/>
            <w:shd w:val="clear" w:color="auto" w:fill="F2F2F2"/>
          </w:tcPr>
          <w:p>
            <w:pPr>
              <w:spacing w:line="360" w:lineRule="exact"/>
              <w:jc w:val="center"/>
              <w:rPr>
                <w:lang w:val="en-US"/>
              </w:rPr>
            </w:pPr>
            <w:r>
              <w:rPr>
                <w:rFonts w:hint="eastAsia"/>
                <w:lang w:val="en-US"/>
              </w:rPr>
              <w:t>61883</w:t>
            </w:r>
          </w:p>
        </w:tc>
        <w:tc>
          <w:tcPr>
            <w:tcW w:w="1512" w:type="dxa"/>
            <w:shd w:val="clear" w:color="auto" w:fill="F2F2F2"/>
          </w:tcPr>
          <w:p>
            <w:pPr>
              <w:spacing w:line="360" w:lineRule="exact"/>
              <w:jc w:val="center"/>
              <w:rPr>
                <w:lang w:val="en-US"/>
              </w:rPr>
            </w:pPr>
            <w:r>
              <w:rPr>
                <w:rFonts w:hint="eastAsia"/>
                <w:lang w:val="en-US"/>
              </w:rPr>
              <w:t>42.77</w:t>
            </w:r>
          </w:p>
        </w:tc>
        <w:tc>
          <w:tcPr>
            <w:tcW w:w="1512" w:type="dxa"/>
            <w:shd w:val="clear" w:color="auto" w:fill="F2F2F2"/>
          </w:tcPr>
          <w:p>
            <w:pPr>
              <w:spacing w:line="360" w:lineRule="exact"/>
              <w:jc w:val="center"/>
              <w:rPr>
                <w:lang w:val="en-US"/>
              </w:rPr>
            </w:pPr>
            <w:r>
              <w:rPr>
                <w:rFonts w:hint="eastAsia"/>
                <w:lang w:val="en-US"/>
              </w:rPr>
              <w:t>1123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61.45</w:t>
            </w:r>
          </w:p>
        </w:tc>
        <w:tc>
          <w:tcPr>
            <w:tcW w:w="1512" w:type="dxa"/>
          </w:tcPr>
          <w:p>
            <w:pPr>
              <w:spacing w:line="360" w:lineRule="exact"/>
              <w:jc w:val="center"/>
              <w:rPr>
                <w:lang w:val="en-US"/>
              </w:rPr>
            </w:pPr>
            <w:r>
              <w:rPr>
                <w:rFonts w:hint="eastAsia"/>
                <w:lang w:val="en-US"/>
              </w:rPr>
              <w:t>61450</w:t>
            </w:r>
          </w:p>
        </w:tc>
        <w:tc>
          <w:tcPr>
            <w:tcW w:w="1512" w:type="dxa"/>
          </w:tcPr>
          <w:p>
            <w:pPr>
              <w:spacing w:line="360" w:lineRule="exact"/>
              <w:jc w:val="center"/>
              <w:rPr>
                <w:lang w:val="en-US"/>
              </w:rPr>
            </w:pPr>
            <w:r>
              <w:rPr>
                <w:rFonts w:hint="eastAsia"/>
                <w:lang w:val="en-US"/>
              </w:rPr>
              <w:t>48.92</w:t>
            </w:r>
          </w:p>
        </w:tc>
        <w:tc>
          <w:tcPr>
            <w:tcW w:w="1512" w:type="dxa"/>
          </w:tcPr>
          <w:p>
            <w:pPr>
              <w:spacing w:line="360" w:lineRule="exact"/>
              <w:jc w:val="center"/>
              <w:rPr>
                <w:lang w:val="en-US"/>
              </w:rPr>
            </w:pPr>
            <w:r>
              <w:rPr>
                <w:rFonts w:hint="eastAsia"/>
                <w:lang w:val="en-US"/>
              </w:rPr>
              <w:t>1115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61.02</w:t>
            </w:r>
          </w:p>
        </w:tc>
        <w:tc>
          <w:tcPr>
            <w:tcW w:w="1512" w:type="dxa"/>
            <w:shd w:val="clear" w:color="auto" w:fill="F2F2F2"/>
          </w:tcPr>
          <w:p>
            <w:pPr>
              <w:spacing w:line="360" w:lineRule="exact"/>
              <w:jc w:val="center"/>
              <w:rPr>
                <w:lang w:val="en-US"/>
              </w:rPr>
            </w:pPr>
            <w:r>
              <w:rPr>
                <w:rFonts w:hint="eastAsia"/>
                <w:lang w:val="en-US"/>
              </w:rPr>
              <w:t>61020</w:t>
            </w:r>
          </w:p>
        </w:tc>
        <w:tc>
          <w:tcPr>
            <w:tcW w:w="1512" w:type="dxa"/>
            <w:shd w:val="clear" w:color="auto" w:fill="F2F2F2"/>
          </w:tcPr>
          <w:p>
            <w:pPr>
              <w:spacing w:line="360" w:lineRule="exact"/>
              <w:jc w:val="center"/>
              <w:rPr>
                <w:lang w:val="en-US"/>
              </w:rPr>
            </w:pPr>
            <w:r>
              <w:rPr>
                <w:rFonts w:hint="eastAsia"/>
                <w:lang w:val="en-US"/>
              </w:rPr>
              <w:t>55.02</w:t>
            </w:r>
          </w:p>
        </w:tc>
        <w:tc>
          <w:tcPr>
            <w:tcW w:w="1512" w:type="dxa"/>
            <w:shd w:val="clear" w:color="auto" w:fill="F2F2F2"/>
          </w:tcPr>
          <w:p>
            <w:pPr>
              <w:spacing w:line="360" w:lineRule="exact"/>
              <w:jc w:val="center"/>
              <w:rPr>
                <w:lang w:val="en-US"/>
              </w:rPr>
            </w:pPr>
            <w:r>
              <w:rPr>
                <w:rFonts w:hint="eastAsia"/>
                <w:lang w:val="en-US"/>
              </w:rPr>
              <w:t>1107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60.59</w:t>
            </w:r>
          </w:p>
        </w:tc>
        <w:tc>
          <w:tcPr>
            <w:tcW w:w="1512" w:type="dxa"/>
          </w:tcPr>
          <w:p>
            <w:pPr>
              <w:spacing w:line="360" w:lineRule="exact"/>
              <w:jc w:val="center"/>
              <w:rPr>
                <w:lang w:val="en-US"/>
              </w:rPr>
            </w:pPr>
            <w:r>
              <w:rPr>
                <w:rFonts w:hint="eastAsia"/>
                <w:lang w:val="en-US"/>
              </w:rPr>
              <w:t>60593</w:t>
            </w:r>
          </w:p>
        </w:tc>
        <w:tc>
          <w:tcPr>
            <w:tcW w:w="1512" w:type="dxa"/>
          </w:tcPr>
          <w:p>
            <w:pPr>
              <w:spacing w:line="360" w:lineRule="exact"/>
              <w:jc w:val="center"/>
              <w:rPr>
                <w:lang w:val="en-US"/>
              </w:rPr>
            </w:pPr>
            <w:r>
              <w:rPr>
                <w:rFonts w:hint="eastAsia"/>
                <w:lang w:val="en-US"/>
              </w:rPr>
              <w:t>61.08</w:t>
            </w:r>
          </w:p>
        </w:tc>
        <w:tc>
          <w:tcPr>
            <w:tcW w:w="1512" w:type="dxa"/>
          </w:tcPr>
          <w:p>
            <w:pPr>
              <w:spacing w:line="360" w:lineRule="exact"/>
              <w:jc w:val="center"/>
              <w:rPr>
                <w:lang w:val="en-US"/>
              </w:rPr>
            </w:pPr>
            <w:r>
              <w:rPr>
                <w:rFonts w:hint="eastAsia"/>
                <w:lang w:val="en-US"/>
              </w:rPr>
              <w:t>1099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60.17</w:t>
            </w:r>
          </w:p>
        </w:tc>
        <w:tc>
          <w:tcPr>
            <w:tcW w:w="1512" w:type="dxa"/>
            <w:shd w:val="clear" w:color="auto" w:fill="F2F2F2"/>
          </w:tcPr>
          <w:p>
            <w:pPr>
              <w:spacing w:line="360" w:lineRule="exact"/>
              <w:jc w:val="center"/>
              <w:rPr>
                <w:lang w:val="en-US"/>
              </w:rPr>
            </w:pPr>
            <w:r>
              <w:rPr>
                <w:rFonts w:hint="eastAsia"/>
                <w:lang w:val="en-US"/>
              </w:rPr>
              <w:t>60169</w:t>
            </w:r>
          </w:p>
        </w:tc>
        <w:tc>
          <w:tcPr>
            <w:tcW w:w="1512" w:type="dxa"/>
            <w:shd w:val="clear" w:color="auto" w:fill="F2F2F2"/>
          </w:tcPr>
          <w:p>
            <w:pPr>
              <w:spacing w:line="360" w:lineRule="exact"/>
              <w:jc w:val="center"/>
              <w:rPr>
                <w:lang w:val="en-US"/>
              </w:rPr>
            </w:pPr>
            <w:r>
              <w:rPr>
                <w:rFonts w:hint="eastAsia"/>
                <w:lang w:val="en-US"/>
              </w:rPr>
              <w:t>67.1</w:t>
            </w:r>
          </w:p>
        </w:tc>
        <w:tc>
          <w:tcPr>
            <w:tcW w:w="1512" w:type="dxa"/>
            <w:shd w:val="clear" w:color="auto" w:fill="F2F2F2"/>
          </w:tcPr>
          <w:p>
            <w:pPr>
              <w:spacing w:line="360" w:lineRule="exact"/>
              <w:jc w:val="center"/>
              <w:rPr>
                <w:lang w:val="en-US"/>
              </w:rPr>
            </w:pPr>
            <w:r>
              <w:rPr>
                <w:rFonts w:hint="eastAsia"/>
                <w:lang w:val="en-US"/>
              </w:rPr>
              <w:t>1092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59.75</w:t>
            </w:r>
          </w:p>
        </w:tc>
        <w:tc>
          <w:tcPr>
            <w:tcW w:w="1512" w:type="dxa"/>
          </w:tcPr>
          <w:p>
            <w:pPr>
              <w:spacing w:line="360" w:lineRule="exact"/>
              <w:jc w:val="center"/>
              <w:rPr>
                <w:lang w:val="en-US"/>
              </w:rPr>
            </w:pPr>
            <w:r>
              <w:rPr>
                <w:rFonts w:hint="eastAsia"/>
                <w:lang w:val="en-US"/>
              </w:rPr>
              <w:t>59748</w:t>
            </w:r>
          </w:p>
        </w:tc>
        <w:tc>
          <w:tcPr>
            <w:tcW w:w="1512" w:type="dxa"/>
          </w:tcPr>
          <w:p>
            <w:pPr>
              <w:spacing w:line="360" w:lineRule="exact"/>
              <w:jc w:val="center"/>
              <w:rPr>
                <w:lang w:val="en-US"/>
              </w:rPr>
            </w:pPr>
            <w:r>
              <w:rPr>
                <w:rFonts w:hint="eastAsia"/>
                <w:lang w:val="en-US"/>
              </w:rPr>
              <w:t>73.07</w:t>
            </w:r>
          </w:p>
        </w:tc>
        <w:tc>
          <w:tcPr>
            <w:tcW w:w="1512" w:type="dxa"/>
          </w:tcPr>
          <w:p>
            <w:pPr>
              <w:spacing w:line="360" w:lineRule="exact"/>
              <w:jc w:val="center"/>
              <w:rPr>
                <w:lang w:val="en-US"/>
              </w:rPr>
            </w:pPr>
            <w:r>
              <w:rPr>
                <w:rFonts w:hint="eastAsia"/>
                <w:lang w:val="en-US"/>
              </w:rPr>
              <w:t>1084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59.33</w:t>
            </w:r>
          </w:p>
        </w:tc>
        <w:tc>
          <w:tcPr>
            <w:tcW w:w="1512" w:type="dxa"/>
            <w:shd w:val="clear" w:color="auto" w:fill="F2F2F2"/>
          </w:tcPr>
          <w:p>
            <w:pPr>
              <w:spacing w:line="360" w:lineRule="exact"/>
              <w:jc w:val="center"/>
              <w:rPr>
                <w:lang w:val="en-US"/>
              </w:rPr>
            </w:pPr>
            <w:r>
              <w:rPr>
                <w:rFonts w:hint="eastAsia"/>
                <w:lang w:val="en-US"/>
              </w:rPr>
              <w:t>59329</w:t>
            </w:r>
          </w:p>
        </w:tc>
        <w:tc>
          <w:tcPr>
            <w:tcW w:w="1512" w:type="dxa"/>
            <w:shd w:val="clear" w:color="auto" w:fill="F2F2F2"/>
          </w:tcPr>
          <w:p>
            <w:pPr>
              <w:spacing w:line="360" w:lineRule="exact"/>
              <w:jc w:val="center"/>
              <w:rPr>
                <w:lang w:val="en-US"/>
              </w:rPr>
            </w:pPr>
            <w:r>
              <w:rPr>
                <w:rFonts w:hint="eastAsia"/>
                <w:lang w:val="en-US"/>
              </w:rPr>
              <w:t>79</w:t>
            </w:r>
          </w:p>
        </w:tc>
        <w:tc>
          <w:tcPr>
            <w:tcW w:w="1512" w:type="dxa"/>
            <w:shd w:val="clear" w:color="auto" w:fill="F2F2F2"/>
          </w:tcPr>
          <w:p>
            <w:pPr>
              <w:spacing w:line="360" w:lineRule="exact"/>
              <w:jc w:val="center"/>
              <w:rPr>
                <w:lang w:val="en-US"/>
              </w:rPr>
            </w:pPr>
            <w:r>
              <w:rPr>
                <w:rFonts w:hint="eastAsia"/>
                <w:lang w:val="en-US"/>
              </w:rPr>
              <w:t>1076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58.91</w:t>
            </w:r>
          </w:p>
        </w:tc>
        <w:tc>
          <w:tcPr>
            <w:tcW w:w="1512" w:type="dxa"/>
          </w:tcPr>
          <w:p>
            <w:pPr>
              <w:spacing w:line="360" w:lineRule="exact"/>
              <w:jc w:val="center"/>
              <w:rPr>
                <w:lang w:val="en-US"/>
              </w:rPr>
            </w:pPr>
            <w:r>
              <w:rPr>
                <w:rFonts w:hint="eastAsia"/>
                <w:lang w:val="en-US"/>
              </w:rPr>
              <w:t>58914</w:t>
            </w:r>
          </w:p>
        </w:tc>
        <w:tc>
          <w:tcPr>
            <w:tcW w:w="1512" w:type="dxa"/>
          </w:tcPr>
          <w:p>
            <w:pPr>
              <w:spacing w:line="360" w:lineRule="exact"/>
              <w:jc w:val="center"/>
              <w:rPr>
                <w:lang w:val="en-US"/>
              </w:rPr>
            </w:pPr>
            <w:r>
              <w:rPr>
                <w:rFonts w:hint="eastAsia"/>
                <w:lang w:val="en-US"/>
              </w:rPr>
              <w:t>84.89</w:t>
            </w:r>
          </w:p>
        </w:tc>
        <w:tc>
          <w:tcPr>
            <w:tcW w:w="1512" w:type="dxa"/>
          </w:tcPr>
          <w:p>
            <w:pPr>
              <w:spacing w:line="360" w:lineRule="exact"/>
              <w:jc w:val="center"/>
              <w:rPr>
                <w:lang w:val="en-US"/>
              </w:rPr>
            </w:pPr>
            <w:r>
              <w:rPr>
                <w:rFonts w:hint="eastAsia"/>
                <w:lang w:val="en-US"/>
              </w:rPr>
              <w:t>1069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58.50</w:t>
            </w:r>
          </w:p>
        </w:tc>
        <w:tc>
          <w:tcPr>
            <w:tcW w:w="1512" w:type="dxa"/>
            <w:shd w:val="clear" w:color="auto" w:fill="F2F2F2"/>
          </w:tcPr>
          <w:p>
            <w:pPr>
              <w:spacing w:line="360" w:lineRule="exact"/>
              <w:jc w:val="center"/>
              <w:rPr>
                <w:lang w:val="en-US"/>
              </w:rPr>
            </w:pPr>
            <w:r>
              <w:rPr>
                <w:rFonts w:hint="eastAsia"/>
                <w:lang w:val="en-US"/>
              </w:rPr>
              <w:t>58502</w:t>
            </w:r>
          </w:p>
        </w:tc>
        <w:tc>
          <w:tcPr>
            <w:tcW w:w="1512" w:type="dxa"/>
            <w:shd w:val="clear" w:color="auto" w:fill="F2F2F2"/>
          </w:tcPr>
          <w:p>
            <w:pPr>
              <w:spacing w:line="360" w:lineRule="exact"/>
              <w:jc w:val="center"/>
              <w:rPr>
                <w:lang w:val="en-US"/>
              </w:rPr>
            </w:pPr>
            <w:r>
              <w:rPr>
                <w:rFonts w:hint="eastAsia"/>
                <w:lang w:val="en-US"/>
              </w:rPr>
              <w:t>90.74</w:t>
            </w:r>
          </w:p>
        </w:tc>
        <w:tc>
          <w:tcPr>
            <w:tcW w:w="1512" w:type="dxa"/>
            <w:shd w:val="clear" w:color="auto" w:fill="F2F2F2"/>
          </w:tcPr>
          <w:p>
            <w:pPr>
              <w:spacing w:line="360" w:lineRule="exact"/>
              <w:jc w:val="center"/>
              <w:rPr>
                <w:lang w:val="en-US"/>
              </w:rPr>
            </w:pPr>
            <w:r>
              <w:rPr>
                <w:rFonts w:hint="eastAsia"/>
                <w:lang w:val="en-US"/>
              </w:rPr>
              <w:t>1061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pPr>
              <w:spacing w:line="360" w:lineRule="exact"/>
              <w:jc w:val="center"/>
              <w:rPr>
                <w:b/>
                <w:bCs/>
                <w:color w:val="FFFFFF"/>
                <w:sz w:val="24"/>
                <w:szCs w:val="24"/>
                <w:lang w:val="en-US"/>
              </w:rPr>
            </w:pPr>
            <w:r>
              <w:rPr>
                <w:rFonts w:hint="eastAsia"/>
                <w:b/>
                <w:bCs/>
                <w:color w:val="FFFFFF"/>
                <w:sz w:val="24"/>
                <w:szCs w:val="24"/>
                <w:lang w:val="en-US"/>
              </w:rPr>
              <w:t>1596 MWh</w:t>
            </w:r>
          </w:p>
        </w:tc>
        <w:tc>
          <w:tcPr>
            <w:tcW w:w="4536" w:type="dxa"/>
            <w:gridSpan w:val="3"/>
            <w:shd w:val="clear" w:color="auto" w:fill="E65100"/>
            <w:vAlign w:val="center"/>
          </w:tcPr>
          <w:p>
            <w:pPr>
              <w:spacing w:line="360" w:lineRule="exact"/>
              <w:jc w:val="center"/>
              <w:rPr>
                <w:b/>
                <w:bCs/>
                <w:sz w:val="24"/>
                <w:szCs w:val="24"/>
                <w:lang w:val="en-US"/>
              </w:rPr>
            </w:pPr>
            <w:r>
              <w:rPr>
                <w:rFonts w:hint="eastAsia"/>
                <w:b/>
                <w:bCs/>
                <w:color w:val="FFFFFF"/>
                <w:sz w:val="24"/>
                <w:szCs w:val="24"/>
                <w:lang w:val="en-US"/>
              </w:rPr>
              <w:t>160万元</w:t>
            </w:r>
          </w:p>
        </w:tc>
      </w:tr>
      <w:bookmarkEnd w:id="83"/>
    </w:tbl>
    <w:p>
      <w:pPr>
        <w:pStyle w:val="3"/>
        <w:rPr>
          <w:lang w:val="en-US"/>
        </w:rPr>
      </w:pPr>
    </w:p>
    <w:p>
      <w:pPr>
        <w:pStyle w:val="3"/>
        <w:jc w:val="center"/>
        <w:rPr>
          <w:lang w:val="en-US"/>
        </w:rPr>
      </w:pPr>
      <w:bookmarkStart w:id="84" w:name="收益平衡图"/>
      <w:bookmarkEnd w:id="84"/>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13</w:t>
      </w:r>
      <w:r>
        <w:fldChar w:fldCharType="end"/>
      </w:r>
      <w:r>
        <w:rPr>
          <w:rFonts w:hint="eastAsia"/>
        </w:rPr>
        <w:t>收益平衡图</w:t>
      </w:r>
    </w:p>
    <w:p>
      <w:pPr>
        <w:rPr>
          <w:rFonts w:ascii="黑体" w:hAnsi="黑体" w:eastAsia="黑体" w:cs="宋体"/>
          <w:bCs/>
          <w:color w:val="000000"/>
          <w:szCs w:val="18"/>
          <w:lang w:val="en-US"/>
        </w:rPr>
      </w:pPr>
    </w:p>
    <w:p>
      <w:pPr>
        <w:pStyle w:val="2"/>
      </w:pPr>
      <w:bookmarkStart w:id="85" w:name="_Toc2745"/>
      <w:r>
        <w:rPr>
          <w:rFonts w:hint="eastAsia"/>
        </w:rPr>
        <w:t>减排效益分析</w:t>
      </w:r>
      <w:bookmarkEnd w:id="85"/>
    </w:p>
    <w:p>
      <w:pPr>
        <w:pStyle w:val="3"/>
        <w:ind w:firstLine="480" w:firstLineChars="200"/>
        <w:rPr>
          <w:lang w:val="en-US"/>
        </w:rPr>
      </w:pPr>
      <w:r>
        <w:rPr>
          <w:rFonts w:hint="eastAsia"/>
          <w:lang w:val="en-US"/>
        </w:rPr>
        <w:t>光伏发电的节能减排计算对太阳能光伏发电系统的环境影响和节约能源的效果进行评价。项目建成后，根据光伏发电工程发电量，与传统火电项目相比，可计算出节约化石能源总量，及对应减排温室气体和其他污染物总量。根据《中国电力行业年度发展报告</w:t>
      </w:r>
      <w:r>
        <w:rPr>
          <w:lang w:val="en-US"/>
        </w:rPr>
        <w:t>2022》</w:t>
      </w:r>
      <w:r>
        <w:rPr>
          <w:rFonts w:hint="eastAsia"/>
          <w:lang w:val="en-US"/>
        </w:rPr>
        <w:t>中统计的单位火电发电量</w:t>
      </w:r>
      <w:r>
        <w:rPr>
          <w:lang w:val="en-US"/>
        </w:rPr>
        <w:t>CO2</w:t>
      </w:r>
      <w:r>
        <w:rPr>
          <w:rFonts w:hint="eastAsia"/>
          <w:lang w:val="en-US"/>
        </w:rPr>
        <w:t>、</w:t>
      </w:r>
      <w:r>
        <w:rPr>
          <w:lang w:val="en-US"/>
        </w:rPr>
        <w:t>SO2</w:t>
      </w:r>
      <w:r>
        <w:rPr>
          <w:rFonts w:hint="eastAsia"/>
          <w:lang w:val="en-US"/>
        </w:rPr>
        <w:t>、氮氧化物等排放量进行计算，计算结果如下表所示：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tblPrEx>
          <w:tblCellMar>
            <w:top w:w="0" w:type="dxa"/>
            <w:left w:w="108" w:type="dxa"/>
            <w:bottom w:w="0" w:type="dxa"/>
            <w:right w:w="108" w:type="dxa"/>
          </w:tblCellMar>
        </w:tblPrEx>
        <w:trPr>
          <w:trHeight w:val="490" w:hRule="atLeast"/>
        </w:trPr>
        <w:tc>
          <w:tcPr>
            <w:tcW w:w="1071" w:type="dxa"/>
            <w:shd w:val="clear" w:color="auto" w:fill="ED7D31" w:themeFill="accent2"/>
          </w:tcPr>
          <w:p>
            <w:pPr>
              <w:spacing w:line="360" w:lineRule="exact"/>
              <w:jc w:val="center"/>
              <w:rPr>
                <w:b/>
                <w:bCs/>
                <w:color w:val="FFFFFF"/>
                <w:szCs w:val="21"/>
              </w:rPr>
            </w:pPr>
            <w:bookmarkStart w:id="86" w:name="碳排放分析表" w:colFirst="0" w:colLast="6"/>
            <w:r>
              <w:rPr>
                <w:rFonts w:hint="eastAsia"/>
                <w:b/>
                <w:bCs/>
                <w:color w:val="FFFFFF"/>
                <w:szCs w:val="21"/>
              </w:rPr>
              <w:t>参数</w:t>
            </w:r>
          </w:p>
        </w:tc>
        <w:tc>
          <w:tcPr>
            <w:tcW w:w="1709" w:type="dxa"/>
            <w:shd w:val="clear" w:color="auto" w:fill="ED7D31" w:themeFill="accent2"/>
          </w:tcPr>
          <w:p>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pPr>
              <w:spacing w:line="360" w:lineRule="exact"/>
              <w:jc w:val="center"/>
              <w:rPr>
                <w:b/>
                <w:bCs/>
                <w:color w:val="FFFFFF"/>
                <w:szCs w:val="21"/>
              </w:rPr>
            </w:pPr>
            <w:r>
              <w:rPr>
                <w:b/>
                <w:bCs/>
                <w:color w:val="FFFFFF"/>
                <w:szCs w:val="21"/>
              </w:rPr>
              <w:t>25年</w:t>
            </w:r>
          </w:p>
        </w:tc>
        <w:tc>
          <w:tcPr>
            <w:tcW w:w="1534" w:type="dxa"/>
            <w:shd w:val="clear" w:color="auto" w:fill="ED7D31" w:themeFill="accent2"/>
          </w:tcPr>
          <w:p>
            <w:pPr>
              <w:spacing w:line="360" w:lineRule="exact"/>
              <w:jc w:val="center"/>
              <w:rPr>
                <w:b/>
                <w:bCs/>
                <w:color w:val="FFFFFF"/>
                <w:szCs w:val="21"/>
              </w:rPr>
            </w:pPr>
            <w:r>
              <w:rPr>
                <w:rFonts w:hint="eastAsia"/>
                <w:b/>
                <w:bCs/>
                <w:color w:val="FFFFFF"/>
                <w:szCs w:val="21"/>
              </w:rPr>
              <w:t>单位</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发电量</w:t>
            </w:r>
          </w:p>
        </w:tc>
        <w:tc>
          <w:tcPr>
            <w:tcW w:w="1709"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63.85</w:t>
            </w:r>
          </w:p>
        </w:tc>
        <w:tc>
          <w:tcPr>
            <w:tcW w:w="1534" w:type="dxa"/>
            <w:shd w:val="clear" w:color="auto" w:fill="FFFFFF" w:themeFill="background1"/>
          </w:tcPr>
          <w:p>
            <w:pPr>
              <w:spacing w:line="360" w:lineRule="exact"/>
              <w:jc w:val="center"/>
              <w:rPr>
                <w:bCs/>
                <w:lang w:val="en-US"/>
              </w:rPr>
            </w:pPr>
            <w:r>
              <w:rPr>
                <w:bCs/>
                <w:lang w:val="en-US"/>
              </w:rPr>
              <w:t>1596.35</w:t>
            </w:r>
          </w:p>
        </w:tc>
        <w:tc>
          <w:tcPr>
            <w:tcW w:w="1534" w:type="dxa"/>
            <w:shd w:val="clear" w:color="auto" w:fill="FFFFFF" w:themeFill="background1"/>
          </w:tcPr>
          <w:p>
            <w:pPr>
              <w:spacing w:line="360" w:lineRule="exact"/>
              <w:jc w:val="center"/>
              <w:rPr>
                <w:bCs/>
                <w:lang w:val="en-US"/>
              </w:rPr>
            </w:pPr>
            <w:r>
              <w:rPr>
                <w:rFonts w:hint="eastAsia"/>
                <w:bCs/>
                <w:lang w:val="en-US"/>
              </w:rPr>
              <w:t>MWh</w:t>
            </w:r>
          </w:p>
        </w:tc>
      </w:tr>
      <w:tr>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pPr>
              <w:spacing w:line="360" w:lineRule="exact"/>
              <w:jc w:val="center"/>
              <w:rPr>
                <w:bCs/>
                <w:lang w:val="en-US"/>
              </w:rPr>
            </w:pPr>
            <w:r>
              <w:rPr>
                <w:bCs/>
                <w:lang w:val="en-US"/>
              </w:rPr>
              <w:t>0.3015</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19.25</w:t>
            </w:r>
          </w:p>
        </w:tc>
        <w:tc>
          <w:tcPr>
            <w:tcW w:w="1534" w:type="dxa"/>
            <w:shd w:val="clear" w:color="auto" w:fill="F1F1F1" w:themeFill="background1" w:themeFillShade="F2"/>
          </w:tcPr>
          <w:p>
            <w:pPr>
              <w:spacing w:line="360" w:lineRule="exact"/>
              <w:jc w:val="center"/>
              <w:rPr>
                <w:bCs/>
                <w:lang w:val="en-US"/>
              </w:rPr>
            </w:pPr>
            <w:r>
              <w:rPr>
                <w:bCs/>
                <w:lang w:val="en-US"/>
              </w:rPr>
              <w:t>481.30</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电力烟尘</w:t>
            </w:r>
          </w:p>
        </w:tc>
        <w:tc>
          <w:tcPr>
            <w:tcW w:w="1709" w:type="dxa"/>
            <w:shd w:val="clear" w:color="auto" w:fill="FFFFFF" w:themeFill="background1"/>
          </w:tcPr>
          <w:p>
            <w:pPr>
              <w:spacing w:line="360" w:lineRule="exact"/>
              <w:jc w:val="center"/>
              <w:rPr>
                <w:bCs/>
                <w:lang w:val="en-US"/>
              </w:rPr>
            </w:pPr>
            <w:r>
              <w:rPr>
                <w:bCs/>
                <w:lang w:val="en-US"/>
              </w:rPr>
              <w:t>0.0022</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0.14</w:t>
            </w:r>
          </w:p>
        </w:tc>
        <w:tc>
          <w:tcPr>
            <w:tcW w:w="1534" w:type="dxa"/>
            <w:shd w:val="clear" w:color="auto" w:fill="FFFFFF" w:themeFill="background1"/>
          </w:tcPr>
          <w:p>
            <w:pPr>
              <w:spacing w:line="360" w:lineRule="exact"/>
              <w:jc w:val="center"/>
              <w:rPr>
                <w:bCs/>
                <w:lang w:val="en-US"/>
              </w:rPr>
            </w:pPr>
            <w:r>
              <w:rPr>
                <w:bCs/>
                <w:lang w:val="en-US"/>
              </w:rPr>
              <w:t>3.50</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CO2</w:t>
            </w:r>
          </w:p>
        </w:tc>
        <w:tc>
          <w:tcPr>
            <w:tcW w:w="1709" w:type="dxa"/>
            <w:shd w:val="clear" w:color="auto" w:fill="F1F1F1" w:themeFill="background1" w:themeFillShade="F2"/>
          </w:tcPr>
          <w:p>
            <w:pPr>
              <w:spacing w:line="360" w:lineRule="exact"/>
              <w:jc w:val="center"/>
              <w:rPr>
                <w:bCs/>
                <w:lang w:val="en-US"/>
              </w:rPr>
            </w:pPr>
            <w:r>
              <w:rPr>
                <w:bCs/>
                <w:lang w:val="en-US"/>
              </w:rPr>
              <w:t>0.828</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52.87</w:t>
            </w:r>
          </w:p>
        </w:tc>
        <w:tc>
          <w:tcPr>
            <w:tcW w:w="1534" w:type="dxa"/>
            <w:shd w:val="clear" w:color="auto" w:fill="F1F1F1" w:themeFill="background1" w:themeFillShade="F2"/>
          </w:tcPr>
          <w:p>
            <w:pPr>
              <w:spacing w:line="360" w:lineRule="exact"/>
              <w:jc w:val="center"/>
              <w:rPr>
                <w:bCs/>
                <w:lang w:val="en-US"/>
              </w:rPr>
            </w:pPr>
            <w:r>
              <w:rPr>
                <w:bCs/>
                <w:lang w:val="en-US"/>
              </w:rPr>
              <w:t>1321.78</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67" w:hRule="atLeast"/>
        </w:trPr>
        <w:tc>
          <w:tcPr>
            <w:tcW w:w="1071" w:type="dxa"/>
            <w:shd w:val="clear" w:color="auto" w:fill="FFFFFF" w:themeFill="background1"/>
          </w:tcPr>
          <w:p>
            <w:pPr>
              <w:spacing w:line="360" w:lineRule="exact"/>
              <w:jc w:val="center"/>
              <w:rPr>
                <w:b/>
                <w:lang w:val="en-US"/>
              </w:rPr>
            </w:pPr>
            <w:r>
              <w:rPr>
                <w:b/>
                <w:lang w:val="en-US"/>
              </w:rPr>
              <w:t>SO2</w:t>
            </w:r>
          </w:p>
        </w:tc>
        <w:tc>
          <w:tcPr>
            <w:tcW w:w="1709" w:type="dxa"/>
            <w:shd w:val="clear" w:color="auto" w:fill="FFFFFF" w:themeFill="background1"/>
          </w:tcPr>
          <w:p>
            <w:pPr>
              <w:spacing w:line="360" w:lineRule="exact"/>
              <w:jc w:val="center"/>
              <w:rPr>
                <w:bCs/>
                <w:lang w:val="en-US"/>
              </w:rPr>
            </w:pPr>
            <w:r>
              <w:rPr>
                <w:bCs/>
                <w:lang w:val="en-US"/>
              </w:rPr>
              <w:t>0.0101</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0.65</w:t>
            </w:r>
          </w:p>
        </w:tc>
        <w:tc>
          <w:tcPr>
            <w:tcW w:w="1534" w:type="dxa"/>
            <w:shd w:val="clear" w:color="auto" w:fill="FFFFFF" w:themeFill="background1"/>
          </w:tcPr>
          <w:p>
            <w:pPr>
              <w:spacing w:line="360" w:lineRule="exact"/>
              <w:jc w:val="center"/>
              <w:rPr>
                <w:bCs/>
                <w:lang w:val="en-US"/>
              </w:rPr>
            </w:pPr>
            <w:r>
              <w:rPr>
                <w:bCs/>
                <w:lang w:val="en-US"/>
              </w:rPr>
              <w:t>16.13</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NOX</w:t>
            </w:r>
          </w:p>
        </w:tc>
        <w:tc>
          <w:tcPr>
            <w:tcW w:w="1709" w:type="dxa"/>
            <w:shd w:val="clear" w:color="auto" w:fill="F1F1F1" w:themeFill="background1" w:themeFillShade="F2"/>
          </w:tcPr>
          <w:p>
            <w:pPr>
              <w:spacing w:line="360" w:lineRule="exact"/>
              <w:jc w:val="center"/>
              <w:rPr>
                <w:bCs/>
                <w:lang w:val="en-US"/>
              </w:rPr>
            </w:pPr>
            <w:r>
              <w:rPr>
                <w:bCs/>
                <w:lang w:val="en-US"/>
              </w:rPr>
              <w:t>0.0152</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0.97</w:t>
            </w:r>
          </w:p>
        </w:tc>
        <w:tc>
          <w:tcPr>
            <w:tcW w:w="1534" w:type="dxa"/>
            <w:shd w:val="clear" w:color="auto" w:fill="F1F1F1" w:themeFill="background1" w:themeFillShade="F2"/>
          </w:tcPr>
          <w:p>
            <w:pPr>
              <w:spacing w:line="360" w:lineRule="exact"/>
              <w:jc w:val="center"/>
              <w:rPr>
                <w:bCs/>
                <w:lang w:val="en-US"/>
              </w:rPr>
            </w:pPr>
            <w:r>
              <w:rPr>
                <w:bCs/>
                <w:lang w:val="en-US"/>
              </w:rPr>
              <w:t>24.28</w:t>
            </w:r>
          </w:p>
        </w:tc>
        <w:tc>
          <w:tcPr>
            <w:tcW w:w="1534" w:type="dxa"/>
            <w:shd w:val="clear" w:color="auto" w:fill="F1F1F1" w:themeFill="background1" w:themeFillShade="F2"/>
          </w:tcPr>
          <w:p>
            <w:pPr>
              <w:spacing w:line="360" w:lineRule="exact"/>
              <w:jc w:val="center"/>
              <w:rPr>
                <w:bCs/>
                <w:lang w:val="en-US"/>
              </w:rPr>
            </w:pPr>
            <w:r>
              <w:rPr>
                <w:bCs/>
                <w:lang w:val="en-US"/>
              </w:rPr>
              <w:t>吨</w:t>
            </w:r>
          </w:p>
        </w:tc>
      </w:tr>
      <w:bookmarkEnd w:id="86"/>
    </w:tbl>
    <w:p>
      <w:pPr>
        <w:pStyle w:val="3"/>
        <w:rPr>
          <w:lang w:val="en-US"/>
        </w:rPr>
      </w:pPr>
    </w:p>
    <w:p>
      <w:pPr>
        <w:pStyle w:val="2"/>
        <w:rPr>
          <w:sz w:val="24"/>
          <w:szCs w:val="21"/>
        </w:rPr>
      </w:pPr>
      <w:bookmarkStart w:id="87" w:name="_Toc4873"/>
      <w:r>
        <w:rPr>
          <w:rFonts w:hint="eastAsia"/>
        </w:rPr>
        <w:t>综述</w:t>
      </w:r>
      <w:bookmarkEnd w:id="87"/>
    </w:p>
    <w:p>
      <w:pPr>
        <w:adjustRightInd/>
        <w:snapToGrid/>
        <w:ind w:firstLine="480" w:firstLineChars="200"/>
        <w:rPr>
          <w:b/>
          <w:bCs/>
          <w:color w:val="000000" w:themeColor="text1"/>
          <w:sz w:val="24"/>
          <w:szCs w:val="22"/>
        </w:rPr>
      </w:pPr>
      <w:r>
        <w:rPr>
          <w:b/>
          <w:bCs/>
          <w:color w:val="000000" w:themeColor="text1"/>
          <w:sz w:val="24"/>
          <w:szCs w:val="22"/>
        </w:rPr>
        <w:t>综上所述，本项目光伏组件</w:t>
      </w:r>
      <w:r>
        <w:rPr>
          <w:rFonts w:hint="eastAsia"/>
          <w:b/>
          <w:bCs/>
          <w:color w:val="000000" w:themeColor="text1"/>
          <w:sz w:val="24"/>
          <w:szCs w:val="22"/>
        </w:rPr>
        <w:t>安装</w:t>
      </w:r>
      <w:r>
        <w:rPr>
          <w:b/>
          <w:bCs/>
          <w:color w:val="000000" w:themeColor="text1"/>
          <w:sz w:val="24"/>
          <w:szCs w:val="22"/>
        </w:rPr>
        <w:t>面积为</w:t>
      </w:r>
      <w:bookmarkStart w:id="88" w:name="组件面积"/>
      <w:r>
        <w:rPr>
          <w:b/>
          <w:bCs/>
          <w:color w:val="ED7D31" w:themeColor="accent2"/>
          <w:sz w:val="24"/>
          <w:szCs w:val="22"/>
          <w:u w:val="single"/>
        </w:rPr>
        <w:t>347</w:t>
      </w:r>
      <w:bookmarkEnd w:id="88"/>
      <w:r>
        <w:rPr>
          <w:b/>
          <w:bCs/>
          <w:color w:val="ED7D31" w:themeColor="accent2"/>
          <w:sz w:val="24"/>
          <w:szCs w:val="22"/>
        </w:rPr>
        <w:t>m</w:t>
      </w:r>
      <w:r>
        <w:rPr>
          <w:b/>
          <w:bCs/>
          <w:color w:val="ED7D31" w:themeColor="accent2"/>
          <w:sz w:val="24"/>
          <w:szCs w:val="22"/>
          <w:vertAlign w:val="superscript"/>
        </w:rPr>
        <w:t>2</w:t>
      </w:r>
      <w:r>
        <w:rPr>
          <w:b/>
          <w:bCs/>
          <w:color w:val="000000" w:themeColor="text1"/>
          <w:sz w:val="24"/>
          <w:szCs w:val="22"/>
        </w:rPr>
        <w:t>，总装机</w:t>
      </w:r>
      <w:r>
        <w:rPr>
          <w:rFonts w:hint="eastAsia"/>
          <w:b/>
          <w:bCs/>
          <w:color w:val="000000" w:themeColor="text1"/>
          <w:sz w:val="24"/>
          <w:szCs w:val="22"/>
        </w:rPr>
        <w:t>容</w:t>
      </w:r>
      <w:r>
        <w:rPr>
          <w:b/>
          <w:bCs/>
          <w:color w:val="000000" w:themeColor="text1"/>
          <w:sz w:val="24"/>
          <w:szCs w:val="22"/>
        </w:rPr>
        <w:t>量为</w:t>
      </w:r>
      <w:bookmarkStart w:id="89" w:name="总装机量"/>
      <w:r>
        <w:rPr>
          <w:b/>
          <w:bCs/>
          <w:color w:val="ED7D31" w:themeColor="accent2"/>
          <w:sz w:val="24"/>
          <w:szCs w:val="22"/>
          <w:u w:val="single"/>
        </w:rPr>
        <w:t>55.12</w:t>
      </w:r>
      <w:bookmarkEnd w:id="89"/>
      <w:r>
        <w:rPr>
          <w:b/>
          <w:bCs/>
          <w:color w:val="ED7D31" w:themeColor="accent2"/>
          <w:sz w:val="24"/>
          <w:szCs w:val="22"/>
        </w:rPr>
        <w:t>kW</w:t>
      </w:r>
      <w:r>
        <w:rPr>
          <w:b/>
          <w:bCs/>
          <w:color w:val="000000" w:themeColor="text1"/>
          <w:sz w:val="24"/>
          <w:szCs w:val="22"/>
        </w:rPr>
        <w:t>，</w:t>
      </w:r>
      <w:r>
        <w:rPr>
          <w:rFonts w:hint="eastAsia"/>
          <w:b/>
          <w:bCs/>
          <w:color w:val="000000" w:themeColor="text1"/>
          <w:sz w:val="24"/>
          <w:szCs w:val="22"/>
        </w:rPr>
        <w:t>系统效率</w:t>
      </w:r>
      <w:bookmarkStart w:id="90" w:name="系统效率"/>
      <w:r>
        <w:rPr>
          <w:rFonts w:hint="eastAsia"/>
          <w:b/>
          <w:bCs/>
          <w:color w:val="ED7D31" w:themeColor="accent2"/>
          <w:sz w:val="24"/>
          <w:szCs w:val="22"/>
          <w:u w:val="single"/>
        </w:rPr>
        <w:t>84.0%</w:t>
      </w:r>
      <w:bookmarkEnd w:id="90"/>
      <w:r>
        <w:rPr>
          <w:rFonts w:hint="eastAsia"/>
          <w:b/>
          <w:bCs/>
          <w:color w:val="000000" w:themeColor="text1"/>
          <w:sz w:val="24"/>
          <w:szCs w:val="22"/>
        </w:rPr>
        <w:t>，首年</w:t>
      </w:r>
      <w:r>
        <w:rPr>
          <w:b/>
          <w:bCs/>
          <w:color w:val="000000" w:themeColor="text1"/>
          <w:sz w:val="24"/>
          <w:szCs w:val="22"/>
        </w:rPr>
        <w:t>发电量为</w:t>
      </w:r>
      <w:bookmarkStart w:id="91" w:name="全年总发电量"/>
      <w:r>
        <w:rPr>
          <w:b/>
          <w:bCs/>
          <w:color w:val="ED7D31" w:themeColor="accent2"/>
          <w:sz w:val="24"/>
          <w:szCs w:val="22"/>
          <w:u w:val="single"/>
        </w:rPr>
        <w:t>72.4</w:t>
      </w:r>
      <w:bookmarkEnd w:id="91"/>
      <w:r>
        <w:rPr>
          <w:b/>
          <w:bCs/>
          <w:color w:val="ED7D31" w:themeColor="accent2"/>
          <w:sz w:val="24"/>
          <w:szCs w:val="22"/>
        </w:rPr>
        <w:t>MWh</w:t>
      </w:r>
      <w:r>
        <w:rPr>
          <w:rFonts w:eastAsiaTheme="minorEastAsia"/>
          <w:b/>
          <w:bCs/>
          <w:color w:val="000000" w:themeColor="text1"/>
          <w:sz w:val="24"/>
          <w:szCs w:val="32"/>
          <w:lang w:val="en-US"/>
        </w:rPr>
        <w:t>。</w:t>
      </w:r>
      <w:r>
        <w:rPr>
          <w:rFonts w:hint="eastAsia"/>
          <w:b/>
          <w:bCs/>
          <w:color w:val="000000" w:themeColor="text1"/>
          <w:sz w:val="24"/>
          <w:szCs w:val="22"/>
        </w:rPr>
        <w:t>25年预计总发电量</w:t>
      </w:r>
      <w:bookmarkStart w:id="92" w:name="发电量25年"/>
      <w:r>
        <w:rPr>
          <w:rFonts w:hint="eastAsia"/>
          <w:b/>
          <w:bCs/>
          <w:color w:val="ED7D31" w:themeColor="accent2"/>
          <w:sz w:val="24"/>
          <w:szCs w:val="22"/>
          <w:u w:val="single"/>
        </w:rPr>
        <w:t>1596.3</w:t>
      </w:r>
      <w:bookmarkEnd w:id="92"/>
      <w:r>
        <w:rPr>
          <w:b/>
          <w:bCs/>
          <w:color w:val="ED7D31" w:themeColor="accent2"/>
          <w:sz w:val="24"/>
          <w:szCs w:val="22"/>
        </w:rPr>
        <w:t>MWh</w:t>
      </w:r>
      <w:r>
        <w:rPr>
          <w:rFonts w:hint="eastAsia"/>
          <w:b/>
          <w:bCs/>
          <w:color w:val="000000" w:themeColor="text1"/>
          <w:sz w:val="24"/>
          <w:szCs w:val="22"/>
        </w:rPr>
        <w:t>，投资</w:t>
      </w:r>
      <w:bookmarkStart w:id="93" w:name="总投资"/>
      <w:r>
        <w:rPr>
          <w:rFonts w:hint="eastAsia"/>
          <w:b/>
          <w:bCs/>
          <w:color w:val="ED7D31" w:themeColor="accent2"/>
          <w:sz w:val="24"/>
          <w:szCs w:val="22"/>
          <w:u w:val="single"/>
        </w:rPr>
        <w:t>68.9</w:t>
      </w:r>
      <w:bookmarkEnd w:id="93"/>
      <w:r>
        <w:rPr>
          <w:rFonts w:hint="eastAsia"/>
          <w:b/>
          <w:bCs/>
          <w:color w:val="ED7D31" w:themeColor="accent2"/>
          <w:sz w:val="24"/>
          <w:szCs w:val="22"/>
        </w:rPr>
        <w:t>万</w:t>
      </w:r>
      <w:r>
        <w:rPr>
          <w:rFonts w:hint="eastAsia"/>
          <w:b/>
          <w:bCs/>
          <w:color w:val="000000" w:themeColor="text1"/>
          <w:sz w:val="24"/>
          <w:szCs w:val="22"/>
        </w:rPr>
        <w:t>，收益</w:t>
      </w:r>
      <w:bookmarkStart w:id="94" w:name="总收益"/>
      <w:r>
        <w:rPr>
          <w:rFonts w:hint="eastAsia"/>
          <w:b/>
          <w:bCs/>
          <w:color w:val="ED7D31" w:themeColor="accent2"/>
          <w:sz w:val="24"/>
          <w:szCs w:val="22"/>
          <w:u w:val="single"/>
        </w:rPr>
        <w:t>159.63</w:t>
      </w:r>
      <w:bookmarkEnd w:id="94"/>
      <w:r>
        <w:rPr>
          <w:rFonts w:hint="eastAsia"/>
          <w:b/>
          <w:bCs/>
          <w:color w:val="ED7D31" w:themeColor="accent2"/>
          <w:sz w:val="24"/>
          <w:szCs w:val="22"/>
        </w:rPr>
        <w:t>万元</w:t>
      </w:r>
      <w:r>
        <w:rPr>
          <w:rFonts w:hint="eastAsia"/>
          <w:b/>
          <w:bCs/>
          <w:color w:val="000000" w:themeColor="text1"/>
          <w:sz w:val="24"/>
          <w:szCs w:val="22"/>
        </w:rPr>
        <w:t>，减排二氧化碳约</w:t>
      </w:r>
      <w:bookmarkStart w:id="95" w:name="二氧化碳减排量"/>
      <w:r>
        <w:rPr>
          <w:b/>
          <w:bCs/>
          <w:color w:val="ED7D31" w:themeColor="accent2"/>
          <w:sz w:val="24"/>
          <w:szCs w:val="22"/>
          <w:u w:val="single"/>
        </w:rPr>
        <w:t>1321.78</w:t>
      </w:r>
      <w:bookmarkEnd w:id="95"/>
      <w:r>
        <w:rPr>
          <w:rFonts w:hint="eastAsia"/>
          <w:b/>
          <w:bCs/>
          <w:color w:val="ED7D31" w:themeColor="accent2"/>
          <w:sz w:val="24"/>
          <w:szCs w:val="22"/>
        </w:rPr>
        <w:t>吨</w:t>
      </w:r>
      <w:r>
        <w:rPr>
          <w:rFonts w:hint="eastAsia"/>
          <w:b/>
          <w:bCs/>
          <w:color w:val="000000" w:themeColor="text1"/>
          <w:sz w:val="24"/>
          <w:szCs w:val="22"/>
        </w:rPr>
        <w:t>。</w:t>
      </w:r>
    </w:p>
    <w:p>
      <w:pPr>
        <w:adjustRightInd/>
        <w:snapToGrid/>
        <w:rPr>
          <w:sz w:val="24"/>
          <w:szCs w:val="21"/>
          <w:lang w:val="en-US"/>
        </w:rPr>
        <w:sectPr>
          <w:footerReference r:id="rId9" w:type="default"/>
          <w:pgSz w:w="11906" w:h="16838"/>
          <w:pgMar w:top="1440" w:right="1418" w:bottom="1440" w:left="1418" w:header="851" w:footer="992" w:gutter="0"/>
          <w:pgNumType w:start="1"/>
          <w:cols w:space="425" w:num="1"/>
          <w:docGrid w:type="lines" w:linePitch="312" w:charSpace="0"/>
        </w:sectPr>
      </w:pPr>
    </w:p>
    <w:p>
      <w:pPr>
        <w:pStyle w:val="2"/>
        <w:numPr>
          <w:ilvl w:val="0"/>
          <w:numId w:val="0"/>
        </w:numPr>
        <w:ind w:left="420"/>
      </w:pPr>
      <w:bookmarkStart w:id="96" w:name="_Toc11800"/>
      <w:r>
        <w:rPr>
          <w:rFonts w:hint="eastAsia"/>
        </w:rPr>
        <w:t>附录</w:t>
      </w:r>
      <w:bookmarkEnd w:id="9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pPr>
              <w:pStyle w:val="3"/>
              <w:rPr>
                <w:b/>
                <w:bCs/>
                <w:color w:val="000000" w:themeColor="text1"/>
                <w:sz w:val="20"/>
                <w:szCs w:val="18"/>
                <w:lang w:val="en-US"/>
              </w:rPr>
            </w:pPr>
            <w:r>
              <w:rPr>
                <w:rFonts w:hint="eastAsia"/>
                <w:b/>
                <w:bCs/>
                <w:color w:val="000000" w:themeColor="text1"/>
                <w:sz w:val="20"/>
                <w:szCs w:val="18"/>
                <w:lang w:val="en-US"/>
              </w:rPr>
              <w:t>名词</w:t>
            </w:r>
          </w:p>
        </w:tc>
        <w:tc>
          <w:tcPr>
            <w:tcW w:w="6508" w:type="dxa"/>
            <w:tcBorders>
              <w:bottom w:val="single" w:color="7E7E7E" w:themeColor="text1" w:themeTint="80" w:sz="4" w:space="0"/>
              <w:insideH w:val="single" w:sz="4" w:space="0"/>
            </w:tcBorders>
          </w:tcPr>
          <w:p>
            <w:pPr>
              <w:pStyle w:val="3"/>
              <w:rPr>
                <w:b/>
                <w:bCs/>
                <w:color w:val="000000" w:themeColor="text1"/>
                <w:sz w:val="20"/>
                <w:szCs w:val="18"/>
                <w:lang w:val="en-US"/>
              </w:rPr>
            </w:pPr>
            <w:r>
              <w:rPr>
                <w:rFonts w:hint="eastAsia"/>
                <w:b/>
                <w:bCs/>
                <w:color w:val="000000" w:themeColor="text1"/>
                <w:sz w:val="20"/>
                <w:szCs w:val="18"/>
                <w:lang w:val="en-US"/>
              </w:rPr>
              <w:t>解释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组件在标准测试条件下提供的功率（</w:t>
            </w:r>
            <w:r>
              <w:rPr>
                <w:color w:val="7F7F7F" w:themeColor="background1" w:themeShade="80"/>
                <w:sz w:val="18"/>
                <w:szCs w:val="18"/>
                <w:lang w:val="en-US"/>
              </w:rPr>
              <w:t>Wp为单位）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装机容量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光伏发电系统采用的光伏组件的标称功率之和，单位是峰瓦（Wp）</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insideH w:val="single" w:sz="4" w:space="0"/>
            </w:tcBorders>
          </w:tcPr>
          <w:p>
            <w:pPr>
              <w:rPr>
                <w:color w:val="7F7F7F" w:themeColor="background1" w:themeShade="80"/>
                <w:sz w:val="18"/>
                <w:szCs w:val="18"/>
                <w:lang w:val="en-US"/>
              </w:rPr>
            </w:pPr>
            <w:r>
              <w:rPr>
                <w:rFonts w:hint="eastAsia"/>
                <w:color w:val="7F7F7F" w:themeColor="background1" w:themeShade="80"/>
                <w:sz w:val="18"/>
                <w:szCs w:val="18"/>
                <w:lang w:val="en-US"/>
              </w:rPr>
              <w:t>太阳直接照射地面的时数，地面受到太阳直接辐射辐照度大于等于120</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的累计时间，以小时为单位。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峰值日照时数</w:t>
            </w:r>
          </w:p>
        </w:tc>
        <w:tc>
          <w:tcPr>
            <w:tcW w:w="6508" w:type="dxa"/>
          </w:tcPr>
          <w:p>
            <w:pPr>
              <w:rPr>
                <w:color w:val="7F7F7F" w:themeColor="background1" w:themeShade="80"/>
                <w:sz w:val="18"/>
                <w:szCs w:val="18"/>
                <w:lang w:val="en-US"/>
              </w:rPr>
            </w:pPr>
            <w:r>
              <w:rPr>
                <w:rFonts w:hint="eastAsia"/>
                <w:color w:val="7F7F7F" w:themeColor="background1" w:themeShade="80"/>
                <w:sz w:val="18"/>
                <w:szCs w:val="18"/>
                <w:lang w:val="en-US"/>
              </w:rPr>
              <w:t>一段时间内辐照度积分总量相当于辐照度1k</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的光源所持续照射的时间，以小时为单位。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在规定的工作条件下输出功率与输入功率之比。例如一台逆变器输入了</w:t>
            </w:r>
            <w:r>
              <w:rPr>
                <w:color w:val="7F7F7F" w:themeColor="background1" w:themeShade="80"/>
                <w:sz w:val="18"/>
                <w:szCs w:val="18"/>
                <w:lang w:val="en-US"/>
              </w:rPr>
              <w:t>1000W的直流电，输出了900W的交流电流，那样它的效率便是90％。</w:t>
            </w:r>
            <w:r>
              <w:rPr>
                <w:rFonts w:hint="eastAsia"/>
                <w:color w:val="7F7F7F" w:themeColor="background1" w:themeShade="80"/>
                <w:sz w:val="18"/>
                <w:szCs w:val="18"/>
                <w:lang w:val="en-US"/>
              </w:rPr>
              <w:t>最大效率是指逆变器在实验室环境下</w:t>
            </w:r>
            <w:r>
              <w:rPr>
                <w:color w:val="7F7F7F" w:themeColor="background1" w:themeShade="80"/>
                <w:sz w:val="18"/>
                <w:szCs w:val="18"/>
                <w:lang w:val="en-US"/>
              </w:rPr>
              <w:t>，测得的效率最高值。</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 xml:space="preserve"> MPPT数量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最大功率点跟踪</w:t>
            </w:r>
            <w:r>
              <w:rPr>
                <w:color w:val="7F7F7F" w:themeColor="background1" w:themeShade="80"/>
                <w:sz w:val="18"/>
                <w:szCs w:val="18"/>
                <w:lang w:val="en-US"/>
              </w:rPr>
              <w:t>（Maximum Power Point Tracking，简称MPPT）根据外界不同的环境温度、光照强度等特性来调节光伏阵列的输出功率，使得光伏阵列始终输出最大功率。</w:t>
            </w:r>
          </w:p>
          <w:p>
            <w:pPr>
              <w:pStyle w:val="3"/>
              <w:rPr>
                <w:color w:val="7F7F7F" w:themeColor="background1" w:themeShade="80"/>
                <w:sz w:val="18"/>
                <w:szCs w:val="18"/>
                <w:lang w:val="en-US"/>
              </w:rPr>
            </w:pPr>
            <w:r>
              <w:rPr>
                <w:rFonts w:hint="eastAsia"/>
                <w:color w:val="7F7F7F" w:themeColor="background1" w:themeShade="80"/>
                <w:sz w:val="18"/>
                <w:szCs w:val="18"/>
                <w:lang w:val="en-US"/>
              </w:rPr>
              <w:t>通过增加</w:t>
            </w:r>
            <w:r>
              <w:rPr>
                <w:color w:val="7F7F7F" w:themeColor="background1" w:themeShade="80"/>
                <w:sz w:val="18"/>
                <w:szCs w:val="18"/>
                <w:lang w:val="en-US"/>
              </w:rPr>
              <w:t>MPPT数量，对光伏阵列进行并联解耦甚至串联解耦，一定程度上可以解决组件失配导致的发电量降低。</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光伏方阵到逆变器。应</w:t>
            </w:r>
            <w:r>
              <w:rPr>
                <w:color w:val="7F7F7F" w:themeColor="background1" w:themeShade="80"/>
                <w:sz w:val="18"/>
                <w:szCs w:val="18"/>
                <w:lang w:val="en-US"/>
              </w:rPr>
              <w:t>尽量减小这种损耗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光伏组件表面污染率</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光伏组件表面由于受到灰尘或者其他污垢蒙蔽而产生的遮光影响。取值与环境清洁度和组件清洗方案有关。</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cs="宋体"/>
                <w:b/>
                <w:bCs/>
                <w:color w:val="7F7F7F" w:themeColor="background1" w:themeShade="80"/>
                <w:sz w:val="18"/>
                <w:szCs w:val="18"/>
              </w:rPr>
              <w:t>温度修正系数</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光伏组件工作温度对其输出功率具有很大的影响，高工作温度会导致功率损耗。</w:t>
            </w:r>
          </w:p>
        </w:tc>
      </w:tr>
    </w:tbl>
    <w:p>
      <w:pPr>
        <w:pStyle w:val="3"/>
        <w:ind w:firstLine="480"/>
        <w:rPr>
          <w:lang w:val="en-US"/>
        </w:rPr>
      </w:pPr>
    </w:p>
    <w:p>
      <w:pPr>
        <w:pStyle w:val="3"/>
        <w:ind w:firstLine="480"/>
        <w:rPr>
          <w:lang w:val="en-US"/>
        </w:rPr>
      </w:pPr>
      <w:r>
        <w:rPr>
          <w:rFonts w:hint="eastAsia"/>
          <w:lang w:val="en-US"/>
        </w:rPr>
        <w:t xml:space="preserve"> </w:t>
      </w:r>
      <w:r>
        <w:rPr>
          <w:lang w:val="en-US"/>
        </w:rPr>
        <w:t xml:space="preserve">    </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13</w:t>
    </w:r>
    <w:r>
      <w:fldChar w:fldCharType="end"/>
    </w:r>
    <w:r>
      <w:tab/>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13</w:instrText>
    </w:r>
    <w:r>
      <w:fldChar w:fldCharType="end"/>
    </w:r>
    <w:r>
      <w:instrText xml:space="preserve">-2  \* Arabic  \* MERGEFORMAT </w:instrText>
    </w:r>
    <w:r>
      <w:fldChar w:fldCharType="separate"/>
    </w:r>
    <w:r>
      <w:rPr>
        <w:b/>
      </w:rPr>
      <w:t>11</w:t>
    </w:r>
    <w:r>
      <w:fldChar w:fldCharType="end"/>
    </w:r>
    <w:r>
      <w:tab/>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6" w:space="2"/>
      </w:pBdr>
      <w:jc w:val="right"/>
      <w:rPr>
        <w:sz w:val="16"/>
        <w:szCs w:val="16"/>
      </w:rPr>
    </w:pPr>
    <w:r>
      <w:rPr>
        <w:lang w:val="en-US"/>
      </w:rPr>
      <w:drawing>
        <wp:anchor distT="0" distB="0" distL="114300" distR="114300" simplePos="0" relativeHeight="251659264" behindDoc="0" locked="0" layoutInCell="1" allowOverlap="1">
          <wp:simplePos x="0" y="0"/>
          <wp:positionH relativeFrom="column">
            <wp:posOffset>40640</wp:posOffset>
          </wp:positionH>
          <wp:positionV relativeFrom="page">
            <wp:posOffset>517525</wp:posOffset>
          </wp:positionV>
          <wp:extent cx="971550" cy="2571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anchor>
      </w:drawing>
    </w:r>
    <w:r>
      <w:rPr>
        <w:rFonts w:hint="eastAsia"/>
      </w:rPr>
      <w:t xml:space="preserve">       </w:t>
    </w:r>
    <w:r>
      <w:t xml:space="preserve">            </w:t>
    </w:r>
    <w:r>
      <w:rPr>
        <w:rFonts w:hint="eastAsia"/>
      </w:rPr>
      <w:t xml:space="preserve">     </w:t>
    </w:r>
    <w:r>
      <w:t xml:space="preserve">               </w:t>
    </w:r>
    <w:r>
      <w:rPr>
        <w:rFonts w:hint="eastAsia"/>
        <w:sz w:val="16"/>
        <w:szCs w:val="16"/>
      </w:rPr>
      <w:t>可再生能源利用分析报告——光伏发电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056E76F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iPriority="99" w:semiHidden="0" w:name="List Number"/>
    <w:lsdException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autoRedefine/>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rPr>
  </w:style>
  <w:style w:type="paragraph" w:styleId="4">
    <w:name w:val="heading 2"/>
    <w:next w:val="3"/>
    <w:link w:val="53"/>
    <w:autoRedefine/>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autoRedefine/>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uiPriority w:val="0"/>
    <w:pPr>
      <w:widowControl w:val="0"/>
      <w:spacing w:line="315" w:lineRule="atLeast"/>
      <w:ind w:firstLine="420"/>
      <w:jc w:val="both"/>
      <w:textAlignment w:val="baseline"/>
    </w:pPr>
    <w:rPr>
      <w:rFonts w:ascii="宋体"/>
      <w:lang w:val="en-US"/>
    </w:rPr>
  </w:style>
  <w:style w:type="paragraph" w:styleId="15">
    <w:name w:val="caption"/>
    <w:basedOn w:val="1"/>
    <w:next w:val="1"/>
    <w:autoRedefine/>
    <w:unhideWhenUsed/>
    <w:qFormat/>
    <w:uiPriority w:val="0"/>
    <w:pPr>
      <w:jc w:val="center"/>
    </w:pPr>
    <w:rPr>
      <w:rFonts w:eastAsia="黑体" w:asciiTheme="majorHAnsi" w:hAnsiTheme="majorHAnsi" w:cstheme="majorBidi"/>
    </w:rPr>
  </w:style>
  <w:style w:type="paragraph" w:styleId="16">
    <w:name w:val="Document Map"/>
    <w:basedOn w:val="1"/>
    <w:semiHidden/>
    <w:uiPriority w:val="0"/>
    <w:pPr>
      <w:shd w:val="clear" w:color="auto" w:fill="000080"/>
    </w:pPr>
  </w:style>
  <w:style w:type="paragraph" w:styleId="17">
    <w:name w:val="annotation text"/>
    <w:basedOn w:val="1"/>
    <w:link w:val="46"/>
    <w:uiPriority w:val="0"/>
  </w:style>
  <w:style w:type="paragraph" w:styleId="18">
    <w:name w:val="Body Text Indent"/>
    <w:basedOn w:val="1"/>
    <w:link w:val="39"/>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uiPriority w:val="0"/>
    <w:pPr>
      <w:ind w:left="100" w:leftChars="2500"/>
    </w:pPr>
  </w:style>
  <w:style w:type="paragraph" w:styleId="22">
    <w:name w:val="Balloon Text"/>
    <w:basedOn w:val="1"/>
    <w:link w:val="48"/>
    <w:uiPriority w:val="99"/>
    <w:rPr>
      <w:szCs w:val="18"/>
    </w:rPr>
  </w:style>
  <w:style w:type="paragraph" w:styleId="23">
    <w:name w:val="footer"/>
    <w:basedOn w:val="1"/>
    <w:link w:val="43"/>
    <w:uiPriority w:val="99"/>
    <w:pPr>
      <w:tabs>
        <w:tab w:val="center" w:pos="4153"/>
        <w:tab w:val="right" w:pos="8306"/>
      </w:tabs>
    </w:pPr>
    <w:rPr>
      <w:szCs w:val="18"/>
    </w:rPr>
  </w:style>
  <w:style w:type="paragraph" w:styleId="24">
    <w:name w:val="header"/>
    <w:basedOn w:val="1"/>
    <w:link w:val="62"/>
    <w:uiPriority w:val="99"/>
    <w:pPr>
      <w:pBdr>
        <w:bottom w:val="single" w:color="auto" w:sz="6" w:space="1"/>
      </w:pBdr>
      <w:tabs>
        <w:tab w:val="center" w:pos="4153"/>
        <w:tab w:val="right" w:pos="8306"/>
      </w:tabs>
      <w:jc w:val="center"/>
    </w:pPr>
    <w:rPr>
      <w:szCs w:val="18"/>
    </w:rPr>
  </w:style>
  <w:style w:type="paragraph" w:styleId="25">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6">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7">
    <w:name w:val="Normal (Web)"/>
    <w:basedOn w:val="1"/>
    <w:unhideWhenUsed/>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uiPriority w:val="0"/>
    <w:rPr>
      <w:b/>
      <w:bCs/>
    </w:rPr>
  </w:style>
  <w:style w:type="table" w:styleId="31">
    <w:name w:val="Table Grid"/>
    <w:basedOn w:val="30"/>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uiPriority w:val="0"/>
  </w:style>
  <w:style w:type="character" w:styleId="35">
    <w:name w:val="FollowedHyperlink"/>
    <w:uiPriority w:val="0"/>
    <w:rPr>
      <w:color w:val="800080"/>
      <w:u w:val="single"/>
    </w:rPr>
  </w:style>
  <w:style w:type="character" w:styleId="36">
    <w:name w:val="Emphasis"/>
    <w:basedOn w:val="32"/>
    <w:qFormat/>
    <w:uiPriority w:val="0"/>
    <w:rPr>
      <w:i/>
      <w:iCs/>
    </w:rPr>
  </w:style>
  <w:style w:type="character" w:styleId="37">
    <w:name w:val="Hyperlink"/>
    <w:uiPriority w:val="99"/>
    <w:rPr>
      <w:color w:val="0000FF"/>
      <w:u w:val="single"/>
    </w:rPr>
  </w:style>
  <w:style w:type="character" w:styleId="38">
    <w:name w:val="annotation reference"/>
    <w:uiPriority w:val="0"/>
    <w:rPr>
      <w:sz w:val="21"/>
      <w:szCs w:val="21"/>
    </w:rPr>
  </w:style>
  <w:style w:type="character" w:customStyle="1" w:styleId="39">
    <w:name w:val="正文文本缩进 字符"/>
    <w:link w:val="18"/>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locked/>
    <w:uiPriority w:val="0"/>
    <w:rPr>
      <w:rFonts w:ascii="宋体" w:hAnsi="宋体" w:eastAsia="宋体"/>
      <w:kern w:val="2"/>
      <w:sz w:val="24"/>
      <w:szCs w:val="24"/>
      <w:lang w:val="en-US" w:eastAsia="zh-CN" w:bidi="ar-SA"/>
    </w:rPr>
  </w:style>
  <w:style w:type="character" w:customStyle="1" w:styleId="42">
    <w:name w:val="Char Char21"/>
    <w:uiPriority w:val="0"/>
    <w:rPr>
      <w:rFonts w:ascii="宋体" w:hAnsi="宋体" w:eastAsia="宋体" w:cs="Times New Roman"/>
      <w:sz w:val="24"/>
      <w:szCs w:val="24"/>
    </w:rPr>
  </w:style>
  <w:style w:type="character" w:customStyle="1" w:styleId="43">
    <w:name w:val="页脚 字符"/>
    <w:link w:val="23"/>
    <w:uiPriority w:val="99"/>
    <w:rPr>
      <w:rFonts w:eastAsia="宋体"/>
      <w:sz w:val="18"/>
      <w:szCs w:val="18"/>
      <w:lang w:val="en-GB" w:eastAsia="zh-CN" w:bidi="ar-SA"/>
    </w:rPr>
  </w:style>
  <w:style w:type="character" w:customStyle="1" w:styleId="44">
    <w:name w:val="Char Char1"/>
    <w:uiPriority w:val="0"/>
    <w:rPr>
      <w:rFonts w:ascii="宋体" w:hAnsi="宋体" w:eastAsia="宋体"/>
      <w:kern w:val="2"/>
      <w:sz w:val="24"/>
      <w:szCs w:val="24"/>
      <w:lang w:val="en-US" w:eastAsia="zh-CN" w:bidi="ar-SA"/>
    </w:rPr>
  </w:style>
  <w:style w:type="character" w:customStyle="1" w:styleId="45">
    <w:name w:val="Char Char"/>
    <w:locked/>
    <w:uiPriority w:val="0"/>
    <w:rPr>
      <w:rFonts w:ascii="宋体" w:hAnsi="宋体" w:eastAsia="宋体"/>
      <w:kern w:val="2"/>
      <w:sz w:val="24"/>
      <w:szCs w:val="24"/>
      <w:lang w:val="en-US" w:eastAsia="zh-CN" w:bidi="ar-SA"/>
    </w:rPr>
  </w:style>
  <w:style w:type="character" w:customStyle="1" w:styleId="46">
    <w:name w:val="批注文字 字符"/>
    <w:link w:val="17"/>
    <w:uiPriority w:val="0"/>
    <w:rPr>
      <w:sz w:val="18"/>
      <w:lang w:val="en-GB"/>
    </w:rPr>
  </w:style>
  <w:style w:type="character" w:customStyle="1" w:styleId="47">
    <w:name w:val="批注主题 字符"/>
    <w:link w:val="29"/>
    <w:uiPriority w:val="0"/>
    <w:rPr>
      <w:b/>
      <w:bCs/>
      <w:sz w:val="18"/>
      <w:lang w:val="en-GB"/>
    </w:rPr>
  </w:style>
  <w:style w:type="character" w:customStyle="1" w:styleId="48">
    <w:name w:val="批注框文本 字符"/>
    <w:link w:val="22"/>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uiPriority w:val="9"/>
    <w:rPr>
      <w:rFonts w:ascii="微软雅黑" w:hAnsi="微软雅黑" w:eastAsia="微软雅黑" w:cs="微软雅黑"/>
      <w:b/>
      <w:bCs/>
      <w:color w:val="ED7D31" w:themeColor="accent2"/>
      <w:kern w:val="32"/>
      <w:sz w:val="28"/>
      <w:szCs w:val="28"/>
    </w:rPr>
  </w:style>
  <w:style w:type="character" w:customStyle="1" w:styleId="51">
    <w:name w:val="日期 字符"/>
    <w:basedOn w:val="32"/>
    <w:link w:val="21"/>
    <w:uiPriority w:val="0"/>
    <w:rPr>
      <w:sz w:val="18"/>
      <w:lang w:val="en-GB"/>
    </w:rPr>
  </w:style>
  <w:style w:type="character" w:customStyle="1" w:styleId="52">
    <w:name w:val="正文缩进 字符"/>
    <w:link w:val="14"/>
    <w:uiPriority w:val="0"/>
    <w:rPr>
      <w:rFonts w:ascii="宋体"/>
      <w:sz w:val="21"/>
    </w:rPr>
  </w:style>
  <w:style w:type="character" w:customStyle="1" w:styleId="53">
    <w:name w:val="标题 2 字符"/>
    <w:basedOn w:val="32"/>
    <w:link w:val="4"/>
    <w:uiPriority w:val="9"/>
    <w:rPr>
      <w:rFonts w:ascii="微软雅黑" w:hAnsi="微软雅黑" w:eastAsia="微软雅黑" w:cs="微软雅黑"/>
      <w:b/>
      <w:bCs/>
      <w:iCs/>
      <w:color w:val="000000"/>
      <w:sz w:val="24"/>
      <w:szCs w:val="24"/>
    </w:rPr>
  </w:style>
  <w:style w:type="character" w:customStyle="1" w:styleId="54">
    <w:name w:val="标题 3 字符"/>
    <w:basedOn w:val="32"/>
    <w:link w:val="5"/>
    <w:uiPriority w:val="9"/>
    <w:rPr>
      <w:rFonts w:ascii="微软雅黑" w:hAnsi="微软雅黑" w:eastAsia="微软雅黑" w:cs="微软雅黑"/>
      <w:b/>
      <w:bCs/>
      <w:sz w:val="24"/>
      <w:szCs w:val="21"/>
    </w:rPr>
  </w:style>
  <w:style w:type="character" w:customStyle="1" w:styleId="55">
    <w:name w:val="标题 4 字符"/>
    <w:basedOn w:val="32"/>
    <w:link w:val="6"/>
    <w:uiPriority w:val="9"/>
    <w:rPr>
      <w:b/>
      <w:bCs/>
      <w:sz w:val="21"/>
      <w:szCs w:val="28"/>
      <w:lang w:val="en-GB"/>
    </w:rPr>
  </w:style>
  <w:style w:type="character" w:customStyle="1" w:styleId="56">
    <w:name w:val="标题 5 字符"/>
    <w:basedOn w:val="32"/>
    <w:link w:val="7"/>
    <w:uiPriority w:val="9"/>
    <w:rPr>
      <w:b/>
      <w:bCs/>
      <w:iCs/>
      <w:sz w:val="21"/>
      <w:szCs w:val="26"/>
      <w:lang w:val="en-GB"/>
    </w:rPr>
  </w:style>
  <w:style w:type="character" w:customStyle="1" w:styleId="57">
    <w:name w:val="标题 6 字符"/>
    <w:basedOn w:val="32"/>
    <w:link w:val="8"/>
    <w:uiPriority w:val="9"/>
    <w:rPr>
      <w:b/>
      <w:bCs/>
      <w:sz w:val="21"/>
      <w:szCs w:val="22"/>
      <w:lang w:val="en-GB"/>
    </w:rPr>
  </w:style>
  <w:style w:type="character" w:customStyle="1" w:styleId="58">
    <w:name w:val="标题 7 字符"/>
    <w:basedOn w:val="32"/>
    <w:link w:val="9"/>
    <w:uiPriority w:val="9"/>
    <w:rPr>
      <w:sz w:val="24"/>
      <w:szCs w:val="24"/>
      <w:lang w:val="en-GB"/>
    </w:rPr>
  </w:style>
  <w:style w:type="character" w:customStyle="1" w:styleId="59">
    <w:name w:val="标题 8 字符"/>
    <w:basedOn w:val="32"/>
    <w:link w:val="10"/>
    <w:uiPriority w:val="9"/>
    <w:rPr>
      <w:i/>
      <w:iCs/>
      <w:sz w:val="24"/>
      <w:szCs w:val="24"/>
      <w:lang w:val="en-GB"/>
    </w:rPr>
  </w:style>
  <w:style w:type="character" w:customStyle="1" w:styleId="60">
    <w:name w:val="标题 9 字符"/>
    <w:basedOn w:val="32"/>
    <w:link w:val="11"/>
    <w:uiPriority w:val="9"/>
    <w:rPr>
      <w:rFonts w:ascii="Arial" w:hAnsi="Arial" w:cs="Arial"/>
      <w:sz w:val="22"/>
      <w:szCs w:val="22"/>
      <w:lang w:val="en-GB"/>
    </w:rPr>
  </w:style>
  <w:style w:type="character" w:customStyle="1" w:styleId="61">
    <w:name w:val="标题 字符"/>
    <w:basedOn w:val="32"/>
    <w:link w:val="28"/>
    <w:uiPriority w:val="10"/>
    <w:rPr>
      <w:rFonts w:asciiTheme="majorHAnsi" w:hAnsiTheme="majorHAnsi" w:cstheme="majorBidi"/>
      <w:b/>
      <w:bCs/>
      <w:kern w:val="2"/>
      <w:sz w:val="32"/>
      <w:szCs w:val="32"/>
    </w:rPr>
  </w:style>
  <w:style w:type="character" w:customStyle="1" w:styleId="62">
    <w:name w:val="页眉 字符"/>
    <w:basedOn w:val="32"/>
    <w:link w:val="24"/>
    <w:uiPriority w:val="99"/>
    <w:rPr>
      <w:sz w:val="18"/>
      <w:szCs w:val="18"/>
      <w:lang w:val="en-GB"/>
    </w:rPr>
  </w:style>
  <w:style w:type="character" w:customStyle="1" w:styleId="63">
    <w:name w:val="seatsp"/>
    <w:basedOn w:val="32"/>
    <w:uiPriority w:val="0"/>
  </w:style>
  <w:style w:type="character" w:customStyle="1" w:styleId="64">
    <w:name w:val="ss3"/>
    <w:basedOn w:val="32"/>
    <w:uiPriority w:val="0"/>
  </w:style>
  <w:style w:type="character" w:customStyle="1" w:styleId="65">
    <w:name w:val="正文格式 Char Char"/>
    <w:link w:val="66"/>
    <w:uiPriority w:val="0"/>
    <w:rPr>
      <w:rFonts w:eastAsia="仿宋_GB2312" w:cs="宋体"/>
      <w:color w:val="000000"/>
      <w:kern w:val="2"/>
      <w:sz w:val="28"/>
    </w:rPr>
  </w:style>
  <w:style w:type="paragraph" w:customStyle="1" w:styleId="66">
    <w:name w:val="正文格式"/>
    <w:basedOn w:val="1"/>
    <w:link w:val="65"/>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uiPriority w:val="0"/>
    <w:rPr>
      <w:rFonts w:eastAsia="华文细黑"/>
      <w:kern w:val="2"/>
      <w:sz w:val="24"/>
      <w:lang w:val="zh-CN" w:eastAsia="zh-CN"/>
    </w:rPr>
  </w:style>
  <w:style w:type="character" w:customStyle="1" w:styleId="68">
    <w:name w:val="fontstyle01"/>
    <w:basedOn w:val="32"/>
    <w:uiPriority w:val="0"/>
    <w:rPr>
      <w:rFonts w:hint="eastAsia" w:ascii="黑体" w:hAnsi="黑体" w:eastAsia="黑体"/>
      <w:color w:val="000000"/>
      <w:sz w:val="52"/>
      <w:szCs w:val="52"/>
    </w:rPr>
  </w:style>
  <w:style w:type="table" w:customStyle="1" w:styleId="69">
    <w:name w:val="List Table 2 Accent 2"/>
    <w:basedOn w:val="30"/>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Grid Table 6 Colorful Accent 3"/>
    <w:basedOn w:val="30"/>
    <w:uiPriority w:val="51"/>
    <w:rPr>
      <w:color w:val="7B7B7B"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List Table 1 Light Accent 3"/>
    <w:basedOn w:val="30"/>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List Table 2 Accent 3"/>
    <w:basedOn w:val="30"/>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List Table 4 Accent 3"/>
    <w:basedOn w:val="30"/>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List Table 4 Accent 4"/>
    <w:basedOn w:val="30"/>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List Table 6 Colorful Accent 3"/>
    <w:basedOn w:val="30"/>
    <w:uiPriority w:val="51"/>
    <w:rPr>
      <w:color w:val="7B7B7B"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List Table 3 Accent 3"/>
    <w:basedOn w:val="30"/>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Plain Table 2"/>
    <w:basedOn w:val="30"/>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autoRedefine/>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autoRedefine/>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7.wmf"/><Relationship Id="rId16" Type="http://schemas.openxmlformats.org/officeDocument/2006/relationships/oleObject" Target="embeddings/oleObject1.bin"/><Relationship Id="rId15" Type="http://schemas.openxmlformats.org/officeDocument/2006/relationships/image" Target="media/image6.bmp"/><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jpe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A431-D1D7-401C-B76D-91A75539D5A6}">
  <ds:schemaRefs/>
</ds:datastoreItem>
</file>

<file path=docProps/app.xml><?xml version="1.0" encoding="utf-8"?>
<Properties xmlns="http://schemas.openxmlformats.org/officeDocument/2006/extended-properties" xmlns:vt="http://schemas.openxmlformats.org/officeDocument/2006/docPropsVTypes">
  <Template>光伏发电分析报告模板.dotx</Template>
  <Pages>13</Pages>
  <Words>1392</Words>
  <Characters>7939</Characters>
  <Lines>66</Lines>
  <Paragraphs>18</Paragraphs>
  <TotalTime>0</TotalTime>
  <ScaleCrop>false</ScaleCrop>
  <LinksUpToDate>false</LinksUpToDate>
  <CharactersWithSpaces>9313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2023-04-17T05:55:00Z</dcterms:created>
  <dc:creator>Windows 用户</dc:creator>
  <cp:lastModifiedBy>！</cp:lastModifiedBy>
  <cp:lastPrinted>2411-12-31T16:00:00Z</cp:lastPrinted>
  <dcterms:modified xsi:type="dcterms:W3CDTF">2023-12-30T10:57:47Z</dcterms:modified>
  <dc:title>光伏发电分析报告</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67DA410E4EC541ADB8AA76FA48B4244D_12</vt:lpwstr>
  </property>
</Properties>
</file>