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江苏-苏州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2024年1月7日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T13057119607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_Toc13824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_Toc13824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_Toc20126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_Toc20126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_Toc14728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_Toc14728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_Toc9198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_Toc9198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_Toc18172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_Toc18172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_Toc19457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_Toc19457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_Toc29590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_Toc29590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_Toc5467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_Toc5467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_Toc28978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_Toc28978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_Toc14886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_Toc14886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_Toc10763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_Toc10763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_Toc6538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_Toc6538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_Toc28472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_Toc28472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_Toc7328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_Toc7328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_Toc30786 </w:instrText>
      </w:r>
      <w:r>
        <w:fldChar w:fldCharType="separate"/>
      </w:r>
      <w:r>
        <w:rPr>
          <w:rFonts w:hint="eastAsia"/>
          <w:lang w:val="en-GB"/>
        </w:rPr>
        <w:t xml:space="preserve">6.3 </w:t>
      </w:r>
      <w:r>
        <w:t>体形系数</w:t>
      </w:r>
      <w:r>
        <w:tab/>
      </w:r>
      <w:r>
        <w:fldChar w:fldCharType="begin"/>
      </w:r>
      <w:r>
        <w:instrText xml:space="preserve"> PAGEREF _Toc30786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_Toc11327 </w:instrText>
      </w:r>
      <w:r>
        <w:fldChar w:fldCharType="separate"/>
      </w:r>
      <w:r>
        <w:rPr>
          <w:rFonts w:hint="eastAsia"/>
          <w:lang w:val="en-GB"/>
        </w:rPr>
        <w:t xml:space="preserve">6.4 </w:t>
      </w:r>
      <w:r>
        <w:t>窗墙比</w:t>
      </w:r>
      <w:r>
        <w:tab/>
      </w:r>
      <w:r>
        <w:fldChar w:fldCharType="begin"/>
      </w:r>
      <w:r>
        <w:instrText xml:space="preserve"> PAGEREF _Toc11327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_Toc9295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6.4.1 </w:t>
      </w:r>
      <w:r>
        <w:t>窗墙比</w:t>
      </w:r>
      <w:r>
        <w:tab/>
      </w:r>
      <w:r>
        <w:fldChar w:fldCharType="begin"/>
      </w:r>
      <w:r>
        <w:instrText xml:space="preserve"> PAGEREF _Toc9295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6.4.2 </w:t>
      </w:r>
      <w:r>
        <w:t>外窗表</w:t>
      </w:r>
      <w:r>
        <w:tab/>
      </w:r>
      <w:r>
        <w:fldChar w:fldCharType="begin"/>
      </w:r>
      <w:r>
        <w:instrText xml:space="preserve"> PAGEREF _Toc1525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_Toc12722 </w:instrText>
      </w:r>
      <w:r>
        <w:fldChar w:fldCharType="separate"/>
      </w:r>
      <w:r>
        <w:rPr>
          <w:rFonts w:hint="eastAsia"/>
          <w:lang w:val="en-GB"/>
        </w:rPr>
        <w:t xml:space="preserve">6.5 </w:t>
      </w:r>
      <w:r>
        <w:t>可见光透射比</w:t>
      </w:r>
      <w:r>
        <w:tab/>
      </w:r>
      <w:r>
        <w:fldChar w:fldCharType="begin"/>
      </w:r>
      <w:r>
        <w:instrText xml:space="preserve"> PAGEREF _Toc12722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_Toc29150 </w:instrText>
      </w:r>
      <w:r>
        <w:fldChar w:fldCharType="separate"/>
      </w:r>
      <w:r>
        <w:rPr>
          <w:rFonts w:hint="eastAsia"/>
          <w:lang w:val="en-GB"/>
        </w:rPr>
        <w:t xml:space="preserve">6.6 </w:t>
      </w:r>
      <w:r>
        <w:t>天窗</w:t>
      </w:r>
      <w:r>
        <w:tab/>
      </w:r>
      <w:r>
        <w:fldChar w:fldCharType="begin"/>
      </w:r>
      <w:r>
        <w:instrText xml:space="preserve"> PAGEREF _Toc29150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6.6.1 </w:t>
      </w:r>
      <w:r>
        <w:t>天窗屋顶比</w:t>
      </w:r>
      <w:r>
        <w:tab/>
      </w:r>
      <w:r>
        <w:fldChar w:fldCharType="begin"/>
      </w:r>
      <w:r>
        <w:instrText xml:space="preserve"> PAGEREF _Toc1757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6.6.2 </w:t>
      </w:r>
      <w:r>
        <w:t>天窗类型</w:t>
      </w:r>
      <w:r>
        <w:tab/>
      </w:r>
      <w:r>
        <w:fldChar w:fldCharType="begin"/>
      </w:r>
      <w:r>
        <w:instrText xml:space="preserve"> PAGEREF _Toc10310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_Toc16395 </w:instrText>
      </w:r>
      <w:r>
        <w:fldChar w:fldCharType="separate"/>
      </w:r>
      <w:r>
        <w:rPr>
          <w:rFonts w:hint="eastAsia"/>
          <w:lang w:val="en-GB"/>
        </w:rPr>
        <w:t xml:space="preserve">6.7 </w:t>
      </w:r>
      <w:r>
        <w:t>屋顶构造</w:t>
      </w:r>
      <w:r>
        <w:tab/>
      </w:r>
      <w:r>
        <w:fldChar w:fldCharType="begin"/>
      </w:r>
      <w:r>
        <w:instrText xml:space="preserve"> PAGEREF _Toc16395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6.7.1 </w:t>
      </w:r>
      <w:r>
        <w:t>屋顶构造一</w:t>
      </w:r>
      <w:r>
        <w:tab/>
      </w:r>
      <w:r>
        <w:fldChar w:fldCharType="begin"/>
      </w:r>
      <w:r>
        <w:instrText xml:space="preserve"> PAGEREF _Toc27951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_Toc3870 </w:instrText>
      </w:r>
      <w:r>
        <w:fldChar w:fldCharType="separate"/>
      </w:r>
      <w:r>
        <w:rPr>
          <w:rFonts w:hint="eastAsia"/>
          <w:lang w:val="en-GB"/>
        </w:rPr>
        <w:t xml:space="preserve">6.8 </w:t>
      </w:r>
      <w:r>
        <w:t>外墙构造</w:t>
      </w:r>
      <w:r>
        <w:tab/>
      </w:r>
      <w:r>
        <w:fldChar w:fldCharType="begin"/>
      </w:r>
      <w:r>
        <w:instrText xml:space="preserve"> PAGEREF _Toc3870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_Toc22834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6.8.1 </w:t>
      </w:r>
      <w:r>
        <w:t>外墙相关构造</w:t>
      </w:r>
      <w:r>
        <w:tab/>
      </w:r>
      <w:r>
        <w:fldChar w:fldCharType="begin"/>
      </w:r>
      <w:r>
        <w:instrText xml:space="preserve"> PAGEREF _Toc22834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_Toc10114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6.8.2 </w:t>
      </w:r>
      <w:r>
        <w:t>外墙主断面传热系数的修正系数ψ</w:t>
      </w:r>
      <w:r>
        <w:tab/>
      </w:r>
      <w:r>
        <w:fldChar w:fldCharType="begin"/>
      </w:r>
      <w:r>
        <w:instrText xml:space="preserve"> PAGEREF _Toc10114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_Toc16990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6.8.3 </w:t>
      </w:r>
      <w:r>
        <w:t>外墙平均热工特性</w:t>
      </w:r>
      <w:r>
        <w:tab/>
      </w:r>
      <w:r>
        <w:fldChar w:fldCharType="begin"/>
      </w:r>
      <w:r>
        <w:instrText xml:space="preserve"> PAGEREF _Toc16990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_Toc32278 </w:instrText>
      </w:r>
      <w:r>
        <w:fldChar w:fldCharType="separate"/>
      </w:r>
      <w:r>
        <w:rPr>
          <w:rFonts w:hint="eastAsia"/>
          <w:lang w:val="en-GB"/>
        </w:rPr>
        <w:t xml:space="preserve">6.9 </w:t>
      </w:r>
      <w:r>
        <w:t>挑空楼板构造</w:t>
      </w:r>
      <w:r>
        <w:tab/>
      </w:r>
      <w:r>
        <w:fldChar w:fldCharType="begin"/>
      </w:r>
      <w:r>
        <w:instrText xml:space="preserve"> PAGEREF _Toc32278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6.9.1 </w:t>
      </w:r>
      <w:r>
        <w:t>挑空楼板构造一</w:t>
      </w:r>
      <w:r>
        <w:tab/>
      </w:r>
      <w:r>
        <w:fldChar w:fldCharType="begin"/>
      </w:r>
      <w:r>
        <w:instrText xml:space="preserve"> PAGEREF _Toc3319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_Toc9576 </w:instrText>
      </w:r>
      <w:r>
        <w:fldChar w:fldCharType="separate"/>
      </w:r>
      <w:r>
        <w:rPr>
          <w:rFonts w:hint="eastAsia"/>
          <w:lang w:val="en-GB"/>
        </w:rPr>
        <w:t xml:space="preserve">6.10 </w:t>
      </w:r>
      <w:r>
        <w:t>外窗热工</w:t>
      </w:r>
      <w:r>
        <w:tab/>
      </w:r>
      <w:r>
        <w:fldChar w:fldCharType="begin"/>
      </w:r>
      <w:r>
        <w:instrText xml:space="preserve"> PAGEREF _Toc9576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6.10.1 </w:t>
      </w:r>
      <w:r>
        <w:t>外窗构造</w:t>
      </w:r>
      <w:r>
        <w:tab/>
      </w:r>
      <w:r>
        <w:fldChar w:fldCharType="begin"/>
      </w:r>
      <w:r>
        <w:instrText xml:space="preserve"> PAGEREF _Toc11078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_Toc4298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6.10.2 </w:t>
      </w:r>
      <w:r>
        <w:t>外遮阳类型</w:t>
      </w:r>
      <w:r>
        <w:tab/>
      </w:r>
      <w:r>
        <w:fldChar w:fldCharType="begin"/>
      </w:r>
      <w:r>
        <w:instrText xml:space="preserve"> PAGEREF _Toc4298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6.10.3 </w:t>
      </w:r>
      <w:r>
        <w:t>平均传热系数</w:t>
      </w:r>
      <w:r>
        <w:tab/>
      </w:r>
      <w:r>
        <w:fldChar w:fldCharType="begin"/>
      </w:r>
      <w:r>
        <w:instrText xml:space="preserve"> PAGEREF _Toc3290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_Toc7426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6.10.4 </w:t>
      </w:r>
      <w:r>
        <w:t>综合太阳得热系数</w:t>
      </w:r>
      <w:r>
        <w:tab/>
      </w:r>
      <w:r>
        <w:fldChar w:fldCharType="begin"/>
      </w:r>
      <w:r>
        <w:instrText xml:space="preserve"> PAGEREF _Toc7426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6.10.5 </w:t>
      </w:r>
      <w:r>
        <w:t>总体热工性能</w:t>
      </w:r>
      <w:r>
        <w:tab/>
      </w:r>
      <w:r>
        <w:fldChar w:fldCharType="begin"/>
      </w:r>
      <w:r>
        <w:instrText xml:space="preserve"> PAGEREF _Toc238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_Toc29615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_Toc29615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_Toc27850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_Toc27850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_Toc18069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_Toc18069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_Toc32340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_Toc2659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_Toc1088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_Toc1088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_Toc21696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_Toc8298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_Toc8298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_Toc24475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_Toc24475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_Toc28265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_Toc28265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_Toc1038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多联机/单元式热泵能耗</w:t>
      </w:r>
      <w:r>
        <w:tab/>
      </w:r>
      <w:r>
        <w:fldChar w:fldCharType="begin"/>
      </w:r>
      <w:r>
        <w:instrText xml:space="preserve"> PAGEREF _Toc18271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_Toc20829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_Toc20829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_Toc21895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_Toc21895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_Toc18636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_Toc18636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_Toc32031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_Toc32031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_Toc19823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_Toc19823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_Toc3477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_Toc3477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_Toc3864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_Toc3864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房间表</w:t>
      </w:r>
      <w:r>
        <w:tab/>
      </w:r>
      <w:r>
        <w:fldChar w:fldCharType="begin"/>
      </w:r>
      <w:r>
        <w:instrText xml:space="preserve"> PAGEREF _Toc1309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_Toc12815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_Toc12815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_Toc16937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_Toc16937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_Toc16699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_Toc16699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冷水机组</w:t>
      </w:r>
      <w:r>
        <w:tab/>
      </w:r>
      <w:r>
        <w:fldChar w:fldCharType="begin"/>
      </w:r>
      <w:r>
        <w:instrText xml:space="preserve"> PAGEREF _Toc6480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9.3.2 </w:t>
      </w:r>
      <w:r>
        <w:t>冷却水泵</w:t>
      </w:r>
      <w:r>
        <w:tab/>
      </w:r>
      <w:r>
        <w:fldChar w:fldCharType="begin"/>
      </w:r>
      <w:r>
        <w:instrText xml:space="preserve"> PAGEREF _Toc9956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_Toc15263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9.3.3 </w:t>
      </w:r>
      <w:r>
        <w:t>冷冻水泵</w:t>
      </w:r>
      <w:r>
        <w:tab/>
      </w:r>
      <w:r>
        <w:fldChar w:fldCharType="begin"/>
      </w:r>
      <w:r>
        <w:instrText xml:space="preserve"> PAGEREF _Toc15263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9.3.4 </w:t>
      </w:r>
      <w:r>
        <w:t>多联机/单元式空调能耗</w:t>
      </w:r>
      <w:r>
        <w:tab/>
      </w:r>
      <w:r>
        <w:fldChar w:fldCharType="begin"/>
      </w:r>
      <w:r>
        <w:instrText xml:space="preserve"> PAGEREF _Toc2105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_Toc30843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_Toc30843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多联机/单元式热泵能耗</w:t>
      </w:r>
      <w:r>
        <w:tab/>
      </w:r>
      <w:r>
        <w:fldChar w:fldCharType="begin"/>
      </w:r>
      <w:r>
        <w:instrText xml:space="preserve"> PAGEREF _Toc565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_Toc32628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_Toc32628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_Toc31398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_Toc31398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_Toc10674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照明</w:t>
      </w:r>
      <w:r>
        <w:tab/>
      </w:r>
      <w:r>
        <w:fldChar w:fldCharType="begin"/>
      </w:r>
      <w:r>
        <w:instrText xml:space="preserve"> PAGEREF _Toc10674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_Toc3673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负荷分项统计</w:t>
      </w:r>
      <w:r>
        <w:tab/>
      </w:r>
      <w:r>
        <w:fldChar w:fldCharType="begin"/>
      </w:r>
      <w:r>
        <w:instrText xml:space="preserve"> PAGEREF _Toc3673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_Toc20464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_Toc20464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_Toc11706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_Toc11706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_Toc6426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_Toc6426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_Toc17262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_Toc17262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_Toc20232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_Toc20232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_Toc23720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_Toc23720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_Toc29168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_Toc29168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_Toc18766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_Toc18766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1" w:name="_Toc13824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江苏-苏州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31.32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120.62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6132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16.0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36851.32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6679.82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0" w:name="_Toc20126"/>
      <w:r>
        <w:rPr>
          <w:rFonts w:hint="eastAsia"/>
        </w:rPr>
        <w:t>计算依据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31856"/>
      <w:bookmarkStart w:id="33" w:name="_Toc25351"/>
      <w:bookmarkStart w:id="34" w:name="_Toc14728"/>
      <w:r>
        <w:rPr>
          <w:rFonts w:hint="eastAsia"/>
        </w:rPr>
        <w:t>计算要求</w:t>
      </w:r>
      <w:bookmarkEnd w:id="32"/>
      <w:bookmarkEnd w:id="33"/>
      <w:bookmarkEnd w:id="34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198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40" w:name="_Toc18172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41" w:name="_Toc58336110"/>
      <w:bookmarkStart w:id="42" w:name="_Toc59800596"/>
      <w:bookmarkStart w:id="43" w:name="_Toc19457"/>
      <w:bookmarkStart w:id="44" w:name="_Toc59787735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46" w:name="_Toc29590"/>
      <w:r>
        <w:rPr>
          <w:rFonts w:hint="eastAsia"/>
        </w:rPr>
        <w:t>气象数据</w:t>
      </w:r>
      <w:bookmarkEnd w:id="46"/>
    </w:p>
    <w:p>
      <w:pPr>
        <w:pStyle w:val="4"/>
      </w:pPr>
      <w:bookmarkStart w:id="47" w:name="_Toc5467"/>
      <w:r>
        <w:rPr>
          <w:rFonts w:hint="eastAsia"/>
        </w:rPr>
        <w:t>气象地点</w:t>
      </w:r>
      <w:bookmarkEnd w:id="47"/>
    </w:p>
    <w:p>
      <w:pPr>
        <w:pStyle w:val="3"/>
        <w:ind w:firstLine="420"/>
        <w:rPr>
          <w:lang w:val="en-US"/>
        </w:rPr>
      </w:pPr>
      <w:bookmarkStart w:id="48" w:name="气象数据来源"/>
      <w:r>
        <w:t>上海-上海, 《中国建筑热环境分析专用气象数据集》</w:t>
      </w:r>
      <w:bookmarkEnd w:id="48"/>
    </w:p>
    <w:p>
      <w:pPr>
        <w:pStyle w:val="4"/>
      </w:pPr>
      <w:bookmarkStart w:id="49" w:name="_Toc28978"/>
      <w:r>
        <w:rPr>
          <w:rFonts w:hint="eastAsia"/>
        </w:rPr>
        <w:t>逐日干球温度表</w:t>
      </w:r>
      <w:bookmarkEnd w:id="49"/>
    </w:p>
    <w:p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</w:p>
    <w:p>
      <w:pPr>
        <w:pStyle w:val="4"/>
      </w:pPr>
      <w:bookmarkStart w:id="51" w:name="_Toc14886"/>
      <w:r>
        <w:rPr>
          <w:rFonts w:hint="eastAsia"/>
        </w:rPr>
        <w:t>逐月辐照量表</w:t>
      </w:r>
      <w:bookmarkEnd w:id="51"/>
    </w:p>
    <w:p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</w:p>
    <w:p>
      <w:pPr>
        <w:pStyle w:val="4"/>
      </w:pPr>
      <w:bookmarkStart w:id="53" w:name="_Toc10763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06月29日14时</w:t>
            </w:r>
          </w:p>
        </w:tc>
        <w:tc>
          <w:tcPr>
            <w:vAlign w:val="center"/>
          </w:tcPr>
          <w:p>
            <w:r>
              <w:t>36.7</w:t>
            </w:r>
          </w:p>
        </w:tc>
        <w:tc>
          <w:tcPr>
            <w:vAlign w:val="center"/>
          </w:tcPr>
          <w:p>
            <w:r>
              <w:t>28.9</w:t>
            </w:r>
          </w:p>
        </w:tc>
        <w:tc>
          <w:tcPr>
            <w:vAlign w:val="center"/>
          </w:tcPr>
          <w:p>
            <w:r>
              <w:t>22.3</w:t>
            </w:r>
          </w:p>
        </w:tc>
        <w:tc>
          <w:tcPr>
            <w:vAlign w:val="center"/>
          </w:tcPr>
          <w:p>
            <w:r>
              <w:t>94.1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01月10日05时</w:t>
            </w:r>
          </w:p>
        </w:tc>
        <w:tc>
          <w:tcPr>
            <w:vAlign w:val="center"/>
          </w:tcPr>
          <w:p>
            <w:r>
              <w:t>-4.4</w:t>
            </w:r>
          </w:p>
        </w:tc>
        <w:tc>
          <w:tcPr>
            <w:vAlign w:val="center"/>
          </w:tcPr>
          <w:p>
            <w:r>
              <w:t>-5.0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1.0</w:t>
            </w:r>
          </w:p>
        </w:tc>
      </w:tr>
    </w:tbl>
    <w:p>
      <w:pPr>
        <w:pStyle w:val="2"/>
        <w:widowControl w:val="0"/>
        <w:jc w:val="both"/>
      </w:pPr>
      <w:bookmarkStart w:id="54" w:name="气象峰值工况"/>
      <w:bookmarkEnd w:id="54"/>
      <w:bookmarkStart w:id="55" w:name="_Toc6538"/>
      <w:r>
        <w:t>围护结构</w:t>
      </w:r>
      <w:bookmarkEnd w:id="55"/>
    </w:p>
    <w:p>
      <w:pPr>
        <w:pStyle w:val="4"/>
        <w:widowControl w:val="0"/>
        <w:jc w:val="both"/>
      </w:pPr>
      <w:bookmarkStart w:id="56" w:name="_Toc28472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ALC加气混凝土砌块(墙体)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1782.1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用于墙体修正系数=1.35；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界面砂浆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水泥基无机矿物轻集料保温砂浆</w:t>
            </w:r>
          </w:p>
        </w:tc>
        <w:tc>
          <w:tcPr>
            <w:vAlign w:val="center"/>
          </w:tcPr>
          <w:p>
            <w:r>
              <w:t>0.085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450.0</w:t>
            </w:r>
          </w:p>
        </w:tc>
        <w:tc>
          <w:tcPr>
            <w:vAlign w:val="center"/>
          </w:tcPr>
          <w:p>
            <w:r>
              <w:t>1164.8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适用于内保温；用于墙体修正系数=1.25；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抗裂砂浆，耐碱网格布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柔性耐水腻子，涂料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7" w:name="_Toc7328"/>
      <w:r>
        <w:t>围护结构作法简要说明</w:t>
      </w:r>
      <w:bookmarkEnd w:id="57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ALC加气混凝土砌块(墙体) 200mm</w:t>
      </w:r>
      <w:r>
        <w:rPr>
          <w:color w:val="000000"/>
        </w:rPr>
        <w:t>＋界面砂浆 2mm＋水泥基无机矿物轻集料保温砂浆 30mm＋抗裂砂浆，耐碱网格布 2mm＋柔性耐水腻子，涂料 2mm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40mm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外窗构造：</w:t>
      </w:r>
      <w:r>
        <w:rPr>
          <w:color w:val="0000FF"/>
          <w:sz w:val="21"/>
          <w:szCs w:val="21"/>
        </w:rPr>
        <w:t>5mm纳米镀膜（HJ-N-系）+12A(空气)+5mm玻璃（暖边密封）：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传热系数1.900W/m^2.K，太阳得热系数0.513</w:t>
      </w:r>
    </w:p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58" w:name="_Toc30786"/>
      <w:r>
        <w:rPr>
          <w:color w:val="000000"/>
        </w:rPr>
        <w:t>体形系数</w:t>
      </w:r>
      <w:bookmarkEnd w:id="5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6679.82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36851.32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0.18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59" w:name="_Toc11327"/>
      <w:r>
        <w:rPr>
          <w:color w:val="000000"/>
        </w:rPr>
        <w:t>窗墙比</w:t>
      </w:r>
      <w:bookmarkEnd w:id="59"/>
    </w:p>
    <w:p>
      <w:pPr>
        <w:pStyle w:val="5"/>
        <w:widowControl w:val="0"/>
        <w:jc w:val="both"/>
        <w:rPr>
          <w:color w:val="000000"/>
        </w:rPr>
      </w:pPr>
      <w:bookmarkStart w:id="60" w:name="_Toc9295"/>
      <w:r>
        <w:rPr>
          <w:color w:val="000000"/>
        </w:rPr>
        <w:t>窗墙比</w:t>
      </w:r>
      <w:bookmarkEnd w:id="6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393.99</w:t>
            </w:r>
          </w:p>
        </w:tc>
        <w:tc>
          <w:tcPr>
            <w:vAlign w:val="center"/>
          </w:tcPr>
          <w:p>
            <w:r>
              <w:t>954.60</w:t>
            </w:r>
          </w:p>
        </w:tc>
        <w:tc>
          <w:tcPr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380.02</w:t>
            </w:r>
          </w:p>
        </w:tc>
        <w:tc>
          <w:tcPr>
            <w:vAlign w:val="center"/>
          </w:tcPr>
          <w:p>
            <w:r>
              <w:t>954.60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208.24</w:t>
            </w:r>
          </w:p>
        </w:tc>
        <w:tc>
          <w:tcPr>
            <w:vAlign w:val="center"/>
          </w:tcPr>
          <w:p>
            <w:r>
              <w:t>1088.00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175.73</w:t>
            </w:r>
          </w:p>
        </w:tc>
        <w:tc>
          <w:tcPr>
            <w:vAlign w:val="center"/>
          </w:tcPr>
          <w:p>
            <w:r>
              <w:t>1088.00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1" w:name="_Toc1525"/>
      <w:r>
        <w:rPr>
          <w:color w:val="000000"/>
        </w:rPr>
        <w:t>外窗表</w:t>
      </w:r>
      <w:bookmarkEnd w:id="6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393.99</w:t>
            </w:r>
          </w:p>
        </w:tc>
        <w:tc>
          <w:tcPr>
            <w:vAlign w:val="center"/>
          </w:tcPr>
          <w:p>
            <w:r>
              <w:t>C1030</w:t>
            </w:r>
          </w:p>
        </w:tc>
        <w:tc>
          <w:tcPr>
            <w:vAlign w:val="center"/>
          </w:tcPr>
          <w:p>
            <w:r>
              <w:t>1.00×3.00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153.00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C1032</w:t>
            </w:r>
          </w:p>
        </w:tc>
        <w:tc>
          <w:tcPr>
            <w:vAlign w:val="center"/>
          </w:tcPr>
          <w:p>
            <w:r>
              <w:t>1.00×3.20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3.20</w:t>
            </w:r>
          </w:p>
        </w:tc>
        <w:tc>
          <w:tcPr>
            <w:vAlign w:val="center"/>
          </w:tcPr>
          <w:p>
            <w:r>
              <w:t>102.40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1.20×2.10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C2030</w:t>
            </w:r>
          </w:p>
        </w:tc>
        <w:tc>
          <w:tcPr>
            <w:vAlign w:val="center"/>
          </w:tcPr>
          <w:p>
            <w:r>
              <w:t>2.00×3.00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36.00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C2032</w:t>
            </w:r>
          </w:p>
        </w:tc>
        <w:tc>
          <w:tcPr>
            <w:vAlign w:val="center"/>
          </w:tcPr>
          <w:p>
            <w:r>
              <w:t>2.00×3.20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6.40</w:t>
            </w:r>
          </w:p>
        </w:tc>
        <w:tc>
          <w:tcPr>
            <w:vAlign w:val="center"/>
          </w:tcPr>
          <w:p>
            <w:r>
              <w:t>19.20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2.46×2.10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5.17</w:t>
            </w:r>
          </w:p>
        </w:tc>
        <w:tc>
          <w:tcPr>
            <w:vAlign w:val="center"/>
          </w:tcPr>
          <w:p>
            <w:r>
              <w:t>20.66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3.06×2.10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6.43</w:t>
            </w:r>
          </w:p>
        </w:tc>
        <w:tc>
          <w:tcPr>
            <w:vAlign w:val="center"/>
          </w:tcPr>
          <w:p>
            <w:r>
              <w:t>25.70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C4923</w:t>
            </w:r>
          </w:p>
        </w:tc>
        <w:tc>
          <w:tcPr>
            <w:vAlign w:val="center"/>
          </w:tcPr>
          <w:p>
            <w:r>
              <w:t>5.00×2.30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11.50</w:t>
            </w:r>
          </w:p>
        </w:tc>
        <w:tc>
          <w:tcPr>
            <w:vAlign w:val="center"/>
          </w:tcPr>
          <w:p>
            <w:r>
              <w:t>34.50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380.01</w:t>
            </w:r>
          </w:p>
        </w:tc>
        <w:tc>
          <w:tcPr>
            <w:vAlign w:val="center"/>
          </w:tcPr>
          <w:p>
            <w:r>
              <w:t>C1030</w:t>
            </w:r>
          </w:p>
        </w:tc>
        <w:tc>
          <w:tcPr>
            <w:vAlign w:val="center"/>
          </w:tcPr>
          <w:p>
            <w:r>
              <w:t>1.00×3.00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165.00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C1032</w:t>
            </w:r>
          </w:p>
        </w:tc>
        <w:tc>
          <w:tcPr>
            <w:vAlign w:val="center"/>
          </w:tcPr>
          <w:p>
            <w:r>
              <w:t>1.00×3.20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3.20</w:t>
            </w:r>
          </w:p>
        </w:tc>
        <w:tc>
          <w:tcPr>
            <w:vAlign w:val="center"/>
          </w:tcPr>
          <w:p>
            <w:r>
              <w:t>70.40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1.20×2.10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C2030</w:t>
            </w:r>
          </w:p>
        </w:tc>
        <w:tc>
          <w:tcPr>
            <w:vAlign w:val="center"/>
          </w:tcPr>
          <w:p>
            <w:r>
              <w:t>2.00×3.00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54.00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2.46×2.10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5.17</w:t>
            </w:r>
          </w:p>
        </w:tc>
        <w:tc>
          <w:tcPr>
            <w:vAlign w:val="center"/>
          </w:tcPr>
          <w:p>
            <w:r>
              <w:t>20.66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3.06×2.10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6.43</w:t>
            </w:r>
          </w:p>
        </w:tc>
        <w:tc>
          <w:tcPr>
            <w:vAlign w:val="center"/>
          </w:tcPr>
          <w:p>
            <w:r>
              <w:t>25.70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C4821</w:t>
            </w:r>
          </w:p>
        </w:tc>
        <w:tc>
          <w:tcPr>
            <w:vAlign w:val="center"/>
          </w:tcPr>
          <w:p>
            <w:r>
              <w:t>4.87×2.10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10.23</w:t>
            </w:r>
          </w:p>
        </w:tc>
        <w:tc>
          <w:tcPr>
            <w:vAlign w:val="center"/>
          </w:tcPr>
          <w:p>
            <w:r>
              <w:t>10.23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C4921</w:t>
            </w:r>
          </w:p>
        </w:tc>
        <w:tc>
          <w:tcPr>
            <w:vAlign w:val="center"/>
          </w:tcPr>
          <w:p>
            <w:r>
              <w:t>5.00×2.10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10.50</w:t>
            </w:r>
          </w:p>
        </w:tc>
        <w:tc>
          <w:tcPr>
            <w:vAlign w:val="center"/>
          </w:tcPr>
          <w:p>
            <w:r>
              <w:t>31.50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208.24</w:t>
            </w:r>
          </w:p>
        </w:tc>
        <w:tc>
          <w:tcPr>
            <w:vAlign w:val="center"/>
          </w:tcPr>
          <w:p>
            <w:r>
              <w:t>C0230</w:t>
            </w:r>
          </w:p>
        </w:tc>
        <w:tc>
          <w:tcPr>
            <w:vAlign w:val="center"/>
          </w:tcPr>
          <w:p>
            <w:r>
              <w:t>0.25×3.00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1.20×2.10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5.04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2.80×2.10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5.88</w:t>
            </w:r>
          </w:p>
        </w:tc>
        <w:tc>
          <w:tcPr>
            <w:vAlign w:val="center"/>
          </w:tcPr>
          <w:p>
            <w:r>
              <w:t>47.04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C3821</w:t>
            </w:r>
          </w:p>
        </w:tc>
        <w:tc>
          <w:tcPr>
            <w:vAlign w:val="center"/>
          </w:tcPr>
          <w:p>
            <w:r>
              <w:t>3.87×2.10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8.13</w:t>
            </w:r>
          </w:p>
        </w:tc>
        <w:tc>
          <w:tcPr>
            <w:vAlign w:val="center"/>
          </w:tcPr>
          <w:p>
            <w:r>
              <w:t>48.76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C3921</w:t>
            </w:r>
          </w:p>
        </w:tc>
        <w:tc>
          <w:tcPr>
            <w:vAlign w:val="center"/>
          </w:tcPr>
          <w:p>
            <w:r>
              <w:t>4.00×2.10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25.20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C4021</w:t>
            </w:r>
          </w:p>
        </w:tc>
        <w:tc>
          <w:tcPr>
            <w:vAlign w:val="center"/>
          </w:tcPr>
          <w:p>
            <w:r>
              <w:t>4.00×2.10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25.20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C4030</w:t>
            </w:r>
          </w:p>
        </w:tc>
        <w:tc>
          <w:tcPr>
            <w:vAlign w:val="center"/>
          </w:tcPr>
          <w:p>
            <w:r>
              <w:t>4.00×3.00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12.00</w:t>
            </w:r>
          </w:p>
        </w:tc>
        <w:tc>
          <w:tcPr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C5021</w:t>
            </w:r>
          </w:p>
        </w:tc>
        <w:tc>
          <w:tcPr>
            <w:vAlign w:val="center"/>
          </w:tcPr>
          <w:p>
            <w:r>
              <w:t>5.00×2.10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10.50</w:t>
            </w:r>
          </w:p>
        </w:tc>
        <w:tc>
          <w:tcPr>
            <w:vAlign w:val="center"/>
          </w:tcPr>
          <w:p>
            <w:r>
              <w:t>31.50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175.73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2.70×2.10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102.06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2.76×2.10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46.37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C3921</w:t>
            </w:r>
          </w:p>
        </w:tc>
        <w:tc>
          <w:tcPr>
            <w:vAlign w:val="center"/>
          </w:tcPr>
          <w:p>
            <w:r>
              <w:t>4.00×2.10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C4021</w:t>
            </w:r>
          </w:p>
        </w:tc>
        <w:tc>
          <w:tcPr>
            <w:vAlign w:val="center"/>
          </w:tcPr>
          <w:p>
            <w:r>
              <w:t>4.00×2.10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C5021</w:t>
            </w:r>
          </w:p>
        </w:tc>
        <w:tc>
          <w:tcPr>
            <w:vAlign w:val="center"/>
          </w:tcPr>
          <w:p>
            <w:r>
              <w:t>5.00×2.10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10.50</w:t>
            </w:r>
          </w:p>
        </w:tc>
        <w:tc>
          <w:tcPr>
            <w:vAlign w:val="center"/>
          </w:tcPr>
          <w:p>
            <w:r>
              <w:t>10.50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2" w:name="_Toc12722"/>
      <w:r>
        <w:rPr>
          <w:color w:val="000000"/>
        </w:rPr>
        <w:t>可见光透射比</w:t>
      </w:r>
      <w:bookmarkEnd w:id="6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4"/>
        <w:widowControl w:val="0"/>
        <w:jc w:val="both"/>
        <w:rPr>
          <w:color w:val="000000"/>
        </w:rPr>
      </w:pPr>
      <w:bookmarkStart w:id="63" w:name="_Toc29150"/>
      <w:r>
        <w:rPr>
          <w:color w:val="000000"/>
        </w:rPr>
        <w:t>天窗</w:t>
      </w:r>
      <w:bookmarkEnd w:id="63"/>
    </w:p>
    <w:p>
      <w:pPr>
        <w:pStyle w:val="5"/>
        <w:widowControl w:val="0"/>
        <w:jc w:val="both"/>
        <w:rPr>
          <w:color w:val="000000"/>
        </w:rPr>
      </w:pPr>
      <w:bookmarkStart w:id="64" w:name="_Toc1757"/>
      <w:r>
        <w:rPr>
          <w:color w:val="000000"/>
        </w:rPr>
        <w:t>天窗屋顶比</w:t>
      </w:r>
      <w:bookmarkEnd w:id="6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5"/>
        <w:widowControl w:val="0"/>
        <w:jc w:val="both"/>
        <w:rPr>
          <w:color w:val="000000"/>
        </w:rPr>
      </w:pPr>
      <w:bookmarkStart w:id="65" w:name="_Toc10310"/>
      <w:r>
        <w:rPr>
          <w:color w:val="000000"/>
        </w:rPr>
        <w:t>天窗类型</w:t>
      </w:r>
      <w:bookmarkEnd w:id="6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4"/>
        <w:widowControl w:val="0"/>
        <w:jc w:val="both"/>
        <w:rPr>
          <w:color w:val="000000"/>
        </w:rPr>
      </w:pPr>
      <w:bookmarkStart w:id="66" w:name="_Toc16395"/>
      <w:r>
        <w:rPr>
          <w:color w:val="000000"/>
        </w:rPr>
        <w:t>屋顶构造</w:t>
      </w:r>
      <w:bookmarkEnd w:id="66"/>
    </w:p>
    <w:p>
      <w:pPr>
        <w:pStyle w:val="5"/>
        <w:widowControl w:val="0"/>
        <w:jc w:val="both"/>
        <w:rPr>
          <w:color w:val="000000"/>
        </w:rPr>
      </w:pPr>
      <w:bookmarkStart w:id="67" w:name="_Toc27951"/>
      <w:r>
        <w:rPr>
          <w:color w:val="000000"/>
        </w:rPr>
        <w:t>屋顶构造一</w:t>
      </w:r>
      <w:bookmarkEnd w:id="6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68" w:name="_Toc3870"/>
      <w:r>
        <w:rPr>
          <w:color w:val="000000"/>
        </w:rPr>
        <w:t>外墙构造</w:t>
      </w:r>
      <w:bookmarkEnd w:id="68"/>
    </w:p>
    <w:p>
      <w:pPr>
        <w:pStyle w:val="5"/>
        <w:widowControl w:val="0"/>
        <w:jc w:val="both"/>
        <w:rPr>
          <w:color w:val="000000"/>
        </w:rPr>
      </w:pPr>
      <w:bookmarkStart w:id="69" w:name="_Toc22834"/>
      <w:r>
        <w:rPr>
          <w:color w:val="000000"/>
        </w:rPr>
        <w:t>外墙相关构造</w:t>
      </w:r>
      <w:bookmarkEnd w:id="69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外墙构造一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ALC加气混凝土砌块(墙体)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1.35</w:t>
            </w:r>
          </w:p>
        </w:tc>
        <w:tc>
          <w:tcPr>
            <w:vAlign w:val="center"/>
          </w:tcPr>
          <w:p>
            <w:r>
              <w:t>0.741</w:t>
            </w:r>
          </w:p>
        </w:tc>
        <w:tc>
          <w:tcPr>
            <w:vAlign w:val="center"/>
          </w:tcPr>
          <w:p>
            <w:r>
              <w:t>3.600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界面砂浆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水泥基无机矿物轻集料保温砂浆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0.085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0.353</w:t>
            </w:r>
          </w:p>
        </w:tc>
        <w:tc>
          <w:tcPr>
            <w:vAlign w:val="center"/>
          </w:tcPr>
          <w:p>
            <w:r>
              <w:t>0.635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抗裂砂浆，耐碱网格布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柔性耐水腻子，涂料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236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1.094</w:t>
            </w:r>
          </w:p>
        </w:tc>
        <w:tc>
          <w:tcPr>
            <w:vAlign w:val="center"/>
          </w:tcPr>
          <w:p>
            <w:r>
              <w:t>4.235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0.80, D = 4.24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热桥柱构造一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1.294</w:t>
            </w:r>
          </w:p>
        </w:tc>
        <w:tc>
          <w:tcPr>
            <w:vAlign w:val="center"/>
          </w:tcPr>
          <w:p>
            <w:r>
              <w:t>3.168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0" w:name="_Toc10114"/>
      <w:r>
        <w:rPr>
          <w:color w:val="000000"/>
        </w:rPr>
        <w:t>外墙主断面传热系数的修正系数ψ</w:t>
      </w:r>
      <w:bookmarkEnd w:id="70"/>
    </w:p>
    <w:p>
      <w:pPr>
        <w:jc w:val="center"/>
        <w:rPr>
          <w:szCs w:val="21"/>
          <w:lang w:val="en-US"/>
        </w:rPr>
      </w:pPr>
      <w:bookmarkStart w:id="71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1"/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72" w:name="_Toc16990"/>
      <w:r>
        <w:rPr>
          <w:color w:val="000000"/>
        </w:rPr>
        <w:t>外墙平均热工特性</w:t>
      </w:r>
      <w:bookmarkEnd w:id="7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　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560.61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4.24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0.80 × 1.10 = 0.88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　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568.84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4.24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0.80 × 1.10 = 0.88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3.　东向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867.11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4.24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0.80 × 1.10 = 0.88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4.　西向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909.97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4.24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0.80 × 1.10 = 0.88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5.　总体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2906.53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4.24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0.80 × 1.10 = 0.88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73" w:name="_Toc32278"/>
      <w:r>
        <w:rPr>
          <w:color w:val="000000"/>
        </w:rPr>
        <w:t>挑空楼板构造</w:t>
      </w:r>
      <w:bookmarkEnd w:id="73"/>
    </w:p>
    <w:p>
      <w:pPr>
        <w:pStyle w:val="5"/>
        <w:widowControl w:val="0"/>
        <w:jc w:val="both"/>
        <w:rPr>
          <w:color w:val="000000"/>
        </w:rPr>
      </w:pPr>
      <w:bookmarkStart w:id="74" w:name="_Toc3319"/>
      <w:r>
        <w:rPr>
          <w:color w:val="000000"/>
        </w:rPr>
        <w:t>挑空楼板构造一</w:t>
      </w:r>
      <w:bookmarkEnd w:id="7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1.245</w:t>
            </w:r>
          </w:p>
        </w:tc>
        <w:tc>
          <w:tcPr>
            <w:vAlign w:val="center"/>
          </w:tcPr>
          <w:p>
            <w:r>
              <w:t>2.373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0.71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75" w:name="_Toc9576"/>
      <w:r>
        <w:rPr>
          <w:color w:val="000000"/>
        </w:rPr>
        <w:t>外窗热工</w:t>
      </w:r>
      <w:bookmarkEnd w:id="75"/>
    </w:p>
    <w:p>
      <w:pPr>
        <w:pStyle w:val="5"/>
        <w:widowControl w:val="0"/>
        <w:jc w:val="both"/>
        <w:rPr>
          <w:color w:val="000000"/>
        </w:rPr>
      </w:pPr>
      <w:bookmarkStart w:id="76" w:name="_Toc11078"/>
      <w:r>
        <w:rPr>
          <w:color w:val="000000"/>
        </w:rPr>
        <w:t>外窗构造</w:t>
      </w:r>
      <w:bookmarkEnd w:id="7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5mm纳米镀膜（HJ-N-系）+12A(空气)+5mm玻璃（暖边密封）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</w:rPr>
      </w:pPr>
      <w:bookmarkStart w:id="77" w:name="_Toc4298"/>
      <w:r>
        <w:rPr>
          <w:color w:val="000000"/>
        </w:rPr>
        <w:t>外遮阳类型</w:t>
      </w:r>
      <w:bookmarkEnd w:id="7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本工程无此内容</w:t>
      </w:r>
    </w:p>
    <w:p>
      <w:pPr>
        <w:pStyle w:val="5"/>
        <w:widowControl w:val="0"/>
        <w:jc w:val="both"/>
        <w:rPr>
          <w:color w:val="000000"/>
        </w:rPr>
      </w:pPr>
      <w:bookmarkStart w:id="78" w:name="_Toc3290"/>
      <w:r>
        <w:rPr>
          <w:color w:val="000000"/>
        </w:rPr>
        <w:t>平均传热系数</w:t>
      </w:r>
      <w:bookmarkEnd w:id="7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153.000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C1032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3.200</w:t>
            </w:r>
          </w:p>
        </w:tc>
        <w:tc>
          <w:tcPr>
            <w:vAlign w:val="center"/>
          </w:tcPr>
          <w:p>
            <w:r>
              <w:t>102.400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C2030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36.000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C2032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6.400</w:t>
            </w:r>
          </w:p>
        </w:tc>
        <w:tc>
          <w:tcPr>
            <w:vAlign w:val="center"/>
          </w:tcPr>
          <w:p>
            <w:r>
              <w:t>19.200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5.166</w:t>
            </w:r>
          </w:p>
        </w:tc>
        <w:tc>
          <w:tcPr>
            <w:vAlign w:val="center"/>
          </w:tcPr>
          <w:p>
            <w:r>
              <w:t>20.664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6.426</w:t>
            </w:r>
          </w:p>
        </w:tc>
        <w:tc>
          <w:tcPr>
            <w:vAlign w:val="center"/>
          </w:tcPr>
          <w:p>
            <w:r>
              <w:t>25.704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C4923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11.500</w:t>
            </w:r>
          </w:p>
        </w:tc>
        <w:tc>
          <w:tcPr>
            <w:vAlign w:val="center"/>
          </w:tcPr>
          <w:p>
            <w:r>
              <w:t>34.500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393.988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165.000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C1032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3.200</w:t>
            </w:r>
          </w:p>
        </w:tc>
        <w:tc>
          <w:tcPr>
            <w:vAlign w:val="center"/>
          </w:tcPr>
          <w:p>
            <w:r>
              <w:t>70.400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C2030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54.000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5.166</w:t>
            </w:r>
          </w:p>
        </w:tc>
        <w:tc>
          <w:tcPr>
            <w:vAlign w:val="center"/>
          </w:tcPr>
          <w:p>
            <w:r>
              <w:t>20.664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6.426</w:t>
            </w:r>
          </w:p>
        </w:tc>
        <w:tc>
          <w:tcPr>
            <w:vAlign w:val="center"/>
          </w:tcPr>
          <w:p>
            <w:r>
              <w:t>25.704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10.227</w:t>
            </w:r>
          </w:p>
        </w:tc>
        <w:tc>
          <w:tcPr>
            <w:vAlign w:val="center"/>
          </w:tcPr>
          <w:p>
            <w:r>
              <w:t>10.227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C4921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31.500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380.015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C0230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47.040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C3821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8.127</w:t>
            </w:r>
          </w:p>
        </w:tc>
        <w:tc>
          <w:tcPr>
            <w:vAlign w:val="center"/>
          </w:tcPr>
          <w:p>
            <w:r>
              <w:t>48.762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C3921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C4021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C4030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C5021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31.500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208.242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102.060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5.796</w:t>
            </w:r>
          </w:p>
        </w:tc>
        <w:tc>
          <w:tcPr>
            <w:vAlign w:val="center"/>
          </w:tcPr>
          <w:p>
            <w:r>
              <w:t>46.368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C3921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C4021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C5021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175.728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79" w:name="_Toc7426"/>
      <w:r>
        <w:rPr>
          <w:color w:val="000000"/>
        </w:rPr>
        <w:t>综合太阳得热系数</w:t>
      </w:r>
      <w:bookmarkEnd w:id="7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153.000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C1032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3.200</w:t>
            </w:r>
          </w:p>
        </w:tc>
        <w:tc>
          <w:tcPr>
            <w:vAlign w:val="center"/>
          </w:tcPr>
          <w:p>
            <w:r>
              <w:t>102.400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C2030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36.000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C2032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6.400</w:t>
            </w:r>
          </w:p>
        </w:tc>
        <w:tc>
          <w:tcPr>
            <w:vAlign w:val="center"/>
          </w:tcPr>
          <w:p>
            <w:r>
              <w:t>19.200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5.166</w:t>
            </w:r>
          </w:p>
        </w:tc>
        <w:tc>
          <w:tcPr>
            <w:vAlign w:val="center"/>
          </w:tcPr>
          <w:p>
            <w:r>
              <w:t>20.664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6.426</w:t>
            </w:r>
          </w:p>
        </w:tc>
        <w:tc>
          <w:tcPr>
            <w:vAlign w:val="center"/>
          </w:tcPr>
          <w:p>
            <w:r>
              <w:t>25.704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C4923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11.500</w:t>
            </w:r>
          </w:p>
        </w:tc>
        <w:tc>
          <w:tcPr>
            <w:vAlign w:val="center"/>
          </w:tcPr>
          <w:p>
            <w:r>
              <w:t>34.500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393.988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165.000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C1032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3.200</w:t>
            </w:r>
          </w:p>
        </w:tc>
        <w:tc>
          <w:tcPr>
            <w:vAlign w:val="center"/>
          </w:tcPr>
          <w:p>
            <w:r>
              <w:t>70.400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C2030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54.000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5.166</w:t>
            </w:r>
          </w:p>
        </w:tc>
        <w:tc>
          <w:tcPr>
            <w:vAlign w:val="center"/>
          </w:tcPr>
          <w:p>
            <w:r>
              <w:t>20.664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6.426</w:t>
            </w:r>
          </w:p>
        </w:tc>
        <w:tc>
          <w:tcPr>
            <w:vAlign w:val="center"/>
          </w:tcPr>
          <w:p>
            <w:r>
              <w:t>25.704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10.227</w:t>
            </w:r>
          </w:p>
        </w:tc>
        <w:tc>
          <w:tcPr>
            <w:vAlign w:val="center"/>
          </w:tcPr>
          <w:p>
            <w:r>
              <w:t>10.227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C4921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31.500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380.015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C0230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47.040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C3821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8.127</w:t>
            </w:r>
          </w:p>
        </w:tc>
        <w:tc>
          <w:tcPr>
            <w:vAlign w:val="center"/>
          </w:tcPr>
          <w:p>
            <w:r>
              <w:t>48.762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C3921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C4021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C4030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C5021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31.500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208.242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102.060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5.796</w:t>
            </w:r>
          </w:p>
        </w:tc>
        <w:tc>
          <w:tcPr>
            <w:vAlign w:val="center"/>
          </w:tcPr>
          <w:p>
            <w:r>
              <w:t>46.368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C3921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C4021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C5021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175.728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0.513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80" w:name="_Toc238"/>
      <w:r>
        <w:rPr>
          <w:color w:val="000000"/>
        </w:rPr>
        <w:t>总体热工性能</w:t>
      </w:r>
      <w:bookmarkEnd w:id="8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51"/>
        <w:gridCol w:w="1451"/>
        <w:gridCol w:w="1564"/>
        <w:gridCol w:w="1678"/>
        <w:gridCol w:w="1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393.99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380.02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208.24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175.73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1157.97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</w:rPr>
      </w:pPr>
      <w:bookmarkStart w:id="81" w:name="_Toc29615"/>
      <w:r>
        <w:rPr>
          <w:color w:val="000000"/>
        </w:rPr>
        <w:t>围护结构概况</w:t>
      </w:r>
      <w:bookmarkEnd w:id="81"/>
    </w:p>
    <w:p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82"/>
          </w:p>
        </w:tc>
        <w:tc>
          <w:tcPr>
            <w:tcW w:w="158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8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84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85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3.69</w:t>
            </w:r>
            <w:bookmarkEnd w:id="85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6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8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0.88</w:t>
            </w:r>
            <w:bookmarkEnd w:id="87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88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4.24</w:t>
            </w:r>
            <w:bookmarkEnd w:id="88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9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8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0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91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2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93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0.71</w:t>
            </w:r>
            <w:bookmarkEnd w:id="94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95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9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96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96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0.51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0.51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0.51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0.51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97" w:name="_Toc27850"/>
      <w:r>
        <w:rPr>
          <w:color w:val="000000"/>
        </w:rPr>
        <w:t>设计建筑</w:t>
      </w:r>
      <w:bookmarkEnd w:id="97"/>
    </w:p>
    <w:p>
      <w:pPr>
        <w:pStyle w:val="4"/>
        <w:widowControl w:val="0"/>
        <w:jc w:val="both"/>
        <w:rPr>
          <w:color w:val="000000"/>
        </w:rPr>
      </w:pPr>
      <w:bookmarkStart w:id="98" w:name="_Toc18069"/>
      <w:r>
        <w:rPr>
          <w:color w:val="000000"/>
        </w:rPr>
        <w:t>房间类型</w:t>
      </w:r>
      <w:bookmarkEnd w:id="98"/>
    </w:p>
    <w:p>
      <w:pPr>
        <w:pStyle w:val="5"/>
        <w:widowControl w:val="0"/>
        <w:jc w:val="both"/>
        <w:rPr>
          <w:color w:val="000000"/>
        </w:rPr>
      </w:pPr>
      <w:bookmarkStart w:id="99" w:name="_Toc32340"/>
      <w:r>
        <w:rPr>
          <w:color w:val="000000"/>
        </w:rPr>
        <w:t>房间表</w:t>
      </w:r>
      <w:bookmarkEnd w:id="9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0" w:name="_Toc2659"/>
      <w:r>
        <w:rPr>
          <w:color w:val="000000"/>
        </w:rPr>
        <w:t>作息时间表</w:t>
      </w:r>
      <w:bookmarkEnd w:id="10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  <w:jc w:val="both"/>
        <w:rPr>
          <w:color w:val="000000"/>
        </w:rPr>
      </w:pPr>
      <w:bookmarkStart w:id="101" w:name="_Toc1088"/>
      <w:r>
        <w:rPr>
          <w:color w:val="000000"/>
        </w:rPr>
        <w:t>系统类型</w:t>
      </w:r>
      <w:bookmarkEnd w:id="101"/>
    </w:p>
    <w:p>
      <w:pPr>
        <w:pStyle w:val="5"/>
        <w:widowControl w:val="0"/>
        <w:jc w:val="both"/>
        <w:rPr>
          <w:color w:val="000000"/>
        </w:rPr>
      </w:pPr>
      <w:bookmarkStart w:id="102" w:name="_Toc21696"/>
      <w:r>
        <w:rPr>
          <w:color w:val="000000"/>
        </w:rPr>
        <w:t>系统分区</w:t>
      </w:r>
      <w:bookmarkEnd w:id="10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899.35</w:t>
            </w:r>
          </w:p>
        </w:tc>
        <w:tc>
          <w:tcPr>
            <w:vAlign w:val="center"/>
          </w:tcPr>
          <w:p>
            <w:r>
              <w:t>1022(1),1021(1),1024(1),1020(1),1027(1),1008(1),1028(1),1007(1),1019(1),1023(1),2071(2),2070(2),2045(2),2043(2),2042(2),2041(2),2040(2),2039(2),2038(2),2037(2),2035(2),2021(2),2020(2),3073(3),3072(3),3056(3),3054(3),3053(3),3052(3),3050(3),3049(3),3048(3),3046(3),4012(4),4011(4),4014(4),4008(4),4016(4),4018(4),4006(4),4019(4),4007(4),4015(4),4009(4),4013(4),4017(4)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2.50</w:t>
            </w:r>
          </w:p>
        </w:tc>
        <w:tc>
          <w:tcPr>
            <w:vAlign w:val="center"/>
          </w:tcPr>
          <w:p>
            <w:r>
              <w:t>4722.66</w:t>
            </w:r>
          </w:p>
        </w:tc>
        <w:tc>
          <w:tcPr>
            <w:vAlign w:val="center"/>
          </w:tcPr>
          <w:p>
            <w:r>
              <w:t>1001(1),1011(1),1026(1),1010(1),1006(1),1015(1),1016(1),1005(1),1017(1),1018(1),1004(1),1009(1),1012(1),1025(1),1002(1),1003(1),1013(1),1014(1),2078(2),2044(2),2036(2),2013(2),2012(2),2001(2),3055(3),3051(3),3047(3),3023(3),3022(3),3015(3),3014(3),3002(3),4010(4),4005(4),4003(4),4002(4),4004(4)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3" w:name="_Toc8298"/>
      <w:r>
        <w:rPr>
          <w:color w:val="000000"/>
        </w:rPr>
        <w:t>热回收参数</w:t>
      </w:r>
      <w:bookmarkEnd w:id="10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显热回收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4" w:name="_Toc24475"/>
      <w:r>
        <w:rPr>
          <w:color w:val="000000"/>
        </w:rPr>
        <w:t>制冷系统</w:t>
      </w:r>
      <w:bookmarkEnd w:id="104"/>
    </w:p>
    <w:p>
      <w:pPr>
        <w:pStyle w:val="5"/>
        <w:widowControl w:val="0"/>
        <w:jc w:val="both"/>
        <w:rPr>
          <w:color w:val="000000"/>
        </w:rPr>
      </w:pPr>
      <w:bookmarkStart w:id="105" w:name="_Toc28265"/>
      <w:r>
        <w:rPr>
          <w:color w:val="000000"/>
        </w:rPr>
        <w:t>多联机/单元式空调能耗</w:t>
      </w:r>
      <w:bookmarkEnd w:id="10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196037</w:t>
            </w:r>
          </w:p>
        </w:tc>
        <w:tc>
          <w:tcPr>
            <w:vAlign w:val="center"/>
          </w:tcPr>
          <w:p>
            <w:r>
              <w:t>49009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87350</w:t>
            </w:r>
          </w:p>
        </w:tc>
        <w:tc>
          <w:tcPr>
            <w:vAlign w:val="center"/>
          </w:tcPr>
          <w:p>
            <w:r>
              <w:t>37978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3.26</w:t>
            </w:r>
          </w:p>
        </w:tc>
        <w:tc>
          <w:tcPr>
            <w:vAlign w:val="center"/>
          </w:tcPr>
          <w:p>
            <w:r>
              <w:t>283387</w:t>
            </w:r>
          </w:p>
        </w:tc>
        <w:tc>
          <w:tcPr>
            <w:vAlign w:val="center"/>
          </w:tcPr>
          <w:p>
            <w:r>
              <w:t>86987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6" w:name="_Toc1038"/>
      <w:r>
        <w:rPr>
          <w:color w:val="000000"/>
        </w:rPr>
        <w:t>供暖系统</w:t>
      </w:r>
      <w:bookmarkEnd w:id="106"/>
    </w:p>
    <w:p>
      <w:pPr>
        <w:pStyle w:val="5"/>
        <w:widowControl w:val="0"/>
        <w:jc w:val="both"/>
        <w:rPr>
          <w:color w:val="000000"/>
        </w:rPr>
      </w:pPr>
      <w:bookmarkStart w:id="107" w:name="_Toc18271"/>
      <w:r>
        <w:rPr>
          <w:color w:val="000000"/>
        </w:rPr>
        <w:t>多联机/单元式热泵能耗</w:t>
      </w:r>
      <w:bookmarkEnd w:id="10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2.50</w:t>
            </w:r>
          </w:p>
        </w:tc>
        <w:tc>
          <w:tcPr>
            <w:vAlign w:val="center"/>
          </w:tcPr>
          <w:p>
            <w:r>
              <w:t>32733</w:t>
            </w:r>
          </w:p>
        </w:tc>
        <w:tc>
          <w:tcPr>
            <w:vAlign w:val="center"/>
          </w:tcPr>
          <w:p>
            <w:r>
              <w:t>13093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10015</w:t>
            </w:r>
          </w:p>
        </w:tc>
        <w:tc>
          <w:tcPr>
            <w:vAlign w:val="center"/>
          </w:tcPr>
          <w:p>
            <w:r>
              <w:t>5271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2.33</w:t>
            </w:r>
          </w:p>
        </w:tc>
        <w:tc>
          <w:tcPr>
            <w:vAlign w:val="center"/>
          </w:tcPr>
          <w:p>
            <w:r>
              <w:t>42748</w:t>
            </w:r>
          </w:p>
        </w:tc>
        <w:tc>
          <w:tcPr>
            <w:vAlign w:val="center"/>
          </w:tcPr>
          <w:p>
            <w:r>
              <w:t>18364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8" w:name="_Toc20829"/>
      <w:r>
        <w:rPr>
          <w:color w:val="000000"/>
        </w:rPr>
        <w:t>空调风机</w:t>
      </w:r>
      <w:bookmarkEnd w:id="108"/>
    </w:p>
    <w:p>
      <w:pPr>
        <w:pStyle w:val="5"/>
        <w:widowControl w:val="0"/>
        <w:jc w:val="both"/>
        <w:rPr>
          <w:color w:val="000000"/>
        </w:rPr>
      </w:pPr>
      <w:bookmarkStart w:id="109" w:name="_Toc21895"/>
      <w:r>
        <w:rPr>
          <w:color w:val="000000"/>
        </w:rPr>
        <w:t>独立新排风</w:t>
      </w:r>
      <w:bookmarkEnd w:id="10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3763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903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1057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30325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7278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8515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9572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3010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722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24260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5822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6812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7657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0" w:name="_Toc18636"/>
      <w:r>
        <w:rPr>
          <w:color w:val="000000"/>
        </w:rPr>
        <w:t>照明</w:t>
      </w:r>
      <w:bookmarkEnd w:id="110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5937</w:t>
            </w:r>
          </w:p>
        </w:tc>
        <w:tc>
          <w:tcPr>
            <w:vAlign w:val="center"/>
          </w:tcPr>
          <w:p>
            <w:r>
              <w:t>89774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89774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1" w:name="_Toc32031"/>
      <w:r>
        <w:rPr>
          <w:color w:val="000000"/>
        </w:rPr>
        <w:t>负荷分项统计</w:t>
      </w:r>
      <w:bookmarkEnd w:id="11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-12.25</w:t>
            </w:r>
          </w:p>
        </w:tc>
        <w:tc>
          <w:tcPr>
            <w:vAlign w:val="center"/>
          </w:tcPr>
          <w:p>
            <w:r>
              <w:t>8.68</w:t>
            </w:r>
          </w:p>
        </w:tc>
        <w:tc>
          <w:tcPr>
            <w:vAlign w:val="center"/>
          </w:tcPr>
          <w:p>
            <w:r>
              <w:t>2.75</w:t>
            </w:r>
          </w:p>
        </w:tc>
        <w:tc>
          <w:tcPr>
            <w:vAlign w:val="center"/>
          </w:tcPr>
          <w:p>
            <w:r>
              <w:t>-12.28</w:t>
            </w:r>
          </w:p>
        </w:tc>
        <w:tc>
          <w:tcPr>
            <w:vAlign w:val="center"/>
          </w:tcPr>
          <w:p>
            <w:r>
              <w:t>6.13</w:t>
            </w:r>
          </w:p>
        </w:tc>
        <w:tc>
          <w:tcPr>
            <w:vAlign w:val="center"/>
          </w:tcPr>
          <w:p>
            <w:r>
              <w:t>-6.97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10.40</w:t>
            </w:r>
          </w:p>
        </w:tc>
        <w:tc>
          <w:tcPr>
            <w:vAlign w:val="center"/>
          </w:tcPr>
          <w:p>
            <w:r>
              <w:t>15.33</w:t>
            </w:r>
          </w:p>
        </w:tc>
        <w:tc>
          <w:tcPr>
            <w:vAlign w:val="center"/>
          </w:tcPr>
          <w:p>
            <w:r>
              <w:t>3.94</w:t>
            </w:r>
          </w:p>
        </w:tc>
        <w:tc>
          <w:tcPr>
            <w:vAlign w:val="center"/>
          </w:tcPr>
          <w:p>
            <w:r>
              <w:t>17.69</w:t>
            </w:r>
          </w:p>
        </w:tc>
        <w:tc>
          <w:tcPr>
            <w:vAlign w:val="center"/>
          </w:tcPr>
          <w:p>
            <w:r>
              <w:t>-1.15</w:t>
            </w:r>
          </w:p>
        </w:tc>
        <w:tc>
          <w:tcPr>
            <w:vAlign w:val="center"/>
          </w:tcPr>
          <w:p>
            <w:r>
              <w:t>46.22</w:t>
            </w:r>
          </w:p>
        </w:tc>
      </w:tr>
    </w:tbl>
    <w:p>
      <w:pPr>
        <w:pStyle w:val="4"/>
      </w:pPr>
      <w:bookmarkStart w:id="112" w:name="_Toc19823"/>
      <w:r>
        <w:t>逐月电耗</w:t>
      </w:r>
      <w:bookmarkEnd w:id="11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13" w:name="_Toc3477"/>
      <w:r>
        <w:rPr>
          <w:color w:val="000000"/>
        </w:rPr>
        <w:t>参照建筑</w:t>
      </w:r>
      <w:bookmarkEnd w:id="113"/>
    </w:p>
    <w:p>
      <w:pPr>
        <w:pStyle w:val="4"/>
        <w:widowControl w:val="0"/>
        <w:jc w:val="both"/>
        <w:rPr>
          <w:color w:val="000000"/>
        </w:rPr>
      </w:pPr>
      <w:bookmarkStart w:id="114" w:name="_Toc3864"/>
      <w:r>
        <w:rPr>
          <w:color w:val="000000"/>
        </w:rPr>
        <w:t>房间类型</w:t>
      </w:r>
      <w:bookmarkEnd w:id="114"/>
    </w:p>
    <w:p>
      <w:pPr>
        <w:pStyle w:val="5"/>
        <w:widowControl w:val="0"/>
        <w:jc w:val="both"/>
        <w:rPr>
          <w:color w:val="000000"/>
        </w:rPr>
      </w:pPr>
      <w:bookmarkStart w:id="115" w:name="_Toc1309"/>
      <w:r>
        <w:rPr>
          <w:color w:val="000000"/>
        </w:rPr>
        <w:t>房间表</w:t>
      </w:r>
      <w:bookmarkEnd w:id="11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6" w:name="_Toc12815"/>
      <w:r>
        <w:rPr>
          <w:color w:val="000000"/>
        </w:rPr>
        <w:t>作息时间表</w:t>
      </w:r>
      <w:bookmarkEnd w:id="11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  <w:jc w:val="both"/>
        <w:rPr>
          <w:color w:val="000000"/>
        </w:rPr>
      </w:pPr>
      <w:bookmarkStart w:id="117" w:name="_Toc16937"/>
      <w:r>
        <w:rPr>
          <w:color w:val="000000"/>
        </w:rPr>
        <w:t>系统类型</w:t>
      </w:r>
      <w:bookmarkEnd w:id="11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8" w:name="_Toc16699"/>
      <w:r>
        <w:rPr>
          <w:color w:val="000000"/>
        </w:rPr>
        <w:t>制冷系统</w:t>
      </w:r>
      <w:bookmarkEnd w:id="118"/>
    </w:p>
    <w:p>
      <w:pPr>
        <w:pStyle w:val="5"/>
        <w:widowControl w:val="0"/>
        <w:jc w:val="both"/>
        <w:rPr>
          <w:color w:val="000000"/>
        </w:rPr>
      </w:pPr>
      <w:bookmarkStart w:id="119" w:name="_Toc6480"/>
      <w:r>
        <w:rPr>
          <w:color w:val="000000"/>
        </w:rPr>
        <w:t>冷水机组</w:t>
      </w:r>
      <w:bookmarkEnd w:id="119"/>
    </w:p>
    <w:tbl>
      <w:tblPr>
        <w:tblStyle w:val="19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20" w:name="_Toc9956"/>
      <w:r>
        <w:rPr>
          <w:color w:val="000000"/>
        </w:rPr>
        <w:t>冷却水泵</w:t>
      </w:r>
      <w:bookmarkEnd w:id="120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21" w:name="_Toc15263"/>
      <w:r>
        <w:rPr>
          <w:color w:val="000000"/>
        </w:rPr>
        <w:t>冷冻水泵</w:t>
      </w:r>
      <w:bookmarkEnd w:id="121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22" w:name="_Toc2105"/>
      <w:r>
        <w:rPr>
          <w:color w:val="000000"/>
        </w:rPr>
        <w:t>多联机/单元式空调能耗</w:t>
      </w:r>
      <w:bookmarkEnd w:id="12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187582</w:t>
            </w:r>
          </w:p>
        </w:tc>
        <w:tc>
          <w:tcPr>
            <w:vAlign w:val="center"/>
          </w:tcPr>
          <w:p>
            <w:r>
              <w:t>69475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90118</w:t>
            </w:r>
          </w:p>
        </w:tc>
        <w:tc>
          <w:tcPr>
            <w:vAlign w:val="center"/>
          </w:tcPr>
          <w:p>
            <w:r>
              <w:t>33377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277700</w:t>
            </w:r>
          </w:p>
        </w:tc>
        <w:tc>
          <w:tcPr>
            <w:vAlign w:val="center"/>
          </w:tcPr>
          <w:p>
            <w:r>
              <w:t>102852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23" w:name="_Toc30843"/>
      <w:r>
        <w:rPr>
          <w:color w:val="000000"/>
        </w:rPr>
        <w:t>供暖系统</w:t>
      </w:r>
      <w:bookmarkEnd w:id="123"/>
    </w:p>
    <w:p>
      <w:pPr>
        <w:pStyle w:val="5"/>
        <w:widowControl w:val="0"/>
        <w:jc w:val="both"/>
        <w:rPr>
          <w:color w:val="000000"/>
        </w:rPr>
      </w:pPr>
      <w:bookmarkStart w:id="124" w:name="_Toc565"/>
      <w:r>
        <w:rPr>
          <w:color w:val="000000"/>
        </w:rPr>
        <w:t>多联机/单元式热泵能耗</w:t>
      </w:r>
      <w:bookmarkEnd w:id="12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76272</w:t>
            </w:r>
          </w:p>
        </w:tc>
        <w:tc>
          <w:tcPr>
            <w:vAlign w:val="center"/>
          </w:tcPr>
          <w:p>
            <w:r>
              <w:t>50848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16168</w:t>
            </w:r>
          </w:p>
        </w:tc>
        <w:tc>
          <w:tcPr>
            <w:vAlign w:val="center"/>
          </w:tcPr>
          <w:p>
            <w:r>
              <w:t>10779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92440</w:t>
            </w:r>
          </w:p>
        </w:tc>
        <w:tc>
          <w:tcPr>
            <w:vAlign w:val="center"/>
          </w:tcPr>
          <w:p>
            <w:r>
              <w:t>61627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25" w:name="_Toc32628"/>
      <w:r>
        <w:rPr>
          <w:color w:val="000000"/>
        </w:rPr>
        <w:t>空调风机</w:t>
      </w:r>
      <w:bookmarkEnd w:id="125"/>
    </w:p>
    <w:p>
      <w:pPr>
        <w:pStyle w:val="5"/>
        <w:widowControl w:val="0"/>
        <w:jc w:val="both"/>
        <w:rPr>
          <w:color w:val="000000"/>
        </w:rPr>
      </w:pPr>
      <w:bookmarkStart w:id="126" w:name="_Toc31398"/>
      <w:r>
        <w:rPr>
          <w:color w:val="000000"/>
        </w:rPr>
        <w:t>独立新排风</w:t>
      </w:r>
      <w:bookmarkEnd w:id="12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3763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903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1057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30325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7278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8515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9572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3010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722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系统2</w:t>
            </w:r>
          </w:p>
        </w:tc>
        <w:tc>
          <w:tcPr>
            <w:vAlign w:val="center"/>
          </w:tcPr>
          <w:p>
            <w:r>
              <w:t>24260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5822</w:t>
            </w:r>
          </w:p>
        </w:tc>
        <w:tc>
          <w:tcPr>
            <w:vAlign w:val="center"/>
          </w:tcPr>
          <w:p>
            <w:r>
              <w:t>1170</w:t>
            </w:r>
          </w:p>
        </w:tc>
        <w:tc>
          <w:tcPr>
            <w:vAlign w:val="center"/>
          </w:tcPr>
          <w:p>
            <w:r>
              <w:t>6812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7657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27" w:name="_Toc10674"/>
      <w:r>
        <w:rPr>
          <w:color w:val="000000"/>
        </w:rPr>
        <w:t>照明</w:t>
      </w:r>
      <w:bookmarkEnd w:id="127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5937</w:t>
            </w:r>
          </w:p>
        </w:tc>
        <w:tc>
          <w:tcPr>
            <w:vAlign w:val="center"/>
          </w:tcPr>
          <w:p>
            <w:r>
              <w:t>89774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89774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28" w:name="_Toc3673"/>
      <w:r>
        <w:rPr>
          <w:color w:val="000000"/>
        </w:rPr>
        <w:t>负荷分项统计</w:t>
      </w:r>
      <w:bookmarkEnd w:id="12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-14.36</w:t>
            </w:r>
          </w:p>
        </w:tc>
        <w:tc>
          <w:tcPr>
            <w:vAlign w:val="center"/>
          </w:tcPr>
          <w:p>
            <w:r>
              <w:t>10.04</w:t>
            </w:r>
          </w:p>
        </w:tc>
        <w:tc>
          <w:tcPr>
            <w:vAlign w:val="center"/>
          </w:tcPr>
          <w:p>
            <w:r>
              <w:t>2.64</w:t>
            </w:r>
          </w:p>
        </w:tc>
        <w:tc>
          <w:tcPr>
            <w:vAlign w:val="center"/>
          </w:tcPr>
          <w:p>
            <w:r>
              <w:t>-13.40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-15.08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8.81</w:t>
            </w:r>
          </w:p>
        </w:tc>
        <w:tc>
          <w:tcPr>
            <w:vAlign w:val="center"/>
          </w:tcPr>
          <w:p>
            <w:r>
              <w:t>15.33</w:t>
            </w:r>
          </w:p>
        </w:tc>
        <w:tc>
          <w:tcPr>
            <w:vAlign w:val="center"/>
          </w:tcPr>
          <w:p>
            <w:r>
              <w:t>3.44</w:t>
            </w:r>
          </w:p>
        </w:tc>
        <w:tc>
          <w:tcPr>
            <w:vAlign w:val="center"/>
          </w:tcPr>
          <w:p>
            <w:r>
              <w:t>17.71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45.29</w:t>
            </w:r>
          </w:p>
        </w:tc>
      </w:tr>
    </w:tbl>
    <w:p>
      <w:pPr>
        <w:pStyle w:val="4"/>
      </w:pPr>
      <w:bookmarkStart w:id="129" w:name="_Toc20464"/>
      <w:r>
        <w:t>逐月电耗</w:t>
      </w:r>
      <w:bookmarkEnd w:id="12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30" w:name="_Toc11706"/>
    </w:p>
    <w:p>
      <w:pPr>
        <w:pStyle w:val="2"/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计算结果</w:t>
      </w:r>
      <w:bookmarkEnd w:id="130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节能率别名"/>
            <w:r>
              <w:rPr>
                <w:rFonts w:hint="eastAsia"/>
                <w:lang w:val="en-US"/>
              </w:rPr>
              <w:t>节能率</w:t>
            </w:r>
            <w:bookmarkEnd w:id="13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耗冷量2"/>
            <w:r>
              <w:rPr>
                <w:rFonts w:hint="eastAsia"/>
                <w:lang w:val="en-US"/>
              </w:rPr>
              <w:t>46.22</w:t>
            </w:r>
            <w:bookmarkEnd w:id="13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耗冷量2"/>
            <w:r>
              <w:rPr>
                <w:rFonts w:hint="eastAsia"/>
                <w:lang w:val="en-US"/>
              </w:rPr>
              <w:t>45.29</w:t>
            </w:r>
            <w:bookmarkEnd w:id="133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节能率耗冷量2"/>
            <w:r>
              <w:rPr>
                <w:rFonts w:hint="eastAsia"/>
                <w:kern w:val="2"/>
                <w:szCs w:val="24"/>
                <w:lang w:val="en-US"/>
              </w:rPr>
              <w:t>-2.05%</w:t>
            </w:r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耗热量2"/>
            <w:r>
              <w:rPr>
                <w:rFonts w:hint="eastAsia"/>
                <w:lang w:val="en-US"/>
              </w:rPr>
              <w:t>6.97</w:t>
            </w:r>
            <w:bookmarkEnd w:id="13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耗热量2"/>
            <w:r>
              <w:rPr>
                <w:lang w:val="en-US"/>
              </w:rPr>
              <w:t>15.08</w:t>
            </w:r>
            <w:bookmarkEnd w:id="136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节能率耗热量2"/>
            <w:r>
              <w:rPr>
                <w:rFonts w:hint="eastAsia"/>
                <w:kern w:val="2"/>
                <w:szCs w:val="24"/>
                <w:lang w:val="en-US"/>
              </w:rPr>
              <w:t>53.76%</w:t>
            </w:r>
            <w:bookmarkEnd w:id="1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耗冷耗热量2"/>
            <w:r>
              <w:rPr>
                <w:rFonts w:hint="eastAsia"/>
                <w:lang w:val="en-US"/>
              </w:rPr>
              <w:t>53.19</w:t>
            </w:r>
            <w:bookmarkEnd w:id="138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参照建筑耗冷耗热量2"/>
            <w:r>
              <w:rPr>
                <w:rFonts w:hint="eastAsia"/>
                <w:lang w:val="en-US"/>
              </w:rPr>
              <w:t>60.36</w:t>
            </w:r>
            <w:bookmarkEnd w:id="139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11.89%</w:t>
            </w:r>
            <w:bookmarkEnd w:id="14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1" w:name="热回收供冷负荷"/>
            <w:r>
              <w:rPr>
                <w:rFonts w:hint="eastAsia"/>
                <w:lang w:val="en-US"/>
              </w:rPr>
              <w:t>1.15</w:t>
            </w:r>
            <w:bookmarkEnd w:id="141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2" w:name="热回收供暖负荷"/>
            <w:r>
              <w:rPr>
                <w:rFonts w:hint="eastAsia"/>
                <w:lang w:val="en-US"/>
              </w:rPr>
              <w:t>6.13</w:t>
            </w:r>
            <w:bookmarkEnd w:id="142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3" w:name="热回收负荷"/>
            <w:r>
              <w:rPr>
                <w:rFonts w:hint="eastAsia"/>
                <w:lang w:val="en-US"/>
              </w:rPr>
              <w:t>7.28</w:t>
            </w:r>
            <w:bookmarkEnd w:id="143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4" w:name="冷源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冷源能耗"/>
            <w:r>
              <w:rPr>
                <w:lang w:val="en-US"/>
              </w:rPr>
              <w:t>0.00</w:t>
            </w:r>
            <w:bookmarkEnd w:id="145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空调能耗"/>
            <w:r>
              <w:rPr>
                <w:lang w:val="en-US"/>
              </w:rPr>
              <w:t>15.42%</w:t>
            </w:r>
            <w:bookmarkEnd w:id="14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7" w:name="冷却水泵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冷却水泵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9" w:name="冷冻水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冷冻水泵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1" w:name="冷却塔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冷却塔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53" w:name="供冷热源侧水泵能耗"/>
            <w:r>
              <w:rPr>
                <w:rFonts w:hint="eastAsia"/>
                <w:lang w:val="en-US"/>
              </w:rPr>
              <w:t>-</w:t>
            </w:r>
            <w:bookmarkEnd w:id="15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4" w:name="单元式空调能耗"/>
            <w:r>
              <w:rPr>
                <w:lang w:val="en-US"/>
              </w:rPr>
              <w:t>14.19</w:t>
            </w:r>
            <w:bookmarkEnd w:id="15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单元式空调能耗"/>
            <w:r>
              <w:rPr>
                <w:lang w:val="en-US"/>
              </w:rPr>
              <w:t>16.77</w:t>
            </w:r>
            <w:bookmarkEnd w:id="155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6" w:name="空调能耗"/>
            <w:r>
              <w:rPr>
                <w:lang w:val="en-US"/>
              </w:rPr>
              <w:t>14.19</w:t>
            </w:r>
            <w:bookmarkEnd w:id="15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7" w:name="参照建筑空调能耗"/>
            <w:r>
              <w:rPr>
                <w:lang w:val="en-US"/>
              </w:rPr>
              <w:t>16.77</w:t>
            </w:r>
            <w:bookmarkEnd w:id="157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8" w:name="热源能耗"/>
            <w:r>
              <w:rPr>
                <w:lang w:val="en-US"/>
              </w:rPr>
              <w:t>0.00</w:t>
            </w:r>
            <w:bookmarkEnd w:id="15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热源能耗"/>
            <w:r>
              <w:rPr>
                <w:lang w:val="en-US"/>
              </w:rPr>
              <w:t>0.00</w:t>
            </w:r>
            <w:bookmarkEnd w:id="159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0" w:name="节能率供暖能耗"/>
            <w:r>
              <w:rPr>
                <w:rFonts w:hint="eastAsia"/>
                <w:lang w:val="en-US"/>
              </w:rPr>
              <w:t>70.20%</w:t>
            </w:r>
            <w:bookmarkEnd w:id="1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1" w:name="供暖热源侧水泵能耗"/>
            <w:r>
              <w:rPr>
                <w:rFonts w:hint="eastAsia"/>
                <w:lang w:val="en-US"/>
              </w:rPr>
              <w:t>-</w:t>
            </w:r>
            <w:bookmarkEnd w:id="16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2" w:name="热水泵能耗"/>
            <w:r>
              <w:rPr>
                <w:lang w:val="en-US"/>
              </w:rPr>
              <w:t>0.00</w:t>
            </w:r>
            <w:bookmarkEnd w:id="16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3" w:name="参照建筑热水泵能耗"/>
            <w:r>
              <w:rPr>
                <w:lang w:val="en-US"/>
              </w:rPr>
              <w:t>0.00</w:t>
            </w:r>
            <w:bookmarkEnd w:id="163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4" w:name="单元式热泵能耗"/>
            <w:r>
              <w:rPr>
                <w:lang w:val="en-US"/>
              </w:rPr>
              <w:t>2.99</w:t>
            </w:r>
            <w:bookmarkEnd w:id="16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5" w:name="参照建筑单元式热泵能耗"/>
            <w:r>
              <w:rPr>
                <w:lang w:val="en-US"/>
              </w:rPr>
              <w:t>10.05</w:t>
            </w:r>
            <w:bookmarkEnd w:id="165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6" w:name="供暖能耗"/>
            <w:r>
              <w:rPr>
                <w:lang w:val="en-US"/>
              </w:rPr>
              <w:t>2.99</w:t>
            </w:r>
            <w:bookmarkEnd w:id="16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7" w:name="参照建筑供暖能耗"/>
            <w:r>
              <w:rPr>
                <w:lang w:val="en-US"/>
              </w:rPr>
              <w:t>10.05</w:t>
            </w:r>
            <w:bookmarkEnd w:id="167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8" w:name="新排风系统能耗"/>
            <w:r>
              <w:rPr>
                <w:rFonts w:hint="eastAsia"/>
                <w:lang w:val="en-US"/>
              </w:rPr>
              <w:t>2.81</w:t>
            </w:r>
            <w:bookmarkEnd w:id="16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9" w:name="参照建筑新排风系统能耗"/>
            <w:r>
              <w:rPr>
                <w:lang w:val="en-US"/>
              </w:rPr>
              <w:t>2.81</w:t>
            </w:r>
            <w:bookmarkEnd w:id="169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0" w:name="节能率空调动力能耗"/>
            <w:r>
              <w:rPr>
                <w:rFonts w:hint="eastAsia"/>
                <w:lang w:val="en-US"/>
              </w:rPr>
              <w:t>0.00%</w:t>
            </w:r>
            <w:bookmarkEnd w:id="1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1" w:name="风机盘管能耗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2" w:name="参照建筑风机盘管能耗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3" w:name="多联机室内机能耗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4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74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5" w:name="全空气系统能耗"/>
            <w:r>
              <w:rPr>
                <w:rFonts w:hint="eastAsia"/>
                <w:lang w:val="en-US"/>
              </w:rPr>
              <w:t>0.00</w:t>
            </w:r>
            <w:bookmarkEnd w:id="17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6" w:name="参照建筑全空气系统能耗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7" w:name="空调动力能耗"/>
            <w:r>
              <w:rPr>
                <w:rFonts w:hint="eastAsia"/>
                <w:lang w:val="en-US"/>
              </w:rPr>
              <w:t>2.81</w:t>
            </w:r>
            <w:bookmarkEnd w:id="17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8" w:name="参照建筑空调动力能耗"/>
            <w:r>
              <w:rPr>
                <w:rFonts w:hint="eastAsia"/>
                <w:lang w:val="en-US"/>
              </w:rPr>
              <w:t>2.81</w:t>
            </w:r>
            <w:bookmarkEnd w:id="17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79" w:name="空调供暖风机能耗"/>
            <w:r>
              <w:rPr>
                <w:rFonts w:hint="eastAsia"/>
                <w:lang w:val="en-US"/>
              </w:rPr>
              <w:t>19.99</w:t>
            </w:r>
            <w:bookmarkEnd w:id="17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80" w:name="参照建筑空调供暖风机能耗"/>
            <w:r>
              <w:rPr>
                <w:lang w:val="en-US"/>
              </w:rPr>
              <w:t>29.63</w:t>
            </w:r>
            <w:bookmarkEnd w:id="180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81" w:name="节能率空调供暖风机能耗"/>
            <w:r>
              <w:rPr>
                <w:rFonts w:hint="eastAsia"/>
                <w:lang w:val="en-US"/>
              </w:rPr>
              <w:t>32.54%</w:t>
            </w:r>
            <w:bookmarkEnd w:id="18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9.68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82" w:name="参照建筑照明能耗"/>
            <w:r>
              <w:rPr>
                <w:rFonts w:hint="eastAsia"/>
                <w:lang w:val="en-US"/>
              </w:rPr>
              <w:t>14.64</w:t>
            </w:r>
            <w:bookmarkEnd w:id="182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83" w:name="供暖空调照明风机能耗"/>
            <w:r>
              <w:rPr>
                <w:rFonts w:hint="eastAsia"/>
                <w:lang w:val="en-US"/>
              </w:rPr>
              <w:t>34.63</w:t>
            </w:r>
            <w:bookmarkEnd w:id="183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84" w:name="参照建筑供暖空调照明风机能耗"/>
            <w:r>
              <w:rPr>
                <w:rFonts w:hint="eastAsia"/>
                <w:lang w:val="en-US"/>
              </w:rPr>
              <w:t>44.27</w:t>
            </w:r>
            <w:bookmarkEnd w:id="184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85" w:name="节能率供暖空调照明风机能耗"/>
            <w:r>
              <w:rPr>
                <w:rFonts w:hint="eastAsia"/>
                <w:lang w:val="en-US" w:eastAsia="zh-CN"/>
              </w:rPr>
              <w:t>26.74</w:t>
            </w:r>
            <w:r>
              <w:rPr>
                <w:rFonts w:hint="eastAsia"/>
                <w:lang w:val="en-US"/>
              </w:rPr>
              <w:t>%</w:t>
            </w:r>
            <w:bookmarkEnd w:id="185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186" w:name="_Toc6426"/>
      <w:r>
        <w:rPr>
          <w:color w:val="000000"/>
        </w:rPr>
        <w:t>绿色建筑性能评估得分</w:t>
      </w:r>
      <w:bookmarkEnd w:id="186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87" w:name="节能率计算目标"/>
            <w:r>
              <w:t>21.78%</w:t>
            </w:r>
            <w:bookmarkEnd w:id="187"/>
          </w:p>
        </w:tc>
        <w:tc>
          <w:tcPr>
            <w:tcW w:w="706" w:type="dxa"/>
            <w:vAlign w:val="center"/>
          </w:tcPr>
          <w:p>
            <w:bookmarkStart w:id="188" w:name="得分计算目标"/>
            <w:r>
              <w:t>10</w:t>
            </w:r>
            <w:bookmarkEnd w:id="18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r>
              <w:t>32.54%</w:t>
            </w:r>
            <w:bookmarkEnd w:id="3"/>
          </w:p>
        </w:tc>
        <w:tc>
          <w:tcPr>
            <w:tcW w:w="706" w:type="dxa"/>
            <w:vAlign w:val="center"/>
          </w:tcPr>
          <w:p>
            <w:bookmarkStart w:id="189" w:name="得分空调供暖风机能耗"/>
            <w:r>
              <w:t>0</w:t>
            </w:r>
            <w:bookmarkEnd w:id="18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>
            <w:bookmarkStart w:id="190" w:name="总得分"/>
            <w:r>
              <w:t>10</w:t>
            </w:r>
            <w:bookmarkEnd w:id="190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bookmarkStart w:id="196" w:name="_GoBack"/>
      <w:bookmarkEnd w:id="196"/>
    </w:p>
    <w:p>
      <w:pPr>
        <w:pStyle w:val="2"/>
        <w:jc w:val="both"/>
      </w:pPr>
      <w:bookmarkStart w:id="191" w:name="_Toc17262"/>
      <w:r>
        <w:t>附录</w:t>
      </w:r>
      <w:bookmarkEnd w:id="191"/>
    </w:p>
    <w:p>
      <w:pPr>
        <w:pStyle w:val="4"/>
        <w:jc w:val="both"/>
      </w:pPr>
      <w:bookmarkStart w:id="192" w:name="_Toc20232"/>
      <w:r>
        <w:t>工作日/节假日人员逐时在室率(%)</w:t>
      </w:r>
      <w:bookmarkEnd w:id="192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93" w:name="_Toc23720"/>
      <w:r>
        <w:t>工作日/节假日照明开关时间表(%)</w:t>
      </w:r>
      <w:bookmarkEnd w:id="193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94" w:name="_Toc29168"/>
      <w:r>
        <w:t>工作日/节假日设备逐时使用率(%)</w:t>
      </w:r>
      <w:bookmarkEnd w:id="194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95" w:name="_Toc18766"/>
      <w:r>
        <w:t>工作日/节假日空调系统运行时间表(1:开,0:关)</w:t>
      </w:r>
      <w:bookmarkEnd w:id="195"/>
    </w:p>
    <w:p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系统2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系统2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2VmNDQ4NTFmYzA5M2VjMTljMjRkZWNjOGMwZWEwYjEifQ=="/>
  </w:docVars>
  <w:rsids>
    <w:rsidRoot w:val="00217F62"/>
    <w:rsid w:val="001915A3"/>
    <w:rsid w:val="00217F62"/>
    <w:rsid w:val="00A906D8"/>
    <w:rsid w:val="00AB5A74"/>
    <w:rsid w:val="00F071AE"/>
    <w:rsid w:val="0D3E5679"/>
    <w:rsid w:val="60D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autoRedefine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autoRedefine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autoRedefine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绿色建筑节能率报告书.dotx</Template>
  <Company>ths</Company>
  <Pages>5</Pages>
  <Words>1015</Words>
  <Characters>5791</Characters>
  <Lines>48</Lines>
  <Paragraphs>13</Paragraphs>
  <TotalTime>28</TotalTime>
  <ScaleCrop>false</ScaleCrop>
  <LinksUpToDate>false</LinksUpToDate>
  <CharactersWithSpaces>6793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2019-08-20T09:28:00Z</dcterms:created>
  <dc:creator>human</dc:creator>
  <cp:lastModifiedBy>倪彬程</cp:lastModifiedBy>
  <cp:lastPrinted>1900-12-31T16:00:00Z</cp:lastPrinted>
  <dcterms:modified xsi:type="dcterms:W3CDTF">2024-01-07T14:19:04Z</dcterms:modified>
  <dc:title>综合能耗节能率计算书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EA4A14C2D9684F86BF7BCF88BDE556BD_12</vt:lpwstr>
  </property>
</Properties>
</file>