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spacing w:before="10"/>
        <w:rPr>
          <w:rFonts w:ascii="Times New Roman" w:hAnsi="Times New Roman" w:eastAsia="Times New Roman" w:cs="Times New Roman"/>
          <w:sz w:val="18"/>
          <w:szCs w:val="18"/>
        </w:rPr>
      </w:pPr>
    </w:p>
    <w:p>
      <w:pPr>
        <w:pStyle w:val="2"/>
        <w:jc w:val="center"/>
        <w:rPr>
          <w:rFonts w:hint="eastAsia" w:ascii="Times New Roman" w:hAnsi="Times New Roman" w:eastAsiaTheme="minorEastAsia"/>
          <w:sz w:val="36"/>
          <w:szCs w:val="36"/>
          <w:lang w:eastAsia="zh-CN"/>
        </w:rPr>
        <w:sectPr>
          <w:type w:val="continuous"/>
          <w:pgSz w:w="11910" w:h="16850"/>
          <w:pgMar w:top="1600" w:right="1680" w:bottom="280" w:left="1680" w:header="720" w:footer="720" w:gutter="0"/>
          <w:cols w:space="720" w:num="1"/>
        </w:sectPr>
      </w:pPr>
      <w:r>
        <w:rPr>
          <w:rFonts w:ascii="Times New Roman" w:hAnsi="Times New Roman"/>
          <w:sz w:val="36"/>
          <w:szCs w:val="36"/>
          <w:lang w:eastAsia="zh-CN"/>
        </w:rPr>
        <w:t>可变换功能空间采用灵活隔断的比例计算书</w:t>
      </w:r>
    </w:p>
    <w:p>
      <w:pPr>
        <w:pStyle w:val="2"/>
        <w:rPr>
          <w:rFonts w:ascii="Times New Roman" w:hAnsi="Times New Roman" w:eastAsiaTheme="minorEastAsia"/>
          <w:sz w:val="32"/>
          <w:szCs w:val="32"/>
          <w:lang w:eastAsia="zh-CN"/>
        </w:rPr>
      </w:pPr>
      <w:r>
        <w:rPr>
          <w:rFonts w:hint="eastAsia" w:ascii="Times New Roman" w:hAnsi="Times New Roman" w:cs="Times New Roman"/>
          <w:sz w:val="32"/>
          <w:szCs w:val="32"/>
          <w:lang w:eastAsia="zh-CN"/>
        </w:rPr>
        <w:t>1.</w:t>
      </w:r>
      <w:r>
        <w:rPr>
          <w:rFonts w:hint="eastAsia" w:ascii="Times New Roman" w:hAnsi="Times New Roman"/>
          <w:sz w:val="32"/>
          <w:szCs w:val="32"/>
          <w:lang w:eastAsia="zh-CN"/>
        </w:rPr>
        <w:t>计算概述</w:t>
      </w:r>
    </w:p>
    <w:p>
      <w:pPr>
        <w:pStyle w:val="2"/>
        <w:rPr>
          <w:rFonts w:hint="eastAsia" w:ascii="Times New Roman" w:hAnsi="Times New Roman" w:cs="Times New Roman" w:eastAsiaTheme="minorEastAsia"/>
          <w:lang w:eastAsia="zh-CN"/>
        </w:rPr>
      </w:pPr>
    </w:p>
    <w:p>
      <w:pPr>
        <w:tabs>
          <w:tab w:val="left" w:pos="605"/>
        </w:tabs>
        <w:rPr>
          <w:rStyle w:val="7"/>
          <w:rFonts w:ascii="Times New Roman" w:hAnsi="Times New Roman"/>
          <w:sz w:val="28"/>
          <w:szCs w:val="28"/>
        </w:rPr>
      </w:pPr>
      <w:r>
        <w:rPr>
          <w:rStyle w:val="7"/>
          <w:rFonts w:hint="eastAsia" w:ascii="Times New Roman" w:hAnsi="Times New Roman"/>
          <w:sz w:val="28"/>
          <w:szCs w:val="28"/>
          <w:lang w:eastAsia="zh-CN"/>
        </w:rPr>
        <w:t>1.1.项目概况</w:t>
      </w:r>
    </w:p>
    <w:p>
      <w:pPr>
        <w:rPr>
          <w:rStyle w:val="12"/>
          <w:rFonts w:cs="Helvetica" w:asciiTheme="minorEastAsia" w:hAnsiTheme="minorEastAsia"/>
          <w:color w:val="333333"/>
          <w:sz w:val="24"/>
          <w:szCs w:val="24"/>
          <w:shd w:val="clear" w:color="auto" w:fill="FFFFFF"/>
        </w:rPr>
      </w:pPr>
      <w:r>
        <w:rPr>
          <w:sz w:val="30"/>
          <w:szCs w:val="30"/>
        </w:rPr>
        <w:t xml:space="preserve"> </w:t>
      </w:r>
      <w:r>
        <w:rPr>
          <w:rFonts w:hint="eastAsia"/>
          <w:sz w:val="30"/>
          <w:szCs w:val="30"/>
          <w:lang w:val="en-US" w:eastAsia="zh-CN"/>
        </w:rPr>
        <w:t xml:space="preserve">          </w:t>
      </w:r>
      <w:r>
        <w:rPr>
          <w:rFonts w:hint="eastAsia" w:asciiTheme="minorEastAsia" w:hAnsiTheme="minorEastAsia"/>
          <w:sz w:val="24"/>
          <w:szCs w:val="24"/>
        </w:rPr>
        <w:t>项目场地位于黑龙江省双鸭山市和集贤县交界处</w:t>
      </w:r>
      <w:r>
        <w:rPr>
          <w:rFonts w:cs="Helvetica" w:asciiTheme="minorEastAsia" w:hAnsiTheme="minorEastAsia"/>
          <w:color w:val="333333"/>
          <w:sz w:val="24"/>
          <w:szCs w:val="24"/>
          <w:shd w:val="clear" w:color="auto" w:fill="FFFFFF"/>
        </w:rPr>
        <w:t>七星峰国家森林公园</w:t>
      </w:r>
      <w:r>
        <w:rPr>
          <w:rFonts w:hint="eastAsia" w:cs="Helvetica" w:asciiTheme="minorEastAsia" w:hAnsiTheme="minorEastAsia"/>
          <w:color w:val="333333"/>
          <w:sz w:val="24"/>
          <w:szCs w:val="24"/>
          <w:shd w:val="clear" w:color="auto" w:fill="FFFFFF"/>
        </w:rPr>
        <w:t>山脚下</w:t>
      </w:r>
      <w:r>
        <w:rPr>
          <w:rFonts w:asciiTheme="minorEastAsia" w:hAnsiTheme="minorEastAsia"/>
          <w:sz w:val="24"/>
          <w:szCs w:val="24"/>
        </w:rPr>
        <w:t>，</w:t>
      </w:r>
      <w:r>
        <w:rPr>
          <w:rStyle w:val="12"/>
          <w:rFonts w:cs="Helvetica" w:asciiTheme="minorEastAsia" w:hAnsiTheme="minorEastAsia"/>
          <w:color w:val="333333"/>
          <w:sz w:val="24"/>
          <w:szCs w:val="24"/>
          <w:shd w:val="clear" w:color="auto" w:fill="FFFFFF"/>
        </w:rPr>
        <w:t>园内森林茂密，森林覆盖率为85% ，有林地面积12.764公顷，水源丰富、森林茂密，物种丰富，是小又虎力河的发源地；植被类型以杨、桦、柞、曲柳等为主的乔混交林，林下草本植物种类繁多，适宜</w:t>
      </w:r>
      <w:r>
        <w:rPr>
          <w:sz w:val="20"/>
          <w:szCs w:val="20"/>
        </w:rPr>
        <w:fldChar w:fldCharType="begin"/>
      </w:r>
      <w:r>
        <w:rPr>
          <w:sz w:val="20"/>
          <w:szCs w:val="20"/>
        </w:rPr>
        <w:instrText xml:space="preserve"> HYPERLINK "https://baike.baidu.com/item/%E9%87%8E%E7%94%9F%E5%8A%A8%E7%89%A9/0?fromModule=lemma_inlink" \t "_blank" </w:instrText>
      </w:r>
      <w:r>
        <w:rPr>
          <w:sz w:val="20"/>
          <w:szCs w:val="20"/>
        </w:rPr>
        <w:fldChar w:fldCharType="separate"/>
      </w:r>
      <w:r>
        <w:rPr>
          <w:rStyle w:val="8"/>
          <w:rFonts w:cs="Helvetica" w:asciiTheme="minorEastAsia" w:hAnsiTheme="minorEastAsia"/>
          <w:color w:val="136EC2"/>
          <w:sz w:val="24"/>
          <w:szCs w:val="24"/>
          <w:shd w:val="clear" w:color="auto" w:fill="FFFFFF"/>
        </w:rPr>
        <w:t>野生动物</w:t>
      </w:r>
      <w:r>
        <w:rPr>
          <w:rStyle w:val="8"/>
          <w:rFonts w:cs="Helvetica" w:asciiTheme="minorEastAsia" w:hAnsiTheme="minorEastAsia"/>
          <w:color w:val="136EC2"/>
          <w:sz w:val="24"/>
          <w:szCs w:val="24"/>
          <w:shd w:val="clear" w:color="auto" w:fill="FFFFFF"/>
        </w:rPr>
        <w:fldChar w:fldCharType="end"/>
      </w:r>
      <w:r>
        <w:rPr>
          <w:rStyle w:val="12"/>
          <w:rFonts w:cs="Helvetica" w:asciiTheme="minorEastAsia" w:hAnsiTheme="minorEastAsia"/>
          <w:color w:val="333333"/>
          <w:sz w:val="24"/>
          <w:szCs w:val="24"/>
          <w:shd w:val="clear" w:color="auto" w:fill="FFFFFF"/>
        </w:rPr>
        <w:t>栖息</w:t>
      </w:r>
      <w:r>
        <w:rPr>
          <w:rStyle w:val="12"/>
          <w:rFonts w:hint="eastAsia" w:cs="Helvetica" w:asciiTheme="minorEastAsia" w:hAnsiTheme="minorEastAsia"/>
          <w:color w:val="333333"/>
          <w:sz w:val="24"/>
          <w:szCs w:val="24"/>
          <w:shd w:val="clear" w:color="auto" w:fill="FFFFFF"/>
        </w:rPr>
        <w:t>。</w:t>
      </w:r>
    </w:p>
    <w:p>
      <w:pPr>
        <w:ind w:firstLine="480" w:firstLineChars="200"/>
        <w:rPr>
          <w:rFonts w:asciiTheme="minorEastAsia" w:hAnsiTheme="minorEastAsia"/>
          <w:sz w:val="24"/>
          <w:szCs w:val="24"/>
        </w:rPr>
      </w:pPr>
      <w:r>
        <w:rPr>
          <w:rFonts w:asciiTheme="minorEastAsia" w:hAnsiTheme="minorEastAsia"/>
          <w:sz w:val="24"/>
          <w:szCs w:val="24"/>
        </w:rPr>
        <w:t>“生态乡村发展计划”和“生态巡护员养成计划”是重点实施的项目，旨在鼓励和集合民间和社会力量来参与和支持中国国家公园和自然保护地体系建设，通过自然保护来培育绿色产业助力乡村振兴以带动地方经济的发展。主要涵盖自然保护地区域内以及周边的乡村，帮助乡村进行总体规划，立足于保护乡村周边的森林、灌木、草原和湿地，培育生态旅行、自然教育、生态农业、生态康养等环境友好型产业，让村民从</w:t>
      </w:r>
      <w:r>
        <w:rPr>
          <w:rFonts w:hint="eastAsia" w:asciiTheme="minorEastAsia" w:hAnsiTheme="minorEastAsia"/>
          <w:sz w:val="24"/>
          <w:szCs w:val="24"/>
        </w:rPr>
        <w:t>自然保护中获得持续的收益（健康收益</w:t>
      </w:r>
      <w:r>
        <w:rPr>
          <w:rFonts w:asciiTheme="minorEastAsia" w:hAnsiTheme="minorEastAsia"/>
          <w:sz w:val="24"/>
          <w:szCs w:val="24"/>
        </w:rPr>
        <w:t>+经济收益），成为自然保护事业的积极参与方，使得乡村成为自然保护地的外围生态屏障</w:t>
      </w:r>
      <w:r>
        <w:rPr>
          <w:rFonts w:hint="eastAsia" w:asciiTheme="minorEastAsia" w:hAnsiTheme="minorEastAsia"/>
          <w:sz w:val="24"/>
          <w:szCs w:val="24"/>
        </w:rPr>
        <w:t>。</w:t>
      </w:r>
    </w:p>
    <w:p>
      <w:pPr>
        <w:tabs>
          <w:tab w:val="left" w:pos="605"/>
        </w:tabs>
        <w:rPr>
          <w:rFonts w:hint="eastAsia" w:ascii="Times New Roman" w:hAnsi="Times New Roman" w:eastAsia="Times New Roman" w:cs="Times New Roman"/>
          <w:sz w:val="16"/>
          <w:szCs w:val="16"/>
          <w:lang w:eastAsia="zh-CN"/>
        </w:rPr>
      </w:pPr>
      <w:r>
        <w:rPr>
          <w:rFonts w:asciiTheme="minorEastAsia" w:hAnsiTheme="minorEastAsia"/>
          <w:sz w:val="24"/>
          <w:szCs w:val="24"/>
        </w:rPr>
        <w:t>建筑用地面积4150平方米，总建筑面积3203.5平方米，该</w:t>
      </w:r>
      <w:r>
        <w:rPr>
          <w:rFonts w:hint="eastAsia" w:asciiTheme="minorEastAsia" w:hAnsiTheme="minorEastAsia"/>
          <w:sz w:val="24"/>
          <w:szCs w:val="24"/>
        </w:rPr>
        <w:t>游客中心</w:t>
      </w:r>
      <w:r>
        <w:rPr>
          <w:rFonts w:asciiTheme="minorEastAsia" w:hAnsiTheme="minorEastAsia"/>
          <w:sz w:val="24"/>
          <w:szCs w:val="24"/>
        </w:rPr>
        <w:t>的设计将为该地区注入更浓厚的文化氛围，并成为</w:t>
      </w:r>
      <w:r>
        <w:rPr>
          <w:rFonts w:hint="eastAsia" w:asciiTheme="minorEastAsia" w:hAnsiTheme="minorEastAsia"/>
          <w:sz w:val="24"/>
          <w:szCs w:val="24"/>
        </w:rPr>
        <w:t>七星峰国家森林公园</w:t>
      </w:r>
      <w:r>
        <w:rPr>
          <w:rFonts w:asciiTheme="minorEastAsia" w:hAnsiTheme="minorEastAsia"/>
          <w:sz w:val="24"/>
          <w:szCs w:val="24"/>
        </w:rPr>
        <w:t>的旅游亮点。在设计中希望尽可能的吸引视线，以开放性引导人流，并注重传统与现代的结合。</w:t>
      </w:r>
    </w:p>
    <w:p>
      <w:pPr>
        <w:tabs>
          <w:tab w:val="left" w:pos="605"/>
        </w:tabs>
        <w:spacing w:line="360" w:lineRule="auto"/>
        <w:rPr>
          <w:rFonts w:ascii="Times New Roman" w:hAnsi="Times New Roman" w:cs="宋体"/>
          <w:sz w:val="21"/>
          <w:szCs w:val="21"/>
          <w:lang w:eastAsia="zh-CN"/>
        </w:rPr>
      </w:pPr>
    </w:p>
    <w:p>
      <w:pPr>
        <w:tabs>
          <w:tab w:val="left" w:pos="605"/>
        </w:tabs>
        <w:rPr>
          <w:rStyle w:val="7"/>
          <w:rFonts w:ascii="Times New Roman" w:hAnsi="Times New Roman"/>
          <w:sz w:val="28"/>
          <w:szCs w:val="28"/>
          <w:lang w:eastAsia="zh-CN"/>
        </w:rPr>
      </w:pPr>
      <w:r>
        <w:rPr>
          <w:rStyle w:val="7"/>
          <w:rFonts w:ascii="Times New Roman" w:hAnsi="Times New Roman"/>
          <w:sz w:val="28"/>
          <w:szCs w:val="28"/>
          <w:lang w:eastAsia="zh-CN"/>
        </w:rPr>
        <w:t>1.2.计算目的</w:t>
      </w:r>
    </w:p>
    <w:p>
      <w:pPr>
        <w:tabs>
          <w:tab w:val="left" w:pos="605"/>
        </w:tabs>
        <w:rPr>
          <w:rStyle w:val="7"/>
          <w:rFonts w:hint="eastAsia" w:ascii="Times New Roman" w:hAnsi="Times New Roman"/>
          <w:sz w:val="28"/>
          <w:szCs w:val="28"/>
          <w:lang w:eastAsia="zh-CN"/>
        </w:rPr>
      </w:pPr>
    </w:p>
    <w:p>
      <w:pPr>
        <w:tabs>
          <w:tab w:val="left" w:pos="290"/>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判断本项目是否满足《绿色建筑评价标准》GB/T50378-2019第4.2.6条“采取提升建筑适变性的措施”。</w:t>
      </w:r>
    </w:p>
    <w:p>
      <w:pPr>
        <w:tabs>
          <w:tab w:val="left" w:pos="290"/>
        </w:tabs>
        <w:spacing w:line="360" w:lineRule="auto"/>
        <w:ind w:firstLine="420" w:firstLineChars="200"/>
        <w:rPr>
          <w:rFonts w:ascii="Times New Roman" w:hAnsi="Times New Roman" w:cs="宋体"/>
          <w:sz w:val="21"/>
          <w:szCs w:val="21"/>
          <w:lang w:eastAsia="zh-CN"/>
        </w:rPr>
      </w:pPr>
    </w:p>
    <w:p>
      <w:pPr>
        <w:tabs>
          <w:tab w:val="left" w:pos="605"/>
        </w:tabs>
        <w:rPr>
          <w:rStyle w:val="7"/>
          <w:rFonts w:ascii="Times New Roman" w:hAnsi="Times New Roman"/>
          <w:sz w:val="28"/>
          <w:szCs w:val="28"/>
          <w:lang w:eastAsia="zh-CN"/>
        </w:rPr>
      </w:pPr>
      <w:r>
        <w:rPr>
          <w:rStyle w:val="7"/>
          <w:rFonts w:ascii="Times New Roman" w:hAnsi="Times New Roman"/>
          <w:sz w:val="28"/>
          <w:szCs w:val="28"/>
          <w:lang w:eastAsia="zh-CN"/>
        </w:rPr>
        <w:t>1.3.计算依据</w:t>
      </w:r>
    </w:p>
    <w:p>
      <w:pPr>
        <w:tabs>
          <w:tab w:val="left" w:pos="605"/>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《绿色建筑评价技术细则》</w:t>
      </w:r>
    </w:p>
    <w:p>
      <w:pPr>
        <w:tabs>
          <w:tab w:val="left" w:pos="605"/>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《绿色建筑评价技术细则补充说明》（规划设计部分）</w:t>
      </w:r>
    </w:p>
    <w:p>
      <w:pPr>
        <w:tabs>
          <w:tab w:val="left" w:pos="605"/>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业主提供的建筑设计文件</w:t>
      </w:r>
    </w:p>
    <w:p>
      <w:pPr>
        <w:tabs>
          <w:tab w:val="left" w:pos="605"/>
        </w:tabs>
        <w:spacing w:line="360" w:lineRule="auto"/>
        <w:ind w:firstLine="420" w:firstLineChars="200"/>
        <w:rPr>
          <w:rFonts w:ascii="Times New Roman" w:hAnsi="Times New Roman" w:cs="宋体"/>
          <w:sz w:val="21"/>
          <w:szCs w:val="21"/>
          <w:lang w:eastAsia="zh-CN"/>
        </w:rPr>
      </w:pPr>
    </w:p>
    <w:p>
      <w:pPr>
        <w:pStyle w:val="2"/>
        <w:rPr>
          <w:rFonts w:ascii="Times New Roman" w:hAnsi="Times New Roman" w:cs="Times New Roman" w:eastAsiaTheme="minorEastAsia"/>
          <w:sz w:val="32"/>
          <w:szCs w:val="32"/>
          <w:lang w:eastAsia="zh-CN"/>
        </w:rPr>
      </w:pPr>
      <w:r>
        <w:rPr>
          <w:rFonts w:ascii="Times New Roman" w:hAnsi="Times New Roman" w:cs="Times New Roman"/>
          <w:sz w:val="32"/>
          <w:szCs w:val="32"/>
          <w:lang w:eastAsia="zh-CN"/>
        </w:rPr>
        <w:t>2.计算分析</w:t>
      </w:r>
    </w:p>
    <w:p>
      <w:pPr>
        <w:pStyle w:val="2"/>
        <w:rPr>
          <w:rFonts w:hint="eastAsia" w:ascii="Times New Roman" w:hAnsi="Times New Roman" w:cs="Times New Roman" w:eastAsiaTheme="minorEastAsia"/>
          <w:sz w:val="32"/>
          <w:szCs w:val="32"/>
          <w:lang w:eastAsia="zh-CN"/>
        </w:rPr>
      </w:pPr>
    </w:p>
    <w:p>
      <w:pPr>
        <w:tabs>
          <w:tab w:val="left" w:pos="605"/>
        </w:tabs>
        <w:rPr>
          <w:rStyle w:val="7"/>
          <w:rFonts w:ascii="Times New Roman" w:hAnsi="Times New Roman"/>
          <w:sz w:val="28"/>
          <w:szCs w:val="28"/>
          <w:lang w:eastAsia="zh-CN"/>
        </w:rPr>
      </w:pPr>
      <w:r>
        <w:rPr>
          <w:rStyle w:val="7"/>
          <w:rFonts w:ascii="Times New Roman" w:hAnsi="Times New Roman"/>
          <w:sz w:val="28"/>
          <w:szCs w:val="28"/>
          <w:lang w:eastAsia="zh-CN"/>
        </w:rPr>
        <w:t>2.1.可变换功能的室内空间</w:t>
      </w:r>
    </w:p>
    <w:p>
      <w:pPr>
        <w:tabs>
          <w:tab w:val="left" w:pos="605"/>
        </w:tabs>
        <w:rPr>
          <w:rStyle w:val="7"/>
          <w:rFonts w:hint="eastAsia" w:ascii="Times New Roman" w:hAnsi="Times New Roman"/>
          <w:sz w:val="28"/>
          <w:szCs w:val="28"/>
          <w:lang w:eastAsia="zh-CN"/>
        </w:rPr>
      </w:pPr>
    </w:p>
    <w:p>
      <w:pPr>
        <w:tabs>
          <w:tab w:val="left" w:pos="605"/>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可变换功能的室内空间为总建筑面积减去不可改变功能的室内空间（如走廊、楼梯、电梯井、卫生间、设备用房、公共管井等），本项目此类区域面积如下表。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306"/>
        <w:gridCol w:w="1664"/>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0" w:hRule="atLeast"/>
          <w:jc w:val="center"/>
        </w:trPr>
        <w:tc>
          <w:tcPr>
            <w:tcW w:w="2376"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6985</wp:posOffset>
                      </wp:positionV>
                      <wp:extent cx="1568450" cy="195580"/>
                      <wp:effectExtent l="635" t="4445" r="635" b="13335"/>
                      <wp:wrapNone/>
                      <wp:docPr id="1" name="自选图形 3"/>
                      <wp:cNvGraphicFramePr/>
                      <a:graphic xmlns:a="http://schemas.openxmlformats.org/drawingml/2006/main">
                        <a:graphicData uri="http://schemas.microsoft.com/office/word/2010/wordprocessingShape">
                          <wps:wsp>
                            <wps:cNvCnPr/>
                            <wps:spPr>
                              <a:xfrm>
                                <a:off x="0" y="0"/>
                                <a:ext cx="1568450" cy="1955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6.45pt;margin-top:0.55pt;height:15.4pt;width:123.5pt;z-index:251659264;mso-width-relative:page;mso-height-relative:page;" filled="f" stroked="t" coordsize="21600,21600" o:gfxdata="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RtNF3WAAAACAEAAA8AAAAAAAAAAQAgAAAAIgAAAGRycy9kb3ducmV2Lnht&#10;bFBLAQIUABQAAAAIAIdO4kAlb5lC+wEAAOgDAAAOAAAAAAAAAAEAIAAAACUBAABkcnMvZTJvRG9j&#10;LnhtbFBLBQYAAAAABgAGAFkBAACSBQAAAAA=&#10;">
                      <v:fill on="f" focussize="0,0"/>
                      <v:stroke color="#000000" joinstyle="round"/>
                      <v:imagedata o:title=""/>
                      <o:lock v:ext="edit" aspectratio="f"/>
                    </v:shape>
                  </w:pict>
                </mc:Fallback>
              </mc:AlternateContent>
            </w:r>
          </w:p>
        </w:tc>
        <w:tc>
          <w:tcPr>
            <w:tcW w:w="1306"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1层</w:t>
            </w:r>
          </w:p>
        </w:tc>
        <w:tc>
          <w:tcPr>
            <w:tcW w:w="1664"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val="en-US" w:eastAsia="zh-CN"/>
              </w:rPr>
              <w:t>2</w:t>
            </w:r>
            <w:r>
              <w:rPr>
                <w:rFonts w:hint="eastAsia" w:ascii="Times New Roman" w:hAnsi="Times New Roman" w:cs="宋体"/>
                <w:sz w:val="21"/>
                <w:szCs w:val="21"/>
                <w:lang w:eastAsia="zh-CN"/>
              </w:rPr>
              <w:t>层</w:t>
            </w:r>
          </w:p>
        </w:tc>
        <w:tc>
          <w:tcPr>
            <w:tcW w:w="2143"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val="en-US" w:eastAsia="zh-CN"/>
              </w:rPr>
              <w:t>3</w:t>
            </w:r>
            <w:r>
              <w:rPr>
                <w:rFonts w:hint="eastAsia" w:ascii="Times New Roman" w:hAnsi="Times New Roman" w:cs="宋体"/>
                <w:sz w:val="21"/>
                <w:szCs w:val="21"/>
                <w:lang w:eastAsia="zh-CN"/>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89" w:hRule="atLeast"/>
          <w:jc w:val="center"/>
        </w:trPr>
        <w:tc>
          <w:tcPr>
            <w:tcW w:w="2376"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建筑面积</w:t>
            </w:r>
            <w:r>
              <w:rPr>
                <w:rFonts w:ascii="Times New Roman" w:hAnsi="Times New Roman" w:cs="宋体"/>
                <w:sz w:val="21"/>
                <w:szCs w:val="21"/>
                <w:lang w:eastAsia="zh-CN"/>
              </w:rPr>
              <w:t>（</w:t>
            </w:r>
            <w:r>
              <w:rPr>
                <w:rFonts w:hint="eastAsia" w:ascii="Times New Roman" w:hAnsi="Times New Roman" w:cs="宋体"/>
                <w:sz w:val="21"/>
                <w:szCs w:val="21"/>
                <w:lang w:eastAsia="zh-CN"/>
              </w:rPr>
              <w:t>㎡</w:t>
            </w:r>
            <w:r>
              <w:rPr>
                <w:rFonts w:ascii="Times New Roman" w:hAnsi="Times New Roman" w:cs="宋体"/>
                <w:sz w:val="21"/>
                <w:szCs w:val="21"/>
                <w:lang w:eastAsia="zh-CN"/>
              </w:rPr>
              <w:t>）</w:t>
            </w:r>
          </w:p>
        </w:tc>
        <w:tc>
          <w:tcPr>
            <w:tcW w:w="1306" w:type="dxa"/>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1025</w:t>
            </w:r>
          </w:p>
        </w:tc>
        <w:tc>
          <w:tcPr>
            <w:tcW w:w="1664" w:type="dxa"/>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2928</w:t>
            </w:r>
          </w:p>
        </w:tc>
        <w:tc>
          <w:tcPr>
            <w:tcW w:w="2143" w:type="dxa"/>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89" w:hRule="atLeast"/>
          <w:jc w:val="center"/>
        </w:trPr>
        <w:tc>
          <w:tcPr>
            <w:tcW w:w="2376"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不可变换</w:t>
            </w:r>
            <w:r>
              <w:rPr>
                <w:rFonts w:ascii="Times New Roman" w:hAnsi="Times New Roman" w:cs="宋体"/>
                <w:sz w:val="21"/>
                <w:szCs w:val="21"/>
                <w:lang w:eastAsia="zh-CN"/>
              </w:rPr>
              <w:t>功能空间</w:t>
            </w:r>
            <w:r>
              <w:rPr>
                <w:rFonts w:hint="eastAsia" w:ascii="Times New Roman" w:hAnsi="Times New Roman" w:cs="宋体"/>
                <w:sz w:val="21"/>
                <w:szCs w:val="21"/>
                <w:lang w:eastAsia="zh-CN"/>
              </w:rPr>
              <w:t>(㎡)</w:t>
            </w:r>
          </w:p>
        </w:tc>
        <w:tc>
          <w:tcPr>
            <w:tcW w:w="1306" w:type="dxa"/>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240</w:t>
            </w:r>
          </w:p>
        </w:tc>
        <w:tc>
          <w:tcPr>
            <w:tcW w:w="1664" w:type="dxa"/>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1027</w:t>
            </w:r>
          </w:p>
        </w:tc>
        <w:tc>
          <w:tcPr>
            <w:tcW w:w="2143" w:type="dxa"/>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89" w:hRule="atLeast"/>
          <w:jc w:val="center"/>
        </w:trPr>
        <w:tc>
          <w:tcPr>
            <w:tcW w:w="2376"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可变换</w:t>
            </w:r>
            <w:r>
              <w:rPr>
                <w:rFonts w:ascii="Times New Roman" w:hAnsi="Times New Roman" w:cs="宋体"/>
                <w:sz w:val="21"/>
                <w:szCs w:val="21"/>
                <w:lang w:eastAsia="zh-CN"/>
              </w:rPr>
              <w:t>功能空间</w:t>
            </w:r>
            <w:r>
              <w:rPr>
                <w:rFonts w:hint="eastAsia" w:ascii="Times New Roman" w:hAnsi="Times New Roman" w:cs="宋体"/>
                <w:sz w:val="21"/>
                <w:szCs w:val="21"/>
                <w:lang w:eastAsia="zh-CN"/>
              </w:rPr>
              <w:t>(㎡)</w:t>
            </w:r>
          </w:p>
        </w:tc>
        <w:tc>
          <w:tcPr>
            <w:tcW w:w="1306" w:type="dxa"/>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785</w:t>
            </w:r>
          </w:p>
        </w:tc>
        <w:tc>
          <w:tcPr>
            <w:tcW w:w="1664" w:type="dxa"/>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1901</w:t>
            </w:r>
          </w:p>
        </w:tc>
        <w:tc>
          <w:tcPr>
            <w:tcW w:w="2143" w:type="dxa"/>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346" w:type="dxa"/>
            <w:gridSpan w:val="3"/>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可变换</w:t>
            </w:r>
            <w:r>
              <w:rPr>
                <w:rFonts w:ascii="Times New Roman" w:hAnsi="Times New Roman" w:cs="宋体"/>
                <w:sz w:val="21"/>
                <w:szCs w:val="21"/>
                <w:lang w:eastAsia="zh-CN"/>
              </w:rPr>
              <w:t>功能空间</w:t>
            </w:r>
            <w:r>
              <w:rPr>
                <w:rFonts w:hint="eastAsia" w:ascii="Times New Roman" w:hAnsi="Times New Roman" w:cs="宋体"/>
                <w:sz w:val="21"/>
                <w:szCs w:val="21"/>
                <w:lang w:eastAsia="zh-CN"/>
              </w:rPr>
              <w:t>总计(㎡)</w:t>
            </w:r>
          </w:p>
        </w:tc>
        <w:tc>
          <w:tcPr>
            <w:tcW w:w="2143" w:type="dxa"/>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2929</w:t>
            </w:r>
          </w:p>
        </w:tc>
      </w:tr>
    </w:tbl>
    <w:p>
      <w:pPr>
        <w:tabs>
          <w:tab w:val="left" w:pos="605"/>
        </w:tabs>
        <w:spacing w:line="360" w:lineRule="auto"/>
        <w:ind w:firstLine="420" w:firstLineChars="200"/>
        <w:rPr>
          <w:rFonts w:ascii="Times New Roman" w:hAnsi="Times New Roman" w:cs="宋体"/>
          <w:sz w:val="21"/>
          <w:szCs w:val="21"/>
          <w:lang w:eastAsia="zh-CN"/>
        </w:rPr>
      </w:pPr>
    </w:p>
    <w:p>
      <w:pPr>
        <w:tabs>
          <w:tab w:val="left" w:pos="605"/>
        </w:tabs>
        <w:spacing w:line="360" w:lineRule="auto"/>
        <w:ind w:firstLine="420" w:firstLineChars="200"/>
        <w:rPr>
          <w:rFonts w:ascii="Times New Roman" w:hAnsi="Times New Roman" w:cs="宋体"/>
          <w:sz w:val="21"/>
          <w:szCs w:val="21"/>
          <w:lang w:eastAsia="zh-CN"/>
        </w:rPr>
      </w:pPr>
    </w:p>
    <w:p>
      <w:pPr>
        <w:tabs>
          <w:tab w:val="left" w:pos="605"/>
        </w:tabs>
        <w:spacing w:line="360" w:lineRule="auto"/>
        <w:ind w:firstLine="420" w:firstLineChars="200"/>
        <w:rPr>
          <w:rFonts w:ascii="Times New Roman" w:hAnsi="Times New Roman" w:cs="宋体"/>
          <w:sz w:val="21"/>
          <w:szCs w:val="21"/>
          <w:lang w:eastAsia="zh-CN"/>
        </w:rPr>
      </w:pPr>
    </w:p>
    <w:p>
      <w:pPr>
        <w:tabs>
          <w:tab w:val="left" w:pos="605"/>
        </w:tabs>
        <w:rPr>
          <w:rStyle w:val="7"/>
          <w:rFonts w:ascii="Times New Roman" w:hAnsi="Times New Roman"/>
          <w:sz w:val="28"/>
          <w:szCs w:val="28"/>
          <w:lang w:eastAsia="zh-CN"/>
        </w:rPr>
      </w:pPr>
      <w:r>
        <w:rPr>
          <w:rStyle w:val="7"/>
          <w:rFonts w:ascii="Times New Roman" w:hAnsi="Times New Roman"/>
          <w:sz w:val="28"/>
          <w:szCs w:val="28"/>
          <w:lang w:eastAsia="zh-CN"/>
        </w:rPr>
        <w:t>2.2.灵活隔断的室内空间</w:t>
      </w:r>
    </w:p>
    <w:p>
      <w:pPr>
        <w:tabs>
          <w:tab w:val="left" w:pos="605"/>
        </w:tabs>
        <w:rPr>
          <w:rStyle w:val="7"/>
          <w:rFonts w:hint="eastAsia" w:ascii="Times New Roman" w:hAnsi="Times New Roman"/>
          <w:sz w:val="28"/>
          <w:szCs w:val="28"/>
          <w:lang w:eastAsia="zh-CN"/>
        </w:rPr>
      </w:pPr>
    </w:p>
    <w:p>
      <w:pPr>
        <w:tabs>
          <w:tab w:val="left" w:pos="605"/>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本项目布置了较多的大开间敞开式办公，部分办公室和会议室必须隔断时，采用玻璃隔断。采用灵活隔断的统计面积如下表。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3"/>
        <w:gridCol w:w="1647"/>
        <w:gridCol w:w="1812"/>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11" w:hRule="atLeast"/>
          <w:jc w:val="center"/>
        </w:trPr>
        <w:tc>
          <w:tcPr>
            <w:tcW w:w="2873"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楼号</w:t>
            </w:r>
          </w:p>
        </w:tc>
        <w:tc>
          <w:tcPr>
            <w:tcW w:w="1647"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1层</w:t>
            </w:r>
          </w:p>
        </w:tc>
        <w:tc>
          <w:tcPr>
            <w:tcW w:w="1812"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val="en-US" w:eastAsia="zh-CN"/>
              </w:rPr>
              <w:t>2</w:t>
            </w:r>
            <w:r>
              <w:rPr>
                <w:rFonts w:hint="eastAsia" w:ascii="Times New Roman" w:hAnsi="Times New Roman" w:cs="宋体"/>
                <w:sz w:val="21"/>
                <w:szCs w:val="21"/>
                <w:lang w:eastAsia="zh-CN"/>
              </w:rPr>
              <w:t>层</w:t>
            </w:r>
          </w:p>
        </w:tc>
        <w:tc>
          <w:tcPr>
            <w:tcW w:w="2227"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val="en-US" w:eastAsia="zh-CN"/>
              </w:rPr>
              <w:t>3</w:t>
            </w:r>
            <w:r>
              <w:rPr>
                <w:rFonts w:hint="eastAsia" w:ascii="Times New Roman" w:hAnsi="Times New Roman" w:cs="宋体"/>
                <w:sz w:val="21"/>
                <w:szCs w:val="21"/>
                <w:lang w:eastAsia="zh-CN"/>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97" w:hRule="atLeast"/>
          <w:jc w:val="center"/>
        </w:trPr>
        <w:tc>
          <w:tcPr>
            <w:tcW w:w="2873"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采用</w:t>
            </w:r>
            <w:r>
              <w:rPr>
                <w:rFonts w:ascii="Times New Roman" w:hAnsi="Times New Roman" w:cs="宋体"/>
                <w:sz w:val="21"/>
                <w:szCs w:val="21"/>
                <w:lang w:eastAsia="zh-CN"/>
              </w:rPr>
              <w:t>灵活隔断的面积</w:t>
            </w:r>
            <w:r>
              <w:rPr>
                <w:rFonts w:hint="eastAsia" w:ascii="Times New Roman" w:hAnsi="Times New Roman" w:cs="宋体"/>
                <w:sz w:val="21"/>
                <w:szCs w:val="21"/>
                <w:lang w:eastAsia="zh-CN"/>
              </w:rPr>
              <w:t>(㎡)</w:t>
            </w:r>
          </w:p>
        </w:tc>
        <w:tc>
          <w:tcPr>
            <w:tcW w:w="1647" w:type="dxa"/>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240</w:t>
            </w:r>
          </w:p>
        </w:tc>
        <w:tc>
          <w:tcPr>
            <w:tcW w:w="1812" w:type="dxa"/>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310</w:t>
            </w:r>
          </w:p>
        </w:tc>
        <w:tc>
          <w:tcPr>
            <w:tcW w:w="2227" w:type="dxa"/>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873" w:type="dxa"/>
            <w:vAlign w:val="center"/>
          </w:tcPr>
          <w:p>
            <w:pPr>
              <w:tabs>
                <w:tab w:val="left" w:pos="605"/>
              </w:tabs>
              <w:jc w:val="center"/>
              <w:rPr>
                <w:rFonts w:hint="eastAsia" w:ascii="Times New Roman" w:hAnsi="Times New Roman" w:cs="宋体"/>
                <w:sz w:val="21"/>
                <w:szCs w:val="21"/>
                <w:lang w:eastAsia="zh-CN"/>
              </w:rPr>
            </w:pPr>
            <w:r>
              <w:rPr>
                <w:rFonts w:hint="eastAsia" w:ascii="Times New Roman" w:hAnsi="Times New Roman" w:cs="宋体"/>
                <w:sz w:val="21"/>
                <w:szCs w:val="21"/>
                <w:lang w:eastAsia="zh-CN"/>
              </w:rPr>
              <w:t>合计(㎡)</w:t>
            </w:r>
          </w:p>
        </w:tc>
        <w:tc>
          <w:tcPr>
            <w:tcW w:w="5686" w:type="dxa"/>
            <w:gridSpan w:val="3"/>
            <w:vAlign w:val="center"/>
          </w:tcPr>
          <w:p>
            <w:pPr>
              <w:tabs>
                <w:tab w:val="left" w:pos="605"/>
              </w:tabs>
              <w:jc w:val="center"/>
              <w:rPr>
                <w:rFonts w:hint="default" w:ascii="Times New Roman" w:hAnsi="Times New Roman" w:cs="宋体"/>
                <w:sz w:val="21"/>
                <w:szCs w:val="21"/>
                <w:lang w:val="en-US" w:eastAsia="zh-CN"/>
              </w:rPr>
            </w:pPr>
            <w:r>
              <w:rPr>
                <w:rFonts w:hint="eastAsia" w:ascii="Times New Roman" w:hAnsi="Times New Roman" w:cs="宋体"/>
                <w:sz w:val="21"/>
                <w:szCs w:val="21"/>
                <w:lang w:val="en-US" w:eastAsia="zh-CN"/>
              </w:rPr>
              <w:t>670</w:t>
            </w:r>
          </w:p>
        </w:tc>
      </w:tr>
    </w:tbl>
    <w:p>
      <w:pPr>
        <w:tabs>
          <w:tab w:val="left" w:pos="605"/>
        </w:tabs>
        <w:rPr>
          <w:rStyle w:val="7"/>
          <w:rFonts w:ascii="Times New Roman" w:hAnsi="Times New Roman"/>
          <w:sz w:val="28"/>
          <w:szCs w:val="28"/>
          <w:lang w:eastAsia="zh-CN"/>
        </w:rPr>
      </w:pPr>
    </w:p>
    <w:p>
      <w:pPr>
        <w:tabs>
          <w:tab w:val="left" w:pos="605"/>
        </w:tabs>
        <w:rPr>
          <w:rStyle w:val="7"/>
          <w:rFonts w:ascii="Times New Roman" w:hAnsi="Times New Roman"/>
          <w:sz w:val="28"/>
          <w:szCs w:val="28"/>
          <w:lang w:eastAsia="zh-CN"/>
        </w:rPr>
      </w:pPr>
      <w:r>
        <w:rPr>
          <w:rStyle w:val="7"/>
          <w:rFonts w:ascii="Times New Roman" w:hAnsi="Times New Roman"/>
          <w:sz w:val="28"/>
          <w:szCs w:val="28"/>
          <w:lang w:eastAsia="zh-CN"/>
        </w:rPr>
        <w:t>2.3.灵活隔断的面积比例</w:t>
      </w:r>
    </w:p>
    <w:p>
      <w:pPr>
        <w:tabs>
          <w:tab w:val="left" w:pos="605"/>
        </w:tabs>
        <w:rPr>
          <w:rStyle w:val="7"/>
          <w:rFonts w:hint="eastAsia" w:ascii="Times New Roman" w:hAnsi="Times New Roman"/>
          <w:sz w:val="28"/>
          <w:szCs w:val="28"/>
          <w:lang w:eastAsia="zh-CN"/>
        </w:rPr>
      </w:pPr>
    </w:p>
    <w:p>
      <w:pPr>
        <w:tabs>
          <w:tab w:val="left" w:pos="605"/>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灵活隔断的面积比例=</w:t>
      </w:r>
      <w:r>
        <w:rPr>
          <w:rFonts w:hint="eastAsia" w:ascii="Times New Roman" w:hAnsi="Times New Roman" w:cs="宋体"/>
          <w:sz w:val="21"/>
          <w:szCs w:val="21"/>
          <w:lang w:val="en-US" w:eastAsia="zh-CN"/>
        </w:rPr>
        <w:t>670</w:t>
      </w:r>
      <w:r>
        <w:rPr>
          <w:rFonts w:ascii="Times New Roman" w:hAnsi="Times New Roman" w:cs="宋体"/>
          <w:sz w:val="21"/>
          <w:szCs w:val="21"/>
          <w:lang w:eastAsia="zh-CN"/>
        </w:rPr>
        <w:t>/</w:t>
      </w:r>
      <w:r>
        <w:rPr>
          <w:rFonts w:hint="eastAsia" w:ascii="Times New Roman" w:hAnsi="Times New Roman" w:cs="宋体"/>
          <w:sz w:val="21"/>
          <w:szCs w:val="21"/>
          <w:lang w:val="en-US" w:eastAsia="zh-CN"/>
        </w:rPr>
        <w:t>2929</w:t>
      </w:r>
      <w:r>
        <w:rPr>
          <w:rFonts w:ascii="Times New Roman" w:hAnsi="Times New Roman" w:cs="宋体"/>
          <w:sz w:val="21"/>
          <w:szCs w:val="21"/>
          <w:lang w:eastAsia="zh-CN"/>
        </w:rPr>
        <w:t>×100%=69.1%；</w:t>
      </w:r>
    </w:p>
    <w:p>
      <w:pPr>
        <w:tabs>
          <w:tab w:val="left" w:pos="605"/>
        </w:tabs>
        <w:spacing w:line="360" w:lineRule="auto"/>
        <w:ind w:firstLine="420" w:firstLineChars="200"/>
        <w:rPr>
          <w:rFonts w:ascii="Times New Roman" w:hAnsi="Times New Roman" w:cs="宋体"/>
          <w:sz w:val="21"/>
          <w:szCs w:val="21"/>
          <w:lang w:eastAsia="zh-CN"/>
        </w:rPr>
      </w:pPr>
      <w:r>
        <w:rPr>
          <w:rFonts w:ascii="Times New Roman" w:hAnsi="Times New Roman" w:cs="宋体"/>
          <w:sz w:val="21"/>
          <w:szCs w:val="21"/>
          <w:lang w:eastAsia="zh-CN"/>
        </w:rPr>
        <w:t>非灵活隔断的面积比例=1-69.1%=30.9%。</w:t>
      </w:r>
      <w:bookmarkStart w:id="0" w:name="_GoBack"/>
      <w:bookmarkEnd w:id="0"/>
    </w:p>
    <w:p>
      <w:pPr>
        <w:tabs>
          <w:tab w:val="left" w:pos="605"/>
        </w:tabs>
        <w:spacing w:line="360" w:lineRule="auto"/>
        <w:ind w:firstLine="420" w:firstLineChars="200"/>
        <w:rPr>
          <w:rFonts w:ascii="Times New Roman" w:hAnsi="Times New Roman" w:cs="宋体"/>
          <w:sz w:val="21"/>
          <w:szCs w:val="21"/>
          <w:lang w:eastAsia="zh-CN"/>
        </w:rPr>
      </w:pPr>
    </w:p>
    <w:p>
      <w:pPr>
        <w:pStyle w:val="2"/>
        <w:rPr>
          <w:rFonts w:ascii="Times New Roman" w:hAnsi="Times New Roman" w:cs="Times New Roman" w:eastAsiaTheme="minorEastAsia"/>
          <w:sz w:val="32"/>
          <w:szCs w:val="32"/>
          <w:lang w:eastAsia="zh-CN"/>
        </w:rPr>
      </w:pPr>
      <w:r>
        <w:rPr>
          <w:rFonts w:ascii="Times New Roman" w:hAnsi="Times New Roman" w:cs="Times New Roman"/>
          <w:sz w:val="32"/>
          <w:szCs w:val="32"/>
          <w:lang w:eastAsia="zh-CN"/>
        </w:rPr>
        <w:t>3.结论</w:t>
      </w:r>
    </w:p>
    <w:p>
      <w:pPr>
        <w:pStyle w:val="2"/>
        <w:rPr>
          <w:rFonts w:hint="eastAsia" w:ascii="Times New Roman" w:hAnsi="Times New Roman" w:cs="Times New Roman" w:eastAsiaTheme="minorEastAsia"/>
          <w:sz w:val="32"/>
          <w:szCs w:val="32"/>
          <w:lang w:eastAsia="zh-CN"/>
        </w:rPr>
      </w:pPr>
    </w:p>
    <w:p>
      <w:pPr>
        <w:tabs>
          <w:tab w:val="left" w:pos="605"/>
        </w:tabs>
        <w:spacing w:line="360" w:lineRule="auto"/>
        <w:ind w:firstLine="420" w:firstLineChars="200"/>
        <w:rPr>
          <w:rFonts w:hint="eastAsia" w:ascii="Times New Roman" w:hAnsi="Times New Roman" w:cs="宋体"/>
          <w:sz w:val="21"/>
          <w:szCs w:val="21"/>
          <w:lang w:eastAsia="zh-CN"/>
        </w:rPr>
      </w:pPr>
      <w:r>
        <w:rPr>
          <w:rFonts w:ascii="Times New Roman" w:hAnsi="Times New Roman" w:cs="宋体"/>
          <w:sz w:val="21"/>
          <w:szCs w:val="21"/>
          <w:lang w:eastAsia="zh-CN"/>
        </w:rPr>
        <w:t>针对《绿色建筑评价标准》GB50378-2019的第4.2.6</w:t>
      </w:r>
      <w:r>
        <w:rPr>
          <w:rFonts w:hint="eastAsia" w:ascii="Times New Roman" w:hAnsi="Times New Roman" w:cs="宋体"/>
          <w:sz w:val="21"/>
          <w:szCs w:val="21"/>
          <w:lang w:eastAsia="zh-CN"/>
        </w:rPr>
        <w:t>条</w:t>
      </w:r>
      <w:r>
        <w:rPr>
          <w:rFonts w:ascii="Times New Roman" w:hAnsi="Times New Roman" w:cs="宋体"/>
          <w:sz w:val="21"/>
          <w:szCs w:val="21"/>
          <w:lang w:eastAsia="zh-CN"/>
        </w:rPr>
        <w:t>“采取提升建筑适变性的措施，评价总分值为18分”</w:t>
      </w:r>
      <w:r>
        <w:rPr>
          <w:rFonts w:hint="eastAsia" w:ascii="Times New Roman" w:hAnsi="Times New Roman" w:cs="宋体"/>
          <w:sz w:val="21"/>
          <w:szCs w:val="21"/>
          <w:lang w:eastAsia="zh-CN"/>
        </w:rPr>
        <w:t>，</w:t>
      </w:r>
      <w:r>
        <w:rPr>
          <w:rFonts w:ascii="Times New Roman" w:hAnsi="Times New Roman" w:cs="宋体"/>
          <w:sz w:val="21"/>
          <w:szCs w:val="21"/>
          <w:lang w:eastAsia="zh-CN"/>
        </w:rPr>
        <w:t>满足第一点“采取通用开放、灵活可变的使用空间设计，或采取建筑使用功能可变措施，得7分”。该评分项可得7分。</w:t>
      </w:r>
    </w:p>
    <w:sectPr>
      <w:pgSz w:w="11910" w:h="16850"/>
      <w:pgMar w:top="148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NjQ0YmVmMGFjNzk4Y2ZiZGY5MWNiMGY4NTQwNTAifQ=="/>
  </w:docVars>
  <w:rsids>
    <w:rsidRoot w:val="00E40C34"/>
    <w:rsid w:val="00022519"/>
    <w:rsid w:val="00897ADE"/>
    <w:rsid w:val="00900B4A"/>
    <w:rsid w:val="00E40C34"/>
    <w:rsid w:val="3E7813D1"/>
    <w:rsid w:val="56847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outlineLvl w:val="0"/>
    </w:pPr>
    <w:rPr>
      <w:rFonts w:ascii="Microsoft JhengHei" w:hAnsi="Microsoft JhengHei" w:eastAsia="Microsoft JhengHei"/>
      <w:b/>
      <w:bCs/>
      <w:sz w:val="28"/>
      <w:szCs w:val="28"/>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8"/>
      <w:ind w:left="120"/>
    </w:pPr>
    <w:rPr>
      <w:rFonts w:ascii="宋体" w:hAnsi="宋体" w:eastAsia="宋体"/>
      <w:sz w:val="23"/>
      <w:szCs w:val="23"/>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22"/>
    <w:rPr>
      <w:b/>
      <w:bCs/>
    </w:rPr>
  </w:style>
  <w:style w:type="character" w:styleId="8">
    <w:name w:val="Hyperlink"/>
    <w:basedOn w:val="6"/>
    <w:semiHidden/>
    <w:unhideWhenUsed/>
    <w:qFormat/>
    <w:uiPriority w:val="99"/>
    <w:rPr>
      <w:color w:val="0000FF"/>
      <w:u w:val="single"/>
    </w:rPr>
  </w:style>
  <w:style w:type="table" w:customStyle="1" w:styleId="9">
    <w:name w:val="Table Normal"/>
    <w:autoRedefine/>
    <w:semiHidden/>
    <w:unhideWhenUsed/>
    <w:qFormat/>
    <w:uiPriority w:val="2"/>
    <w:tblPr>
      <w:tblCellMar>
        <w:top w:w="0" w:type="dxa"/>
        <w:left w:w="0" w:type="dxa"/>
        <w:bottom w:w="0" w:type="dxa"/>
        <w:right w:w="0" w:type="dxa"/>
      </w:tblCellMar>
    </w:tblPr>
  </w:style>
  <w:style w:type="paragraph" w:styleId="10">
    <w:name w:val="List Paragraph"/>
    <w:basedOn w:val="1"/>
    <w:autoRedefine/>
    <w:qFormat/>
    <w:uiPriority w:val="1"/>
  </w:style>
  <w:style w:type="paragraph" w:customStyle="1" w:styleId="11">
    <w:name w:val="Table Paragraph"/>
    <w:basedOn w:val="1"/>
    <w:autoRedefine/>
    <w:qFormat/>
    <w:uiPriority w:val="1"/>
  </w:style>
  <w:style w:type="character" w:customStyle="1" w:styleId="12">
    <w:name w:val="text_brbij"/>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C3A2E-A9D9-4CEE-89E0-DF0EBB613CA7}">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173</Words>
  <Characters>989</Characters>
  <Lines>8</Lines>
  <Paragraphs>2</Paragraphs>
  <TotalTime>10</TotalTime>
  <ScaleCrop>false</ScaleCrop>
  <LinksUpToDate>false</LinksUpToDate>
  <CharactersWithSpaces>1160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2020-01-09T09:42:00Z</dcterms:created>
  <dc:creator>金晶</dc:creator>
  <cp:lastModifiedBy>灰色的世界</cp:lastModifiedBy>
  <dcterms:modified xsi:type="dcterms:W3CDTF">2024-03-15T14:43:04Z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2017-10-09T00:00:00Z</vt:filetime>
  </property>
  <property fmtid="{D5CDD505-2E9C-101B-9397-08002B2CF9AE}" pid="3" name="LastSaved">
    <vt:filetime>2020-01-09T00:00:00Z</vt:filetime>
  </property>
  <property fmtid="{D5CDD505-2E9C-101B-9397-08002B2CF9AE}" pid="4" name="KSOProductBuildVer">
    <vt:lpwstr>2052-12.1.0.16388</vt:lpwstr>
  </property>
  <property fmtid="{D5CDD505-2E9C-101B-9397-08002B2CF9AE}" pid="5" name="ICV">
    <vt:lpwstr>13624D63A3344D2A9424CDE2309C59E4_13</vt:lpwstr>
  </property>
</Properties>
</file>