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szCs w:val="22"/>
        </w:rPr>
      </w:pPr>
      <w:r>
        <w:rPr>
          <w:rFonts w:hint="eastAsia" w:ascii="Times New Roman" w:hAnsi="Times New Roman" w:eastAsia="宋体"/>
          <w:szCs w:val="22"/>
        </w:rPr>
        <w:t>门、窗作为室内外空间的连接部分，对于建筑得热的影响不亚于围护结构。门窗较小的传热系数可以在供暖季减少热量的散失，从而降低能耗；夏季有效的遮阳措施可减少太阳直射得热量，从而降低供冷能耗。本工程对于门窗采取的节能措施为使用保温门窗、Low-e玻璃、设置内置活动遮阳。具体做法如下。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szCs w:val="22"/>
          <w:highlight w:val="none"/>
        </w:rPr>
      </w:pPr>
      <w:r>
        <w:rPr>
          <w:rFonts w:ascii="Times New Roman" w:hAnsi="Times New Roman" w:eastAsia="宋体"/>
          <w:color w:val="4472C4"/>
          <w:szCs w:val="22"/>
          <w:highlight w:val="none"/>
        </w:rPr>
        <w:t>1. 采暖空调房通外室外的门：双层阳台金属外门：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szCs w:val="22"/>
          <w:highlight w:val="none"/>
        </w:rPr>
      </w:pPr>
      <w:r>
        <w:rPr>
          <w:rFonts w:ascii="Times New Roman" w:hAnsi="Times New Roman" w:eastAsia="宋体"/>
          <w:szCs w:val="22"/>
          <w:highlight w:val="none"/>
        </w:rPr>
        <w:t xml:space="preserve">    传热系数1.190W/m^2.K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 w:cs="Times New Roman"/>
          <w:color w:val="4472C4"/>
          <w:szCs w:val="22"/>
          <w:highlight w:val="none"/>
        </w:rPr>
      </w:pPr>
      <w:r>
        <w:rPr>
          <w:rFonts w:ascii="Times New Roman" w:hAnsi="Times New Roman" w:eastAsia="宋体"/>
          <w:color w:val="4472C4"/>
          <w:szCs w:val="22"/>
          <w:highlight w:val="none"/>
        </w:rPr>
        <w:t>2. 外窗：</w:t>
      </w:r>
      <w:r>
        <w:rPr>
          <w:rFonts w:ascii="Times New Roman" w:hAnsi="Times New Roman" w:eastAsia="宋体" w:cs="Times New Roman"/>
          <w:color w:val="4472C4"/>
          <w:szCs w:val="22"/>
          <w:highlight w:val="none"/>
        </w:rPr>
        <w:t>塑料/塑钢-MD70内平开窗(6Low-E+12A+5)：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szCs w:val="22"/>
          <w:highlight w:val="none"/>
        </w:rPr>
      </w:pPr>
      <w:r>
        <w:rPr>
          <w:rFonts w:ascii="Times New Roman" w:hAnsi="Times New Roman" w:eastAsia="宋体"/>
          <w:szCs w:val="22"/>
          <w:highlight w:val="none"/>
        </w:rPr>
        <w:t xml:space="preserve">    传热系数</w:t>
      </w:r>
      <w:r>
        <w:rPr>
          <w:rFonts w:ascii="Times New Roman" w:hAnsi="Times New Roman" w:eastAsia="宋体"/>
          <w:highlight w:val="none"/>
        </w:rPr>
        <w:t>1.50</w:t>
      </w:r>
      <w:r>
        <w:rPr>
          <w:rFonts w:ascii="Times New Roman" w:hAnsi="Times New Roman" w:eastAsia="宋体"/>
          <w:szCs w:val="22"/>
          <w:highlight w:val="none"/>
        </w:rPr>
        <w:t>W/m^2.K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color w:val="4472C4"/>
          <w:szCs w:val="22"/>
          <w:highlight w:val="none"/>
        </w:rPr>
      </w:pPr>
      <w:r>
        <w:rPr>
          <w:rFonts w:ascii="Times New Roman" w:hAnsi="Times New Roman" w:eastAsia="宋体"/>
          <w:color w:val="4472C4"/>
          <w:szCs w:val="22"/>
          <w:highlight w:val="none"/>
        </w:rPr>
        <w:t>3. 幕墙：6中透光Low-E+12氩气+6透明：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szCs w:val="22"/>
          <w:highlight w:val="none"/>
        </w:rPr>
      </w:pPr>
      <w:r>
        <w:rPr>
          <w:rFonts w:ascii="Times New Roman" w:hAnsi="Times New Roman" w:eastAsia="宋体"/>
          <w:szCs w:val="22"/>
          <w:highlight w:val="none"/>
        </w:rPr>
        <w:t xml:space="preserve">    传热系数1.400W/m^2.K，自身遮阳系数0.500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color w:val="4472C4"/>
          <w:szCs w:val="22"/>
          <w:highlight w:val="none"/>
        </w:rPr>
      </w:pPr>
      <w:r>
        <w:rPr>
          <w:rFonts w:hint="eastAsia" w:ascii="Times New Roman" w:hAnsi="Times New Roman" w:eastAsia="宋体"/>
          <w:color w:val="4472C4"/>
          <w:szCs w:val="22"/>
          <w:highlight w:val="none"/>
          <w:lang w:val="en-US" w:eastAsia="zh-CN"/>
        </w:rPr>
        <w:t>4</w:t>
      </w:r>
      <w:r>
        <w:rPr>
          <w:rFonts w:ascii="Times New Roman" w:hAnsi="Times New Roman" w:eastAsia="宋体"/>
          <w:color w:val="4472C4"/>
          <w:szCs w:val="22"/>
          <w:highlight w:val="none"/>
        </w:rPr>
        <w:t>. 封闭阳台与室内隔墙的窗：</w:t>
      </w:r>
      <w:r>
        <w:rPr>
          <w:rFonts w:hint="eastAsia" w:ascii="Times New Roman" w:hAnsi="Times New Roman" w:eastAsia="宋体"/>
          <w:color w:val="4472C4"/>
          <w:szCs w:val="22"/>
          <w:highlight w:val="none"/>
        </w:rPr>
        <w:t>塑料/塑钢-MD70内平开窗(6Low-E+12A+5)：</w:t>
      </w:r>
      <w:r>
        <w:rPr>
          <w:rFonts w:ascii="Times New Roman" w:hAnsi="Times New Roman" w:eastAsia="宋体"/>
          <w:color w:val="4472C4"/>
          <w:szCs w:val="22"/>
          <w:highlight w:val="none"/>
        </w:rPr>
        <w:t>：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szCs w:val="22"/>
          <w:highlight w:val="none"/>
        </w:rPr>
      </w:pPr>
      <w:r>
        <w:rPr>
          <w:rFonts w:ascii="Times New Roman" w:hAnsi="Times New Roman" w:eastAsia="宋体"/>
          <w:szCs w:val="22"/>
          <w:highlight w:val="none"/>
        </w:rPr>
        <w:t xml:space="preserve">    传热系数1.400W/m^2.K，自身遮阳系数0.500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 w:cs="Times New Roman"/>
          <w:color w:val="4472C4"/>
          <w:szCs w:val="22"/>
          <w:highlight w:val="none"/>
        </w:rPr>
      </w:pPr>
      <w:r>
        <w:rPr>
          <w:rFonts w:hint="eastAsia" w:ascii="Times New Roman" w:hAnsi="Times New Roman" w:eastAsia="宋体"/>
          <w:color w:val="4472C4"/>
          <w:szCs w:val="22"/>
          <w:highlight w:val="none"/>
          <w:lang w:val="en-US" w:eastAsia="zh-CN"/>
        </w:rPr>
        <w:t>5</w:t>
      </w:r>
      <w:r>
        <w:rPr>
          <w:rFonts w:ascii="Times New Roman" w:hAnsi="Times New Roman" w:eastAsia="宋体"/>
          <w:color w:val="4472C4"/>
          <w:szCs w:val="22"/>
          <w:highlight w:val="none"/>
        </w:rPr>
        <w:t>.封闭阳台窗</w:t>
      </w:r>
      <w:r>
        <w:rPr>
          <w:rFonts w:ascii="Times New Roman" w:hAnsi="Times New Roman" w:eastAsia="宋体" w:cs="Times New Roman"/>
          <w:color w:val="4472C4"/>
          <w:szCs w:val="22"/>
          <w:highlight w:val="none"/>
        </w:rPr>
        <w:t>：塑料/塑钢-MD70内平开窗(6Low-E+12A+5)：</w:t>
      </w:r>
    </w:p>
    <w:p>
      <w:pPr>
        <w:tabs>
          <w:tab w:val="left" w:pos="398"/>
        </w:tabs>
        <w:spacing w:line="360" w:lineRule="auto"/>
        <w:ind w:firstLine="840" w:firstLineChars="400"/>
        <w:rPr>
          <w:rFonts w:ascii="Times New Roman" w:hAnsi="Times New Roman" w:eastAsia="宋体"/>
          <w:szCs w:val="22"/>
          <w:highlight w:val="none"/>
        </w:rPr>
      </w:pPr>
      <w:r>
        <w:rPr>
          <w:rFonts w:ascii="Times New Roman" w:hAnsi="Times New Roman" w:eastAsia="宋体"/>
          <w:szCs w:val="22"/>
          <w:highlight w:val="none"/>
        </w:rPr>
        <w:t>传热系数1.</w:t>
      </w:r>
      <w:r>
        <w:rPr>
          <w:rFonts w:hint="eastAsia" w:ascii="Times New Roman" w:hAnsi="Times New Roman" w:eastAsia="宋体"/>
          <w:szCs w:val="22"/>
          <w:highlight w:val="none"/>
          <w:lang w:val="en-US" w:eastAsia="zh-CN"/>
        </w:rPr>
        <w:t>5</w:t>
      </w:r>
      <w:r>
        <w:rPr>
          <w:rFonts w:ascii="Times New Roman" w:hAnsi="Times New Roman" w:eastAsia="宋体"/>
          <w:szCs w:val="22"/>
          <w:highlight w:val="none"/>
        </w:rPr>
        <w:t>0W/m^2.K</w:t>
      </w:r>
    </w:p>
    <w:p>
      <w:pPr>
        <w:tabs>
          <w:tab w:val="left" w:pos="398"/>
        </w:tabs>
        <w:spacing w:line="360" w:lineRule="auto"/>
        <w:ind w:firstLine="420" w:firstLineChars="200"/>
        <w:rPr>
          <w:rFonts w:ascii="Times New Roman" w:hAnsi="Times New Roman" w:eastAsia="宋体"/>
          <w:color w:val="4472C4"/>
          <w:szCs w:val="22"/>
          <w:highlight w:val="none"/>
        </w:rPr>
      </w:pPr>
      <w:r>
        <w:rPr>
          <w:rFonts w:hint="eastAsia" w:ascii="Times New Roman" w:hAnsi="Times New Roman" w:eastAsia="宋体"/>
          <w:color w:val="4472C4"/>
          <w:szCs w:val="22"/>
          <w:highlight w:val="none"/>
          <w:lang w:val="en-US" w:eastAsia="zh-CN"/>
        </w:rPr>
        <w:t>6</w:t>
      </w:r>
      <w:r>
        <w:rPr>
          <w:rFonts w:ascii="Times New Roman" w:hAnsi="Times New Roman" w:eastAsia="宋体"/>
          <w:color w:val="4472C4"/>
          <w:szCs w:val="22"/>
          <w:highlight w:val="none"/>
        </w:rPr>
        <w:t>. 木制百叶遮阳：外挑0.282m 百叶间距0.4m</w:t>
      </w:r>
    </w:p>
    <w:p>
      <w:pPr>
        <w:tabs>
          <w:tab w:val="left" w:pos="398"/>
        </w:tabs>
        <w:spacing w:line="360" w:lineRule="auto"/>
        <w:ind w:firstLine="840" w:firstLineChars="400"/>
        <w:rPr>
          <w:rFonts w:ascii="Times New Roman" w:hAnsi="Times New Roman" w:eastAsia="宋体"/>
          <w:szCs w:val="22"/>
          <w:highlight w:val="none"/>
        </w:rPr>
      </w:pPr>
      <w:r>
        <w:rPr>
          <w:rFonts w:ascii="Times New Roman" w:hAnsi="Times New Roman" w:eastAsia="宋体"/>
          <w:szCs w:val="22"/>
          <w:highlight w:val="none"/>
        </w:rPr>
        <w:t>遮阳板透射板 0.45</w:t>
      </w:r>
    </w:p>
    <w:p>
      <w:pPr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3154680" cy="215963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842" t="887" r="987" b="177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 xml:space="preserve">图 </w:t>
      </w:r>
      <w:r>
        <w:rPr>
          <w:rFonts w:hint="eastAsia" w:ascii="Times New Roman" w:hAnsi="Times New Roman" w:eastAsia="宋体"/>
          <w:lang w:val="en-US" w:eastAsia="zh-CN"/>
        </w:rPr>
        <w:t xml:space="preserve">4-2 </w:t>
      </w:r>
      <w:r>
        <w:rPr>
          <w:rFonts w:hint="eastAsia" w:ascii="Times New Roman" w:hAnsi="Times New Roman" w:eastAsia="宋体"/>
        </w:rPr>
        <w:t>内置活动百叶遮阳效果图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GZkOTc3YjY5ZjgxY2Y0ZGRlNGY5NmFlYTA3ZTQifQ=="/>
  </w:docVars>
  <w:rsids>
    <w:rsidRoot w:val="7242754F"/>
    <w:rsid w:val="724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2024-03-13T04:58:00Z</dcterms:created>
  <dc:creator>Z。Miracle.~</dc:creator>
  <cp:lastModifiedBy>Z。Miracle.~</cp:lastModifiedBy>
  <dcterms:modified xsi:type="dcterms:W3CDTF">2024-03-13T04:58:42Z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0015E420FE1E4AEC80094A286136649C_11</vt:lpwstr>
  </property>
</Properties>
</file>