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2024年03月14日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_Toc31440 </w:instrText>
      </w:r>
      <w:r>
        <w:rPr>
          <w:rFonts w:ascii="宋体" w:hAnsi="宋体"/>
          <w:bCs w:val="0"/>
          <w:caps/>
        </w:rPr>
        <w:fldChar w:fldCharType="separate"/>
      </w:r>
      <w:r>
        <w:rPr>
          <w:rFonts w:hint="eastAsia"/>
        </w:rPr>
        <w:t>1 项目概况</w:t>
      </w:r>
      <w:r>
        <w:tab/>
      </w:r>
      <w:r>
        <w:fldChar w:fldCharType="begin"/>
      </w:r>
      <w:r>
        <w:instrText xml:space="preserve"> PAGEREF _Toc31440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_Toc418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_Toc418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_Toc8985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_Toc8985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_Toc19039 </w:instrText>
      </w:r>
      <w:r>
        <w:fldChar w:fldCharType="separate"/>
      </w:r>
      <w:r>
        <w:rPr>
          <w:rFonts w:hint="eastAsia"/>
        </w:rPr>
        <w:t>2 计算</w:t>
      </w:r>
      <w:r>
        <w:t>依据</w:t>
      </w:r>
      <w:r>
        <w:tab/>
      </w:r>
      <w:r>
        <w:fldChar w:fldCharType="begin"/>
      </w:r>
      <w:r>
        <w:instrText xml:space="preserve"> PAGEREF _Toc19039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_Toc26942 </w:instrText>
      </w:r>
      <w:r>
        <w:fldChar w:fldCharType="separate"/>
      </w:r>
      <w:r>
        <w:rPr>
          <w:rFonts w:hint="eastAsia"/>
        </w:rPr>
        <w:t>3 参考</w:t>
      </w:r>
      <w:r>
        <w:t>标准</w:t>
      </w:r>
      <w:r>
        <w:tab/>
      </w:r>
      <w:r>
        <w:fldChar w:fldCharType="begin"/>
      </w:r>
      <w:r>
        <w:instrText xml:space="preserve"> PAGEREF _Toc26942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_Toc26492 </w:instrText>
      </w:r>
      <w:r>
        <w:fldChar w:fldCharType="separate"/>
      </w:r>
      <w:r>
        <w:rPr>
          <w:rFonts w:hint="eastAsia"/>
        </w:rPr>
        <w:t>4 计算原理</w:t>
      </w:r>
      <w:r>
        <w:tab/>
      </w:r>
      <w:r>
        <w:fldChar w:fldCharType="begin"/>
      </w:r>
      <w:r>
        <w:instrText xml:space="preserve"> PAGEREF _Toc26492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_Toc20830 </w:instrText>
      </w:r>
      <w:r>
        <w:fldChar w:fldCharType="separate"/>
      </w:r>
      <w:r>
        <w:rPr>
          <w:rFonts w:hint="eastAsia"/>
          <w:lang w:val="en-GB"/>
        </w:rPr>
        <w:t xml:space="preserve">4.1 </w:t>
      </w:r>
      <w:r>
        <w:rPr>
          <w:rFonts w:hint="eastAsia"/>
        </w:rPr>
        <w:t>风场计算域</w:t>
      </w:r>
      <w:r>
        <w:tab/>
      </w:r>
      <w:r>
        <w:fldChar w:fldCharType="begin"/>
      </w:r>
      <w:r>
        <w:instrText xml:space="preserve"> PAGEREF _Toc20830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_Toc18000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_Toc18000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_Toc28259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_Toc28259 \h </w:instrText>
      </w:r>
      <w:r>
        <w:fldChar w:fldCharType="separate"/>
      </w:r>
      <w:r>
        <w:t>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_Toc17762 </w:instrText>
      </w:r>
      <w:r>
        <w:fldChar w:fldCharType="separate"/>
      </w:r>
      <w:r>
        <w:rPr>
          <w:rFonts w:hint="eastAsia" w:eastAsia="宋体"/>
          <w:szCs w:val="24"/>
          <w:lang w:val="en-GB"/>
        </w:rPr>
        <w:t xml:space="preserve">4.1.3 </w:t>
      </w:r>
      <w:r>
        <w:rPr>
          <w:rFonts w:hint="eastAsia"/>
        </w:rPr>
        <w:t>过渡季工况风场计算域</w:t>
      </w:r>
      <w:r>
        <w:tab/>
      </w:r>
      <w:r>
        <w:fldChar w:fldCharType="begin"/>
      </w:r>
      <w:r>
        <w:instrText xml:space="preserve"> PAGEREF _Toc17762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_Toc26352 </w:instrText>
      </w:r>
      <w:r>
        <w:fldChar w:fldCharType="separate"/>
      </w:r>
      <w:r>
        <w:rPr>
          <w:rFonts w:hint="eastAsia"/>
          <w:lang w:val="en-GB"/>
        </w:rPr>
        <w:t xml:space="preserve">4.2 </w:t>
      </w:r>
      <w:r>
        <w:rPr>
          <w:rFonts w:hint="eastAsia"/>
        </w:rPr>
        <w:t>网格划分</w:t>
      </w:r>
      <w:r>
        <w:tab/>
      </w:r>
      <w:r>
        <w:fldChar w:fldCharType="begin"/>
      </w:r>
      <w:r>
        <w:instrText xml:space="preserve"> PAGEREF _Toc26352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_Toc4630 </w:instrText>
      </w:r>
      <w:r>
        <w:fldChar w:fldCharType="separate"/>
      </w:r>
      <w:r>
        <w:rPr>
          <w:rFonts w:hint="eastAsia"/>
          <w:lang w:val="en-GB"/>
        </w:rPr>
        <w:t xml:space="preserve">4.3 </w:t>
      </w:r>
      <w:r>
        <w:rPr>
          <w:rFonts w:hint="eastAsia"/>
        </w:rPr>
        <w:t>边界条件</w:t>
      </w:r>
      <w:r>
        <w:tab/>
      </w:r>
      <w:r>
        <w:fldChar w:fldCharType="begin"/>
      </w:r>
      <w:r>
        <w:instrText xml:space="preserve"> PAGEREF _Toc4630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_Toc5855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_Toc5855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_Toc5315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_Toc5315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_Toc22922 </w:instrText>
      </w:r>
      <w:r>
        <w:fldChar w:fldCharType="separate"/>
      </w:r>
      <w:r>
        <w:rPr>
          <w:rFonts w:hint="eastAsia"/>
          <w:lang w:val="en-GB"/>
        </w:rPr>
        <w:t xml:space="preserve">4.4 </w:t>
      </w:r>
      <w:r>
        <w:rPr>
          <w:rFonts w:hint="eastAsia"/>
        </w:rPr>
        <w:t>湍流模型</w:t>
      </w:r>
      <w:r>
        <w:tab/>
      </w:r>
      <w:r>
        <w:fldChar w:fldCharType="begin"/>
      </w:r>
      <w:r>
        <w:instrText xml:space="preserve"> PAGEREF _Toc22922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_Toc26188 </w:instrText>
      </w:r>
      <w:r>
        <w:fldChar w:fldCharType="separate"/>
      </w:r>
      <w:r>
        <w:rPr>
          <w:rFonts w:hint="eastAsia"/>
          <w:lang w:val="en-GB"/>
        </w:rPr>
        <w:t xml:space="preserve">4.5 </w:t>
      </w:r>
      <w:r>
        <w:rPr>
          <w:rFonts w:hint="eastAsia"/>
        </w:rPr>
        <w:t>求解计算</w:t>
      </w:r>
      <w:r>
        <w:tab/>
      </w:r>
      <w:r>
        <w:fldChar w:fldCharType="begin"/>
      </w:r>
      <w:r>
        <w:instrText xml:space="preserve"> PAGEREF _Toc26188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_Toc11120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_Toc11120 \h </w:instrText>
      </w:r>
      <w:r>
        <w:fldChar w:fldCharType="separate"/>
      </w:r>
      <w:r>
        <w:t>14</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_Toc1529 </w:instrText>
      </w:r>
      <w:r>
        <w:fldChar w:fldCharType="separate"/>
      </w:r>
      <w:r>
        <w:rPr>
          <w:rFonts w:hint="eastAsia"/>
        </w:rPr>
        <w:t>5 结果</w:t>
      </w:r>
      <w:r>
        <w:t>分析</w:t>
      </w:r>
      <w:r>
        <w:tab/>
      </w:r>
      <w:r>
        <w:fldChar w:fldCharType="begin"/>
      </w:r>
      <w:r>
        <w:instrText xml:space="preserve"> PAGEREF _Toc1529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_Toc22365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_Toc22365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_Toc11878 </w:instrText>
      </w:r>
      <w:r>
        <w:fldChar w:fldCharType="separate"/>
      </w:r>
      <w:r>
        <w:rPr>
          <w:rFonts w:hint="eastAsia"/>
          <w:lang w:val="en-GB"/>
        </w:rPr>
        <w:t xml:space="preserve">5.2 </w:t>
      </w:r>
      <w:r>
        <w:rPr>
          <w:rFonts w:hint="eastAsia"/>
        </w:rPr>
        <w:t>冬季工况</w:t>
      </w:r>
      <w:r>
        <w:tab/>
      </w:r>
      <w:r>
        <w:fldChar w:fldCharType="begin"/>
      </w:r>
      <w:r>
        <w:instrText xml:space="preserve"> PAGEREF _Toc11878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_Toc11422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_Toc11422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_Toc14637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_Toc14637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_Toc2631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_Toc2631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_Toc19799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_Toc19799 \h </w:instrText>
      </w:r>
      <w:r>
        <w:fldChar w:fldCharType="separate"/>
      </w:r>
      <w:r>
        <w:t>17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_Toc20740 </w:instrText>
      </w:r>
      <w:r>
        <w:fldChar w:fldCharType="separate"/>
      </w:r>
      <w:r>
        <w:rPr>
          <w:rFonts w:hint="eastAsia"/>
          <w:lang w:val="en-GB"/>
        </w:rPr>
        <w:t xml:space="preserve">5.3 </w:t>
      </w:r>
      <w:r>
        <w:rPr>
          <w:rFonts w:hint="eastAsia"/>
        </w:rPr>
        <w:t>夏季工况</w:t>
      </w:r>
      <w:r>
        <w:tab/>
      </w:r>
      <w:r>
        <w:fldChar w:fldCharType="begin"/>
      </w:r>
      <w:r>
        <w:instrText xml:space="preserve"> PAGEREF _Toc20740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_Toc20368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_Toc20368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_Toc9886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_Toc9886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_Toc6931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_Toc6931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_Toc15305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_Toc15305 \h </w:instrText>
      </w:r>
      <w:r>
        <w:fldChar w:fldCharType="separate"/>
      </w:r>
      <w:r>
        <w:t>21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_Toc24215 </w:instrText>
      </w:r>
      <w:r>
        <w:fldChar w:fldCharType="separate"/>
      </w:r>
      <w:r>
        <w:rPr>
          <w:rFonts w:hint="eastAsia"/>
          <w:lang w:val="en-GB"/>
        </w:rPr>
        <w:t xml:space="preserve">5.4 </w:t>
      </w:r>
      <w:r>
        <w:rPr>
          <w:rFonts w:hint="eastAsia"/>
        </w:rPr>
        <w:t>过渡季工况</w:t>
      </w:r>
      <w:r>
        <w:tab/>
      </w:r>
      <w:r>
        <w:fldChar w:fldCharType="begin"/>
      </w:r>
      <w:r>
        <w:instrText xml:space="preserve"> PAGEREF _Toc24215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_Toc10707 </w:instrText>
      </w:r>
      <w:r>
        <w:fldChar w:fldCharType="separate"/>
      </w:r>
      <w:r>
        <w:rPr>
          <w:rFonts w:hint="eastAsia" w:eastAsia="宋体"/>
          <w:szCs w:val="24"/>
          <w:lang w:val="en-GB"/>
        </w:rPr>
        <w:t xml:space="preserve">5.4.1 </w:t>
      </w:r>
      <w:r>
        <w:rPr>
          <w:rFonts w:hint="eastAsia"/>
        </w:rPr>
        <w:t>无风区计算分析</w:t>
      </w:r>
      <w:r>
        <w:tab/>
      </w:r>
      <w:r>
        <w:fldChar w:fldCharType="begin"/>
      </w:r>
      <w:r>
        <w:instrText xml:space="preserve"> PAGEREF _Toc10707 \h </w:instrText>
      </w:r>
      <w:r>
        <w:fldChar w:fldCharType="separate"/>
      </w:r>
      <w:r>
        <w:t>22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_Toc9690 </w:instrText>
      </w:r>
      <w:r>
        <w:fldChar w:fldCharType="separate"/>
      </w:r>
      <w:r>
        <w:rPr>
          <w:rFonts w:hint="eastAsia" w:eastAsia="宋体"/>
          <w:szCs w:val="24"/>
          <w:lang w:val="en-GB"/>
        </w:rPr>
        <w:t xml:space="preserve">5.4.2 </w:t>
      </w:r>
      <w:r>
        <w:rPr>
          <w:rFonts w:hint="eastAsia"/>
        </w:rPr>
        <w:t>旋涡区分析</w:t>
      </w:r>
      <w:r>
        <w:tab/>
      </w:r>
      <w:r>
        <w:fldChar w:fldCharType="begin"/>
      </w:r>
      <w:r>
        <w:instrText xml:space="preserve"> PAGEREF _Toc9690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_Toc28286 </w:instrText>
      </w:r>
      <w:r>
        <w:fldChar w:fldCharType="separate"/>
      </w:r>
      <w:r>
        <w:rPr>
          <w:rFonts w:hint="eastAsia" w:eastAsia="宋体"/>
          <w:szCs w:val="24"/>
          <w:lang w:val="en-GB"/>
        </w:rPr>
        <w:t xml:space="preserve">5.4.3 </w:t>
      </w:r>
      <w:r>
        <w:rPr>
          <w:rFonts w:hint="eastAsia"/>
        </w:rPr>
        <w:t>旋涡区/无风区达标结果汇总</w:t>
      </w:r>
      <w:r>
        <w:tab/>
      </w:r>
      <w:r>
        <w:fldChar w:fldCharType="begin"/>
      </w:r>
      <w:r>
        <w:instrText xml:space="preserve"> PAGEREF _Toc28286 \h </w:instrText>
      </w:r>
      <w:r>
        <w:fldChar w:fldCharType="separate"/>
      </w:r>
      <w:r>
        <w:t>23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_Toc7318 </w:instrText>
      </w:r>
      <w:r>
        <w:fldChar w:fldCharType="separate"/>
      </w:r>
      <w:r>
        <w:rPr>
          <w:rFonts w:hint="eastAsia" w:eastAsia="宋体"/>
          <w:szCs w:val="24"/>
          <w:lang w:val="en-GB"/>
        </w:rPr>
        <w:t xml:space="preserve">5.4.4 </w:t>
      </w:r>
      <w:r>
        <w:rPr>
          <w:rFonts w:hint="eastAsia"/>
        </w:rPr>
        <w:t>外窗内外表面风压差达标分析</w:t>
      </w:r>
      <w:r>
        <w:tab/>
      </w:r>
      <w:r>
        <w:fldChar w:fldCharType="begin"/>
      </w:r>
      <w:r>
        <w:instrText xml:space="preserve"> PAGEREF _Toc7318 \h </w:instrText>
      </w:r>
      <w:r>
        <w:fldChar w:fldCharType="separate"/>
      </w:r>
      <w:r>
        <w:t>23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_Toc32694 </w:instrText>
      </w:r>
      <w:r>
        <w:fldChar w:fldCharType="separate"/>
      </w:r>
      <w:r>
        <w:rPr>
          <w:rFonts w:hint="eastAsia"/>
          <w:lang w:val="en-GB"/>
        </w:rPr>
        <w:t xml:space="preserve">5.5 </w:t>
      </w:r>
      <w:r>
        <w:rPr>
          <w:rFonts w:hint="eastAsia"/>
        </w:rPr>
        <w:t>结论</w:t>
      </w:r>
      <w:r>
        <w:tab/>
      </w:r>
      <w:r>
        <w:fldChar w:fldCharType="begin"/>
      </w:r>
      <w:r>
        <w:instrText xml:space="preserve"> PAGEREF _Toc32694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_Toc15821 </w:instrText>
      </w:r>
      <w:r>
        <w:fldChar w:fldCharType="separate"/>
      </w:r>
      <w:r>
        <w:rPr>
          <w:rFonts w:hint="eastAsia" w:eastAsia="宋体"/>
          <w:szCs w:val="24"/>
          <w:lang w:val="en-GB"/>
        </w:rPr>
        <w:t xml:space="preserve">5.5.1 </w:t>
      </w:r>
      <w:r>
        <w:rPr>
          <w:rFonts w:hint="eastAsia"/>
        </w:rPr>
        <w:t>冬季工况达标判断</w:t>
      </w:r>
      <w:r>
        <w:tab/>
      </w:r>
      <w:r>
        <w:fldChar w:fldCharType="begin"/>
      </w:r>
      <w:r>
        <w:instrText xml:space="preserve"> PAGEREF _Toc15821 \h </w:instrText>
      </w:r>
      <w:r>
        <w:fldChar w:fldCharType="separate"/>
      </w:r>
      <w:r>
        <w:t>25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_Toc32273 </w:instrText>
      </w:r>
      <w:r>
        <w:fldChar w:fldCharType="separate"/>
      </w:r>
      <w:r>
        <w:rPr>
          <w:rFonts w:hint="eastAsia" w:eastAsia="宋体"/>
          <w:szCs w:val="24"/>
          <w:lang w:val="en-GB"/>
        </w:rPr>
        <w:t xml:space="preserve">5.5.2 </w:t>
      </w:r>
      <w:r>
        <w:rPr>
          <w:rFonts w:hint="eastAsia"/>
        </w:rPr>
        <w:t>过渡季、夏季工况达标判断</w:t>
      </w:r>
      <w:r>
        <w:tab/>
      </w:r>
      <w:r>
        <w:fldChar w:fldCharType="begin"/>
      </w:r>
      <w:r>
        <w:instrText xml:space="preserve"> PAGEREF _Toc32273 \h </w:instrText>
      </w:r>
      <w:r>
        <w:fldChar w:fldCharType="separate"/>
      </w:r>
      <w:r>
        <w:t>25</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31440"/>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418"/>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4"/>
    </w:tbl>
    <w:p>
      <w:pPr>
        <w:pStyle w:val="3"/>
        <w:ind w:firstLine="0" w:firstLineChars="0"/>
        <w:jc w:val="center"/>
        <w:rPr>
          <w:lang w:val="en-US"/>
        </w:rPr>
      </w:pPr>
      <w:r>
        <w:rPr>
          <w:rFonts w:hint="eastAsia"/>
          <w:lang w:val="en-US"/>
        </w:rPr>
        <w:t xml:space="preserve"> </w:t>
      </w:r>
      <w:bookmarkStart w:id="15" w:name="总平面图"/>
      <w:r>
        <w:drawing>
          <wp:inline distT="0" distB="0" distL="0" distR="0">
            <wp:extent cx="5667375" cy="31337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8985"/>
      <w:bookmarkStart w:id="17" w:name="_Toc452108761"/>
      <w:r>
        <w:rPr>
          <w:rFonts w:hint="eastAsia"/>
        </w:rPr>
        <w:t>三</w:t>
      </w:r>
      <w:r>
        <w:t>维视图</w:t>
      </w:r>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r>
        <w:drawing>
          <wp:inline distT="0" distB="0" distL="0" distR="0">
            <wp:extent cx="5667375" cy="31337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1337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_Toc19039"/>
      <w:bookmarkStart w:id="21" w:name="TitleFormat"/>
      <w:bookmarkStart w:id="22" w:name="_Toc452108762"/>
      <w:r>
        <w:rPr>
          <w:rFonts w:hint="eastAsia"/>
        </w:rPr>
        <w:t>计算</w:t>
      </w:r>
      <w:r>
        <w:t>依据</w:t>
      </w:r>
      <w:bookmarkEnd w:id="20"/>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26942"/>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26492"/>
      <w:r>
        <w:rPr>
          <w:rFonts w:hint="eastAsia"/>
        </w:rPr>
        <w:t>计算原理</w:t>
      </w:r>
      <w:bookmarkEnd w:id="34"/>
    </w:p>
    <w:p>
      <w:pPr>
        <w:pStyle w:val="4"/>
        <w:numPr>
          <w:ilvl w:val="1"/>
          <w:numId w:val="3"/>
        </w:numPr>
      </w:pPr>
      <w:bookmarkStart w:id="35" w:name="_Toc509844740"/>
      <w:bookmarkStart w:id="36" w:name="_Toc20830"/>
      <w:bookmarkStart w:id="37" w:name="_Toc451698937"/>
      <w:bookmarkStart w:id="38" w:name="_Toc452108765"/>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18000"/>
      <w:bookmarkStart w:id="40" w:name="季节1"/>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419</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406</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109</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28098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28259"/>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28098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5"/>
        <w:numPr>
          <w:ilvl w:val="2"/>
          <w:numId w:val="3"/>
        </w:numPr>
      </w:pPr>
      <w:bookmarkStart w:id="48" w:name="_Toc17762"/>
      <w:r>
        <w:rPr>
          <w:rFonts w:hint="eastAsia"/>
        </w:rPr>
        <w:t>过渡季工况风场计算域</w:t>
      </w:r>
      <w:bookmarkEnd w:id="4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109</w:t>
            </w:r>
          </w:p>
        </w:tc>
      </w:tr>
    </w:tbl>
    <w:p>
      <w:pPr>
        <w:pStyle w:val="3"/>
        <w:ind w:firstLine="0" w:firstLineChars="0"/>
        <w:jc w:val="center"/>
        <w:rPr>
          <w:lang w:val="en-US"/>
        </w:rPr>
      </w:pPr>
      <w:r>
        <w:drawing>
          <wp:inline distT="0" distB="0" distL="0" distR="0">
            <wp:extent cx="5667375" cy="28098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3"/>
                    <a:stretch>
                      <a:fillRect/>
                    </a:stretch>
                  </pic:blipFill>
                  <pic:spPr>
                    <a:xfrm>
                      <a:off x="0" y="0"/>
                      <a:ext cx="5667375" cy="2809875"/>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3</w:t>
      </w:r>
      <w:r>
        <w:rPr>
          <w:rFonts w:ascii="黑体" w:hAnsi="黑体"/>
        </w:rPr>
        <w:fldChar w:fldCharType="end"/>
      </w:r>
      <w:r>
        <w:rPr>
          <w:rFonts w:hint="eastAsia" w:ascii="黑体" w:hAnsi="黑体"/>
        </w:rPr>
        <w:t xml:space="preserve">  过渡季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509844741"/>
      <w:bookmarkStart w:id="51" w:name="_Toc26352"/>
      <w:r>
        <w:rPr>
          <w:rFonts w:hint="eastAsia"/>
        </w:rPr>
        <w:t>网格划分</w:t>
      </w:r>
      <w:bookmarkEnd w:id="50"/>
      <w:bookmarkEnd w:id="51"/>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6"/>
      <w:bookmarkStart w:id="53" w:name="OLE_LINK277"/>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5" w:name="冬季网格总数"/>
            <w:r>
              <w:t>347193</w:t>
            </w:r>
            <w:bookmarkEnd w:id="55"/>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分弧精度"/>
            <w:r>
              <w:t>0.24</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初始网格"/>
            <w:r>
              <w:t>8.0</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小细分级数"/>
            <w:r>
              <w:t>1</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大细分级数"/>
            <w:r>
              <w:t>2</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远场细分级数"/>
            <w:r>
              <w:t>1</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近场细分级数"/>
            <w:r>
              <w:t>2</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地面附面层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建筑附面层数"/>
            <w:r>
              <w:t>0</w:t>
            </w:r>
            <w:bookmarkEnd w:id="63"/>
          </w:p>
        </w:tc>
      </w:tr>
    </w:tbl>
    <w:p>
      <w:pPr>
        <w:rPr>
          <w:szCs w:val="21"/>
          <w:lang w:val="en-US"/>
        </w:rPr>
      </w:pPr>
    </w:p>
    <w:p>
      <w:pPr>
        <w:jc w:val="center"/>
      </w:pPr>
      <w:bookmarkStart w:id="64" w:name="网格图"/>
      <w:bookmarkEnd w:id="64"/>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4"/>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5" w:name="季节"/>
      <w:r>
        <w:rPr>
          <w:rFonts w:hint="eastAsia" w:ascii="黑体" w:hAnsi="黑体" w:eastAsia="黑体"/>
          <w:sz w:val="20"/>
          <w:szCs w:val="20"/>
        </w:rPr>
        <w:t>冬季</w:t>
      </w:r>
      <w:bookmarkEnd w:id="65"/>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331262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028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5"/>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331262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4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drawing>
          <wp:inline distT="0" distB="0" distL="0" distR="0">
            <wp:extent cx="5667375" cy="30289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6"/>
                    <a:stretch>
                      <a:fillRect/>
                    </a:stretch>
                  </pic:blipFill>
                  <pic:spPr>
                    <a:xfrm>
                      <a:off x="0" y="0"/>
                      <a:ext cx="5667375" cy="30289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网格图-过渡季</w:t>
      </w:r>
    </w:p>
    <w:p>
      <w:pPr>
        <w:pStyle w:val="3"/>
        <w:ind w:firstLine="630" w:firstLineChars="300"/>
        <w:rPr>
          <w:rFonts w:ascii="黑体" w:hAnsi="黑体" w:eastAsia="黑体"/>
          <w:szCs w:val="20"/>
          <w:lang w:val="en-US"/>
        </w:rPr>
      </w:pPr>
      <w:bookmarkStart w:id="66" w:name="网格划分信息"/>
      <w:bookmarkEnd w:id="66"/>
      <w:r>
        <w:rPr>
          <w:rFonts w:hint="eastAsia" w:ascii="黑体" w:hAnsi="黑体" w:eastAsia="黑体"/>
          <w:szCs w:val="20"/>
          <w:lang w:val="en-US"/>
        </w:rPr>
        <w:t>注：前述计算域随风向不同，所以相同的网格方案会产生不同的网格数量。</w:t>
      </w:r>
    </w:p>
    <w:bookmarkEnd w:id="49"/>
    <w:p>
      <w:pPr>
        <w:pStyle w:val="3"/>
        <w:ind w:firstLine="0" w:firstLineChars="0"/>
        <w:rPr>
          <w:rFonts w:ascii="黑体" w:hAnsi="黑体" w:eastAsia="黑体"/>
          <w:szCs w:val="20"/>
          <w:lang w:val="en-US"/>
        </w:rPr>
      </w:pPr>
    </w:p>
    <w:p>
      <w:pPr>
        <w:pStyle w:val="4"/>
        <w:numPr>
          <w:ilvl w:val="1"/>
          <w:numId w:val="3"/>
        </w:numPr>
      </w:pPr>
      <w:bookmarkStart w:id="67" w:name="_Toc509844742"/>
      <w:bookmarkStart w:id="68" w:name="_Toc4630"/>
      <w:r>
        <w:rPr>
          <w:rFonts w:hint="eastAsia"/>
        </w:rPr>
        <w:t>边界条件</w:t>
      </w:r>
      <w:bookmarkEnd w:id="67"/>
      <w:bookmarkEnd w:id="68"/>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9" w:name="_Toc509844743"/>
      <w:bookmarkStart w:id="70" w:name="_Toc5855"/>
      <w:r>
        <w:rPr>
          <w:rFonts w:hint="eastAsia"/>
        </w:rPr>
        <w:t>入口与出口边界条件</w:t>
      </w:r>
      <w:bookmarkEnd w:id="69"/>
      <w:bookmarkEnd w:id="70"/>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1" w:name="地面粗糙度指数2"/>
      <w:r>
        <w:rPr>
          <w:rFonts w:hint="eastAsia"/>
          <w:lang w:val="en-US"/>
        </w:rPr>
        <w:t>0.14</w:t>
      </w:r>
      <w:bookmarkEnd w:id="71"/>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2" w:name="_Toc509844744"/>
      <w:bookmarkStart w:id="73" w:name="_Toc5315"/>
      <w:r>
        <w:rPr>
          <w:rFonts w:hint="eastAsia"/>
        </w:rPr>
        <w:t>壁面边界条件</w:t>
      </w:r>
      <w:bookmarkEnd w:id="72"/>
      <w:bookmarkEnd w:id="73"/>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4" w:name="_Toc22922"/>
      <w:r>
        <w:rPr>
          <w:rFonts w:hint="eastAsia"/>
        </w:rPr>
        <w:t>湍流模型</w:t>
      </w:r>
      <w:bookmarkEnd w:id="37"/>
      <w:bookmarkEnd w:id="38"/>
      <w:bookmarkEnd w:id="74"/>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5" w:name="_Toc452108767"/>
      <w:bookmarkStart w:id="76" w:name="_Toc451698939"/>
      <w:bookmarkStart w:id="77" w:name="_Toc26188"/>
      <w:r>
        <w:rPr>
          <w:rFonts w:hint="eastAsia"/>
        </w:rPr>
        <w:t>求解计算</w:t>
      </w:r>
      <w:bookmarkEnd w:id="75"/>
      <w:bookmarkEnd w:id="76"/>
      <w:bookmarkEnd w:id="77"/>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8"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8"/>
      <w:r>
        <w:rPr>
          <w:rFonts w:hint="eastAsia" w:ascii="黑体" w:hAnsi="黑体" w:eastAsia="黑体"/>
          <w:sz w:val="20"/>
          <w:szCs w:val="20"/>
        </w:rPr>
        <w:t xml:space="preserve"> </w:t>
      </w:r>
      <w:bookmarkStart w:id="79" w:name="_Ref225175618"/>
      <w:r>
        <w:rPr>
          <w:rFonts w:hint="eastAsia" w:ascii="黑体" w:hAnsi="黑体" w:eastAsia="黑体"/>
          <w:sz w:val="20"/>
          <w:szCs w:val="20"/>
        </w:rPr>
        <w:t>计算流体力学的控制方程</w:t>
      </w:r>
      <w:bookmarkEnd w:id="79"/>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80" w:name="_Toc509844747"/>
      <w:bookmarkStart w:id="81" w:name="_Toc11120"/>
      <w:r>
        <w:rPr>
          <w:rFonts w:hint="eastAsia"/>
        </w:rPr>
        <w:t>风速放大系数计算</w:t>
      </w:r>
      <w:bookmarkEnd w:id="80"/>
      <w:bookmarkEnd w:id="81"/>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5" o:title=""/>
            <o:lock v:ext="edit" aspectratio="t"/>
            <w10:wrap type="none"/>
            <w10:anchorlock/>
          </v:shape>
          <o:OLEObject Type="Embed" ProgID="Equation.3" ShapeID="_x0000_i1028" DrawAspect="Content" ObjectID="_1468075728" r:id="rId64">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7" o:title=""/>
            <o:lock v:ext="edit" aspectratio="t"/>
            <w10:wrap type="none"/>
            <w10:anchorlock/>
          </v:shape>
          <o:OLEObject Type="Embed" ProgID="Equation.3" ShapeID="_x0000_i1029" DrawAspect="Content" ObjectID="_1468075729" r:id="rId66">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9" o:title=""/>
            <o:lock v:ext="edit" aspectratio="t"/>
            <w10:wrap type="none"/>
            <w10:anchorlock/>
          </v:shape>
          <o:OLEObject Type="Embed" ProgID="Equation.3" ShapeID="_x0000_i1030" DrawAspect="Content" ObjectID="_1468075730" r:id="rId68">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1" o:title=""/>
            <o:lock v:ext="edit" aspectratio="t"/>
            <w10:wrap type="none"/>
            <w10:anchorlock/>
          </v:shape>
          <o:OLEObject Type="Embed" ProgID="Equation.3" ShapeID="_x0000_i1031" DrawAspect="Content" ObjectID="_1468075731" r:id="rId70">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2" w:name="地面粗糙度指数"/>
      <w:r>
        <w:rPr>
          <w:rFonts w:hint="eastAsia"/>
          <w:lang w:val="en-US"/>
        </w:rPr>
        <w:t>0.14</w:t>
      </w:r>
      <w:bookmarkEnd w:id="82"/>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3" w:name="_Toc452108768"/>
      <w:bookmarkStart w:id="84" w:name="_Toc1529"/>
      <w:r>
        <w:rPr>
          <w:rFonts w:hint="eastAsia"/>
        </w:rPr>
        <w:t>结果</w:t>
      </w:r>
      <w:r>
        <w:t>分析</w:t>
      </w:r>
      <w:bookmarkEnd w:id="83"/>
      <w:bookmarkEnd w:id="84"/>
    </w:p>
    <w:p>
      <w:pPr>
        <w:pStyle w:val="4"/>
        <w:rPr>
          <w:szCs w:val="21"/>
        </w:rPr>
      </w:pPr>
      <w:bookmarkStart w:id="85" w:name="_Toc22365"/>
      <w:r>
        <w:rPr>
          <w:rFonts w:hint="eastAsia"/>
          <w:szCs w:val="21"/>
        </w:rPr>
        <w:t>工况</w:t>
      </w:r>
      <w:r>
        <w:rPr>
          <w:szCs w:val="21"/>
        </w:rPr>
        <w:t>表</w:t>
      </w:r>
      <w:bookmarkEnd w:id="85"/>
      <w:bookmarkStart w:id="183" w:name="_GoBack"/>
      <w:bookmarkEnd w:id="183"/>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6"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3.50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135.0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SSE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292.5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2.80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292.5</w:t>
            </w:r>
          </w:p>
        </w:tc>
      </w:tr>
      <w:bookmarkEnd w:id="86"/>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2"/>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7" w:name="_Toc509844750"/>
      <w:bookmarkStart w:id="88" w:name="_Toc11878"/>
      <w:r>
        <w:rPr>
          <w:rFonts w:hint="eastAsia"/>
        </w:rPr>
        <w:t>冬季工况</w:t>
      </w:r>
      <w:bookmarkEnd w:id="87"/>
      <w:bookmarkEnd w:id="88"/>
    </w:p>
    <w:p>
      <w:pPr>
        <w:ind w:firstLine="420" w:firstLineChars="200"/>
        <w:jc w:val="both"/>
      </w:pPr>
      <w:r>
        <w:rPr>
          <w:rFonts w:hint="eastAsia"/>
          <w:lang w:val="en-US"/>
        </w:rPr>
        <w:t>本项目冬季工况的入口边界风速为</w:t>
      </w:r>
      <w:bookmarkStart w:id="89" w:name="冬季入口边界风速"/>
      <w:r>
        <w:rPr>
          <w:rFonts w:hint="eastAsia" w:ascii="Calibri" w:hAnsi="Calibri"/>
          <w:szCs w:val="21"/>
        </w:rPr>
        <w:t>3.50</w:t>
      </w:r>
      <w:bookmarkEnd w:id="89"/>
      <w:r>
        <w:rPr>
          <w:rFonts w:ascii="Calibri" w:hAnsi="Calibri"/>
          <w:szCs w:val="21"/>
        </w:rPr>
        <w:t>m/s</w:t>
      </w:r>
      <w:r>
        <w:rPr>
          <w:rFonts w:hint="eastAsia" w:ascii="Calibri" w:hAnsi="Calibri"/>
          <w:szCs w:val="21"/>
        </w:rPr>
        <w:t>，风向为</w:t>
      </w:r>
      <w:bookmarkStart w:id="90" w:name="冬季入口边界风向"/>
      <w:r>
        <w:rPr>
          <w:szCs w:val="21"/>
        </w:rPr>
        <w:t>NW</w:t>
      </w:r>
      <w:bookmarkEnd w:id="90"/>
      <w:r>
        <w:rPr>
          <w:rFonts w:hint="eastAsia"/>
          <w:szCs w:val="21"/>
        </w:rPr>
        <w:t>。</w:t>
      </w:r>
    </w:p>
    <w:p>
      <w:pPr>
        <w:pStyle w:val="5"/>
      </w:pPr>
      <w:bookmarkStart w:id="91" w:name="_Toc509844751"/>
      <w:bookmarkStart w:id="92" w:name="_Toc11422"/>
      <w:r>
        <w:rPr>
          <w:rFonts w:hint="eastAsia"/>
        </w:rPr>
        <w:t>风速达标分析</w:t>
      </w:r>
      <w:bookmarkEnd w:id="91"/>
      <w:bookmarkEnd w:id="92"/>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93" w:name="冬季工况人行区风速分析结论"/>
      <w:bookmarkEnd w:id="93"/>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4" w:name="冬季工况人行区风速云图"/>
      <w:bookmarkEnd w:id="94"/>
      <w:r>
        <w:drawing>
          <wp:inline distT="0" distB="0" distL="0" distR="0">
            <wp:extent cx="5667375" cy="26574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3"/>
                    <a:stretch>
                      <a:fillRect/>
                    </a:stretch>
                  </pic:blipFill>
                  <pic:spPr>
                    <a:xfrm>
                      <a:off x="0" y="0"/>
                      <a:ext cx="5667375" cy="26574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95" w:name="_Toc509844752"/>
      <w:bookmarkStart w:id="96" w:name="_Toc14637"/>
      <w:r>
        <w:rPr>
          <w:rFonts w:hint="eastAsia"/>
        </w:rPr>
        <w:t>风速放大系数达标分析</w:t>
      </w:r>
      <w:bookmarkEnd w:id="95"/>
      <w:bookmarkEnd w:id="96"/>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7" w:name="冬季工况人行区风速放大系数分析结论"/>
      <w:bookmarkEnd w:id="97"/>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8" w:name="冬季工况人行区风速放大系数云图"/>
      <w:bookmarkEnd w:id="98"/>
      <w:r>
        <w:drawing>
          <wp:inline distT="0" distB="0" distL="0" distR="0">
            <wp:extent cx="5667375" cy="2628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4"/>
                    <a:stretch>
                      <a:fillRect/>
                    </a:stretch>
                  </pic:blipFill>
                  <pic:spPr>
                    <a:xfrm>
                      <a:off x="0" y="0"/>
                      <a:ext cx="5667375" cy="26289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9" w:name="_Toc509844754"/>
      <w:bookmarkEnd w:id="99"/>
      <w:bookmarkStart w:id="100" w:name="_Toc509844757"/>
      <w:bookmarkEnd w:id="100"/>
      <w:bookmarkStart w:id="101" w:name="_Toc509844756"/>
      <w:bookmarkEnd w:id="101"/>
      <w:bookmarkStart w:id="102" w:name="_Toc509844755"/>
      <w:bookmarkEnd w:id="102"/>
    </w:p>
    <w:p>
      <w:pPr>
        <w:pStyle w:val="3"/>
        <w:ind w:firstLine="420"/>
        <w:rPr>
          <w:lang w:val="en-US"/>
        </w:rPr>
      </w:pPr>
    </w:p>
    <w:p>
      <w:pPr>
        <w:pStyle w:val="5"/>
      </w:pPr>
      <w:bookmarkStart w:id="103" w:name="_Toc509844753"/>
      <w:bookmarkStart w:id="104" w:name="_Toc2631"/>
      <w:r>
        <w:rPr>
          <w:rFonts w:hint="eastAsia"/>
        </w:rPr>
        <w:t>冬季工况风速/风速放大系数达标</w:t>
      </w:r>
      <w:bookmarkEnd w:id="103"/>
      <w:r>
        <w:rPr>
          <w:rFonts w:hint="eastAsia"/>
        </w:rPr>
        <w:t>结果汇总</w:t>
      </w:r>
      <w:bookmarkEnd w:id="10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5" w:name="冬季工况风速是否有超限区域"/>
            <w:r>
              <w:rPr>
                <w:rFonts w:hint="eastAsia" w:ascii="宋体" w:hAnsi="宋体" w:cs="宋体"/>
                <w:color w:val="000000"/>
                <w:sz w:val="22"/>
                <w:szCs w:val="22"/>
                <w:lang w:val="en-US"/>
              </w:rPr>
              <w:t>否</w:t>
            </w:r>
            <w:bookmarkEnd w:id="105"/>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6" w:name="冬季工况风速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风速放大系数达标判断"/>
            <w:r>
              <w:rPr>
                <w:rFonts w:hint="eastAsia" w:ascii="宋体" w:hAnsi="宋体" w:cs="宋体"/>
                <w:color w:val="000000"/>
                <w:sz w:val="22"/>
                <w:szCs w:val="22"/>
                <w:lang w:val="en-US"/>
              </w:rPr>
              <w:t>是</w:t>
            </w:r>
            <w:bookmarkEnd w:id="108"/>
          </w:p>
        </w:tc>
      </w:tr>
    </w:tbl>
    <w:p/>
    <w:p>
      <w:pPr>
        <w:pStyle w:val="5"/>
      </w:pPr>
      <w:bookmarkStart w:id="109" w:name="_Toc19799"/>
      <w:r>
        <w:rPr>
          <w:rFonts w:hint="eastAsia"/>
        </w:rPr>
        <w:t>建筑迎风面和背风面风压分析</w:t>
      </w:r>
      <w:bookmarkEnd w:id="109"/>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
                    <pic:cNvPicPr>
                      <a:picLocks noChangeAspect="1" noChangeArrowheads="1"/>
                    </pic:cNvPicPr>
                  </pic:nvPicPr>
                  <pic:blipFill>
                    <a:blip r:embed="rId75">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0" w:name="冬季工况建筑迎风面风压云图"/>
      <w:bookmarkEnd w:id="110"/>
      <w:r>
        <w:drawing>
          <wp:inline distT="0" distB="0" distL="0" distR="0">
            <wp:extent cx="5667375" cy="27908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6"/>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1" w:name="冬季工况建筑背风面风压云图"/>
      <w:bookmarkEnd w:id="111"/>
      <w:r>
        <w:drawing>
          <wp:inline distT="0" distB="0" distL="0" distR="0">
            <wp:extent cx="5667375" cy="28194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7"/>
                    <a:stretch>
                      <a:fillRect/>
                    </a:stretch>
                  </pic:blipFill>
                  <pic:spPr>
                    <a:xfrm>
                      <a:off x="0" y="0"/>
                      <a:ext cx="5667375" cy="28194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2" w:name="建筑迎风面和背风面风压差计算结果"/>
      <w:r>
        <w:rPr>
          <w:rFonts w:hint="eastAsia"/>
        </w:rPr>
        <w:t>建筑迎风面和背风面风压差计算结果</w:t>
      </w:r>
    </w:p>
    <w:p>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Vent风环境模拟</w:t>
      </w:r>
      <w:bookmarkEnd w:id="114"/>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-0.78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-1.20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-0.11</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-1.00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0.89</w:t>
            </w:r>
          </w:p>
        </w:tc>
      </w:tr>
      <w:bookmarkEnd w:id="113"/>
    </w:tbl>
    <w:p>
      <w:bookmarkStart w:id="115" w:name="结论"/>
      <w:bookmarkEnd w:id="115"/>
      <w:r>
        <w:t>标准要求：迎背风面窗平均风压差（绝对值）≤5Pa。结论：该楼</w:t>
      </w:r>
      <w:r>
        <w:rPr>
          <w:b/>
          <w:color w:val="0000FF"/>
        </w:rPr>
        <w:t>达标</w:t>
      </w:r>
      <w:r>
        <w:t>。</w:t>
      </w:r>
    </w:p>
    <w:bookmarkEnd w:id="112"/>
    <w:p>
      <w:pPr>
        <w:jc w:val="center"/>
        <w:rPr>
          <w:rFonts w:ascii="Cambria" w:hAnsi="Cambria" w:eastAsia="黑体"/>
          <w:sz w:val="20"/>
        </w:rPr>
      </w:pPr>
      <w:bookmarkStart w:id="116" w:name="建筑迎背风面风压差表_新增"/>
      <w:bookmarkEnd w:id="116"/>
    </w:p>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Vent风环境模拟</w:t>
            </w:r>
          </w:p>
        </w:tc>
        <w:tc>
          <w:tcPr>
            <w:tcW w:w="1276" w:type="dxa"/>
            <w:shd w:val="clear" w:color="auto" w:fill="auto"/>
            <w:vAlign w:val="center"/>
          </w:tcPr>
          <w:p>
            <w:pPr>
              <w:jc w:val="center"/>
              <w:rPr>
                <w:lang w:val="en-US"/>
              </w:rPr>
            </w:pPr>
            <w:r>
              <w:rPr>
                <w:lang w:val="en-US"/>
              </w:rPr>
              <w:t>-0.11</w:t>
            </w:r>
          </w:p>
        </w:tc>
        <w:tc>
          <w:tcPr>
            <w:tcW w:w="1276" w:type="dxa"/>
            <w:shd w:val="clear" w:color="auto" w:fill="auto"/>
            <w:vAlign w:val="center"/>
          </w:tcPr>
          <w:p>
            <w:pPr>
              <w:jc w:val="center"/>
              <w:rPr>
                <w:lang w:val="en-US"/>
              </w:rPr>
            </w:pPr>
            <w:r>
              <w:rPr>
                <w:lang w:val="en-US"/>
              </w:rPr>
              <w:t>-1.00</w:t>
            </w:r>
          </w:p>
        </w:tc>
        <w:tc>
          <w:tcPr>
            <w:tcW w:w="1701" w:type="dxa"/>
            <w:shd w:val="clear" w:color="auto" w:fill="auto"/>
            <w:vAlign w:val="center"/>
          </w:tcPr>
          <w:p>
            <w:pPr>
              <w:jc w:val="center"/>
              <w:rPr>
                <w:lang w:val="en-US"/>
              </w:rPr>
            </w:pPr>
            <w:r>
              <w:rPr>
                <w:lang w:val="en-US"/>
              </w:rPr>
              <w:t>0.89</w:t>
            </w:r>
          </w:p>
        </w:tc>
        <w:tc>
          <w:tcPr>
            <w:tcW w:w="973" w:type="dxa"/>
            <w:shd w:val="clear" w:color="auto" w:fill="auto"/>
            <w:vAlign w:val="center"/>
          </w:tcPr>
          <w:p>
            <w:pPr>
              <w:jc w:val="center"/>
              <w:rPr>
                <w:lang w:val="en-US"/>
              </w:rPr>
            </w:pPr>
            <w:r>
              <w:rPr>
                <w:lang w:val="en-US"/>
              </w:rPr>
              <w:t>是</w:t>
            </w:r>
          </w:p>
        </w:tc>
      </w:tr>
      <w:bookmarkEnd w:id="117"/>
    </w:tbl>
    <w:p>
      <w:pPr>
        <w:rPr>
          <w:lang w:val="en-US"/>
        </w:rPr>
      </w:pPr>
      <w:bookmarkStart w:id="118" w:name="建筑迎风和背风面风压差结论汇总结论"/>
      <w:bookmarkEnd w:id="118"/>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19" w:name="冬季工况"/>
      <w:bookmarkEnd w:id="119"/>
      <w:r>
        <w:rPr>
          <w:rFonts w:hint="eastAsia"/>
          <w:lang w:val="en-US"/>
        </w:rPr>
        <w:t xml:space="preserve"> </w:t>
      </w:r>
    </w:p>
    <w:p>
      <w:pPr>
        <w:pStyle w:val="4"/>
      </w:pPr>
      <w:bookmarkStart w:id="120" w:name="_Toc509844759"/>
      <w:bookmarkStart w:id="121" w:name="_Toc20740"/>
      <w:r>
        <w:rPr>
          <w:rFonts w:hint="eastAsia"/>
        </w:rPr>
        <w:t>夏季工况</w:t>
      </w:r>
      <w:bookmarkEnd w:id="120"/>
      <w:bookmarkEnd w:id="121"/>
    </w:p>
    <w:p>
      <w:pPr>
        <w:pStyle w:val="3"/>
        <w:ind w:firstLine="420"/>
      </w:pPr>
      <w:r>
        <w:rPr>
          <w:rFonts w:hint="eastAsia"/>
          <w:lang w:val="en-US"/>
        </w:rPr>
        <w:t>本项目夏季工况的入口边界风速为</w:t>
      </w:r>
      <w:bookmarkStart w:id="122" w:name="入口边界风速"/>
      <w:r>
        <w:rPr>
          <w:rFonts w:hint="eastAsia"/>
          <w:lang w:val="en-US"/>
        </w:rPr>
        <w:t>2.60</w:t>
      </w:r>
      <w:bookmarkEnd w:id="122"/>
      <w:r>
        <w:rPr>
          <w:rFonts w:hint="eastAsia"/>
          <w:lang w:val="en-US"/>
        </w:rPr>
        <w:t>m/s，风向为</w:t>
      </w:r>
      <w:bookmarkStart w:id="123" w:name="入口边界风向"/>
      <w:r>
        <w:t>SSE</w:t>
      </w:r>
      <w:bookmarkEnd w:id="123"/>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26" w:name="_Toc509844760"/>
      <w:bookmarkStart w:id="127" w:name="_Toc20368"/>
      <w:r>
        <w:rPr>
          <w:rFonts w:hint="eastAsia"/>
        </w:rPr>
        <w:t>无风区计算分析</w:t>
      </w:r>
      <w:bookmarkEnd w:id="126"/>
      <w:bookmarkEnd w:id="127"/>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128" w:name="人活动区风速分析结论"/>
      <w:bookmarkEnd w:id="128"/>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129" w:name="人行区风速云图"/>
      <w:bookmarkEnd w:id="129"/>
      <w:r>
        <w:drawing>
          <wp:inline distT="0" distB="0" distL="0" distR="0">
            <wp:extent cx="5667375" cy="2657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8"/>
                    <a:stretch>
                      <a:fillRect/>
                    </a:stretch>
                  </pic:blipFill>
                  <pic:spPr>
                    <a:xfrm>
                      <a:off x="0" y="0"/>
                      <a:ext cx="5667375" cy="26574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130" w:name="_Toc509844761"/>
      <w:bookmarkStart w:id="131" w:name="_Toc9886"/>
      <w:r>
        <w:rPr>
          <w:rFonts w:hint="eastAsia"/>
        </w:rPr>
        <w:t>旋涡区分析</w:t>
      </w:r>
      <w:bookmarkEnd w:id="130"/>
      <w:bookmarkEnd w:id="131"/>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32" w:name="人行区风速矢量图"/>
      <w:bookmarkEnd w:id="132"/>
      <w:r>
        <w:drawing>
          <wp:inline distT="0" distB="0" distL="0" distR="0">
            <wp:extent cx="5667375" cy="28670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9"/>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33" w:name="_Toc509844762"/>
      <w:bookmarkStart w:id="134" w:name="_Toc6931"/>
      <w:r>
        <w:rPr>
          <w:rFonts w:hint="eastAsia"/>
        </w:rPr>
        <w:t>旋涡区/无风区达标</w:t>
      </w:r>
      <w:bookmarkEnd w:id="133"/>
      <w:r>
        <w:rPr>
          <w:rFonts w:hint="eastAsia"/>
        </w:rPr>
        <w:t>结果汇总</w:t>
      </w:r>
      <w:bookmarkEnd w:id="13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5" w:name="季节8"/>
      <w:r>
        <w:rPr>
          <w:rFonts w:hint="eastAsia" w:ascii="黑体" w:hAnsi="黑体" w:eastAsia="黑体"/>
          <w:sz w:val="20"/>
          <w:szCs w:val="20"/>
        </w:rPr>
        <w:t>夏季</w:t>
      </w:r>
      <w:bookmarkEnd w:id="135"/>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6" w:name="是否有无风区"/>
            <w:r>
              <w:rPr>
                <w:rFonts w:hint="eastAsia" w:ascii="宋体" w:hAnsi="宋体" w:cs="宋体"/>
                <w:color w:val="000000"/>
                <w:sz w:val="22"/>
                <w:szCs w:val="22"/>
                <w:lang w:val="en-US"/>
              </w:rPr>
              <w:t>否</w:t>
            </w:r>
            <w:bookmarkEnd w:id="136"/>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7" w:name="无风区达标判断"/>
            <w:r>
              <w:rPr>
                <w:rFonts w:hint="eastAsia" w:ascii="宋体" w:hAnsi="宋体" w:cs="宋体"/>
                <w:color w:val="000000"/>
                <w:sz w:val="22"/>
                <w:szCs w:val="22"/>
                <w:lang w:val="en-US"/>
              </w:rPr>
              <w:t>是</w:t>
            </w:r>
            <w:bookmarkEnd w:id="137"/>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8" w:name="是否有旋涡区"/>
            <w:r>
              <w:rPr>
                <w:rFonts w:ascii="宋体" w:hAnsi="宋体" w:cs="宋体"/>
                <w:color w:val="000000"/>
                <w:sz w:val="22"/>
                <w:szCs w:val="22"/>
                <w:lang w:val="en-US"/>
              </w:rPr>
              <w:t>否</w:t>
            </w:r>
            <w:bookmarkEnd w:id="138"/>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9" w:name="旋涡区达标判断"/>
            <w:r>
              <w:rPr>
                <w:rFonts w:ascii="宋体" w:hAnsi="宋体" w:cs="宋体"/>
                <w:color w:val="000000"/>
                <w:sz w:val="22"/>
                <w:szCs w:val="22"/>
                <w:lang w:val="en-US"/>
              </w:rPr>
              <w:t>是</w:t>
            </w:r>
            <w:bookmarkEnd w:id="139"/>
          </w:p>
        </w:tc>
      </w:tr>
    </w:tbl>
    <w:p>
      <w:pPr>
        <w:pStyle w:val="5"/>
      </w:pPr>
      <w:bookmarkStart w:id="140" w:name="_Toc504501018"/>
      <w:bookmarkStart w:id="141" w:name="_Toc509844763"/>
      <w:bookmarkStart w:id="142" w:name="_Toc15305"/>
      <w:r>
        <w:rPr>
          <w:rFonts w:hint="eastAsia"/>
        </w:rPr>
        <w:t>外窗内外表面风压</w:t>
      </w:r>
      <w:bookmarkEnd w:id="140"/>
      <w:r>
        <w:rPr>
          <w:rFonts w:hint="eastAsia"/>
        </w:rPr>
        <w:t>差达标分析</w:t>
      </w:r>
      <w:bookmarkEnd w:id="141"/>
      <w:bookmarkEnd w:id="142"/>
    </w:p>
    <w:p>
      <w:pPr>
        <w:pStyle w:val="3"/>
        <w:ind w:firstLine="420"/>
      </w:pPr>
      <w:r>
        <w:rPr>
          <w:rFonts w:hint="eastAsia"/>
          <w:lang w:val="en-US"/>
        </w:rPr>
        <w:t>分析《绿色建筑评价标准》，</w:t>
      </w:r>
      <w:bookmarkStart w:id="143" w:name="季节9"/>
      <w:r>
        <w:rPr>
          <w:rFonts w:hint="eastAsia"/>
          <w:lang w:val="en-US"/>
        </w:rPr>
        <w:t>夏季</w:t>
      </w:r>
      <w:bookmarkEnd w:id="143"/>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4" w:name="迎风面风压云图"/>
      <w:bookmarkEnd w:id="144"/>
      <w:r>
        <w:drawing>
          <wp:inline distT="0" distB="0" distL="0" distR="0">
            <wp:extent cx="5667375" cy="27908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80"/>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5" w:name="季节10"/>
      <w:r>
        <w:rPr>
          <w:rFonts w:hint="eastAsia" w:ascii="黑体" w:hAnsi="黑体" w:eastAsia="黑体"/>
          <w:sz w:val="20"/>
          <w:szCs w:val="20"/>
        </w:rPr>
        <w:t>夏季</w:t>
      </w:r>
      <w:bookmarkEnd w:id="145"/>
    </w:p>
    <w:p>
      <w:pPr>
        <w:pStyle w:val="13"/>
        <w:jc w:val="center"/>
      </w:pPr>
      <w:bookmarkStart w:id="146" w:name="背风面风压云图"/>
      <w:bookmarkEnd w:id="146"/>
      <w:r>
        <w:drawing>
          <wp:inline distT="0" distB="0" distL="0" distR="0">
            <wp:extent cx="5667375" cy="28194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81"/>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7" w:name="季节11"/>
      <w:r>
        <w:rPr>
          <w:rFonts w:hint="eastAsia" w:ascii="黑体" w:hAnsi="黑体" w:eastAsia="黑体"/>
          <w:sz w:val="20"/>
          <w:szCs w:val="20"/>
        </w:rPr>
        <w:t>夏季</w:t>
      </w:r>
      <w:bookmarkEnd w:id="147"/>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48"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DT单体(Vent风环境模拟)</w:t>
            </w:r>
          </w:p>
        </w:tc>
        <w:tc>
          <w:tcPr>
            <w:tcW w:w="1134" w:type="dxa"/>
            <w:shd w:val="clear" w:color="auto" w:fill="auto"/>
            <w:vAlign w:val="center"/>
          </w:tcPr>
          <w:p>
            <w:pPr>
              <w:jc w:val="center"/>
              <w:rPr>
                <w:lang w:val="en-US"/>
              </w:rPr>
            </w:pPr>
            <w:r>
              <w:rPr>
                <w:lang w:val="en-US"/>
              </w:rPr>
              <w:t>78</w:t>
            </w:r>
          </w:p>
        </w:tc>
        <w:tc>
          <w:tcPr>
            <w:tcW w:w="1984" w:type="dxa"/>
            <w:shd w:val="clear" w:color="auto" w:fill="auto"/>
            <w:vAlign w:val="center"/>
          </w:tcPr>
          <w:p>
            <w:pPr>
              <w:jc w:val="center"/>
              <w:rPr>
                <w:lang w:val="en-US"/>
              </w:rPr>
            </w:pPr>
            <w:r>
              <w:rPr>
                <w:lang w:val="en-US"/>
              </w:rPr>
              <w:t>57</w:t>
            </w:r>
          </w:p>
        </w:tc>
        <w:tc>
          <w:tcPr>
            <w:tcW w:w="1116" w:type="dxa"/>
            <w:shd w:val="clear" w:color="auto" w:fill="auto"/>
            <w:vAlign w:val="center"/>
          </w:tcPr>
          <w:p>
            <w:pPr>
              <w:jc w:val="center"/>
              <w:rPr>
                <w:lang w:val="en-US"/>
              </w:rPr>
            </w:pPr>
            <w:r>
              <w:rPr>
                <w:lang w:val="en-US"/>
              </w:rPr>
              <w:t>73.08</w:t>
            </w:r>
          </w:p>
        </w:tc>
        <w:tc>
          <w:tcPr>
            <w:tcW w:w="708" w:type="dxa"/>
            <w:shd w:val="clear" w:color="auto" w:fill="auto"/>
            <w:vAlign w:val="center"/>
          </w:tcPr>
          <w:p>
            <w:pPr>
              <w:jc w:val="center"/>
              <w:rPr>
                <w:lang w:val="en-US"/>
              </w:rPr>
            </w:pPr>
            <w:r>
              <w:rPr>
                <w:lang w:val="en-US"/>
              </w:rPr>
              <w:t>是</w:t>
            </w:r>
          </w:p>
        </w:tc>
      </w:tr>
      <w:bookmarkEnd w:id="148"/>
    </w:tbl>
    <w:p>
      <w:r>
        <w:rPr>
          <w:rFonts w:hint="eastAsia"/>
          <w:lang w:val="en-US"/>
        </w:rPr>
        <w:t>说明：达标比例＝（室内外风压差大于0.5Pa的总数/可开启外窗总数）*100％</w:t>
      </w:r>
    </w:p>
    <w:p>
      <w:pPr>
        <w:rPr>
          <w:lang w:val="en-US"/>
        </w:rPr>
      </w:pPr>
    </w:p>
    <w:p/>
    <w:p>
      <w:pPr>
        <w:rPr>
          <w:lang w:val="en-US"/>
        </w:rPr>
      </w:pPr>
      <w:bookmarkStart w:id="149" w:name="建筑室内外风压差达标判定结论"/>
      <w:r>
        <w:rPr>
          <w:rFonts w:hint="eastAsia"/>
          <w:lang w:val="en-US"/>
        </w:rPr>
        <w:t>结论：本项目中所有建筑均满足“50%以上可开启外窗室内外表面的风压差大于0.5Pa”的要求。</w:t>
      </w:r>
      <w:bookmarkEnd w:id="149"/>
      <w:r>
        <w:rPr>
          <w:rFonts w:hint="eastAsia"/>
          <w:lang w:val="en-US"/>
        </w:rPr>
        <w:t xml:space="preserve"> </w:t>
      </w:r>
    </w:p>
    <w:p>
      <w:pPr>
        <w:pStyle w:val="4"/>
      </w:pPr>
      <w:bookmarkStart w:id="150" w:name="_Toc24215"/>
      <w:r>
        <w:rPr>
          <w:rFonts w:hint="eastAsia"/>
        </w:rPr>
        <w:t>过渡季工况</w:t>
      </w:r>
      <w:bookmarkEnd w:id="150"/>
    </w:p>
    <w:p>
      <w:pPr>
        <w:pStyle w:val="3"/>
        <w:ind w:firstLine="420"/>
      </w:pPr>
      <w:r>
        <w:rPr>
          <w:rFonts w:hint="eastAsia"/>
          <w:lang w:val="en-US"/>
        </w:rPr>
        <w:t>本项目过渡季</w:t>
      </w:r>
      <w:bookmarkEnd w:id="2"/>
      <w:r>
        <w:rPr>
          <w:rFonts w:hint="eastAsia"/>
          <w:lang w:val="en-US"/>
        </w:rPr>
        <w:t>工况的入口边界风速为2.80</w:t>
      </w:r>
      <w:bookmarkEnd w:id="3"/>
      <w:r>
        <w:rPr>
          <w:rFonts w:hint="eastAsia"/>
          <w:lang w:val="en-US"/>
        </w:rPr>
        <w:t>m/s，风向为</w:t>
      </w:r>
      <w:r>
        <w:t>SSE</w:t>
      </w:r>
      <w:bookmarkEnd w:id="4"/>
      <w:r>
        <w:rPr>
          <w:rFonts w:hint="eastAsia"/>
          <w:lang w:val="en-US"/>
        </w:rPr>
        <w:t>。</w:t>
      </w:r>
    </w:p>
    <w:p>
      <w:pPr>
        <w:pStyle w:val="3"/>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51" w:name="_Toc10707"/>
      <w:r>
        <w:rPr>
          <w:rFonts w:hint="eastAsia"/>
        </w:rPr>
        <w:t>无风区计算分析</w:t>
      </w:r>
      <w:bookmarkEnd w:id="8"/>
      <w:bookmarkEnd w:id="151"/>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r>
        <w:drawing>
          <wp:inline distT="0" distB="0" distL="0" distR="0">
            <wp:extent cx="5667375" cy="2657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82"/>
                    <a:stretch>
                      <a:fillRect/>
                    </a:stretch>
                  </pic:blipFill>
                  <pic:spPr>
                    <a:xfrm>
                      <a:off x="0" y="0"/>
                      <a:ext cx="5667375" cy="2657475"/>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pPr>
        <w:pStyle w:val="3"/>
        <w:ind w:firstLine="420"/>
      </w:pPr>
    </w:p>
    <w:p>
      <w:pPr>
        <w:pStyle w:val="5"/>
      </w:pPr>
      <w:bookmarkStart w:id="152" w:name="_Toc9690"/>
      <w:r>
        <w:rPr>
          <w:rFonts w:hint="eastAsia"/>
        </w:rPr>
        <w:t>旋涡区分析</w:t>
      </w:r>
      <w:bookmarkEnd w:id="10"/>
      <w:bookmarkEnd w:id="152"/>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drawing>
          <wp:inline distT="0" distB="0" distL="0" distR="0">
            <wp:extent cx="5667375" cy="28670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83"/>
                    <a:stretch>
                      <a:fillRect/>
                    </a:stretch>
                  </pic:blipFill>
                  <pic:spPr>
                    <a:xfrm>
                      <a:off x="0" y="0"/>
                      <a:ext cx="5667375" cy="286702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53" w:name="_Toc28286"/>
      <w:r>
        <w:rPr>
          <w:rFonts w:hint="eastAsia"/>
        </w:rPr>
        <w:t>旋涡区/无风区达标</w:t>
      </w:r>
      <w:bookmarkEnd w:id="13"/>
      <w:r>
        <w:rPr>
          <w:rFonts w:hint="eastAsia"/>
        </w:rPr>
        <w:t>结果汇总</w:t>
      </w:r>
      <w:bookmarkEnd w:id="15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过渡季</w:t>
      </w:r>
      <w:bookmarkEnd w:id="15"/>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hint="eastAsia" w:ascii="宋体" w:hAnsi="宋体" w:cs="宋体"/>
                <w:color w:val="000000"/>
                <w:sz w:val="22"/>
                <w:szCs w:val="22"/>
                <w:lang w:val="en-US"/>
              </w:rPr>
              <w:t>是</w:t>
            </w:r>
            <w:bookmarkEnd w:id="18"/>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bookmarkEnd w:id="1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bookmarkEnd w:id="21"/>
          </w:p>
        </w:tc>
      </w:tr>
    </w:tbl>
    <w:p>
      <w:pPr>
        <w:pStyle w:val="5"/>
      </w:pPr>
      <w:bookmarkStart w:id="154" w:name="_Toc7318"/>
      <w:r>
        <w:rPr>
          <w:rFonts w:hint="eastAsia"/>
        </w:rPr>
        <w:t>外窗内外表面风压</w:t>
      </w:r>
      <w:bookmarkEnd w:id="22"/>
      <w:r>
        <w:rPr>
          <w:rFonts w:hint="eastAsia"/>
        </w:rPr>
        <w:t>差达标分析</w:t>
      </w:r>
      <w:bookmarkEnd w:id="23"/>
      <w:bookmarkEnd w:id="154"/>
    </w:p>
    <w:p>
      <w:pPr>
        <w:pStyle w:val="3"/>
        <w:ind w:firstLine="420"/>
      </w:pPr>
      <w:r>
        <w:rPr>
          <w:rFonts w:hint="eastAsia"/>
          <w:lang w:val="en-US"/>
        </w:rPr>
        <w:t>分析《绿色建筑评价标准》，过渡季</w:t>
      </w:r>
      <w:bookmarkEnd w:id="25"/>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bookmarkEnd w:id="26"/>
    <w:p>
      <w:pPr>
        <w:pStyle w:val="3"/>
        <w:ind w:firstLine="0" w:firstLineChars="0"/>
        <w:jc w:val="center"/>
      </w:pPr>
      <w:r>
        <w:drawing>
          <wp:inline distT="0" distB="0" distL="0" distR="0">
            <wp:extent cx="5667375" cy="27908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4"/>
                    <a:stretch>
                      <a:fillRect/>
                    </a:stretch>
                  </pic:blipFill>
                  <pic:spPr>
                    <a:xfrm>
                      <a:off x="0" y="0"/>
                      <a:ext cx="5667375" cy="2790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建筑迎风面外窗表面风压云图-过渡季</w:t>
      </w:r>
      <w:bookmarkEnd w:id="27"/>
    </w:p>
    <w:bookmarkEnd w:id="28"/>
    <w:p>
      <w:pPr>
        <w:pStyle w:val="13"/>
        <w:jc w:val="center"/>
      </w:pPr>
      <w:r>
        <w:drawing>
          <wp:inline distT="0" distB="0" distL="0" distR="0">
            <wp:extent cx="5667375" cy="28194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5"/>
                    <a:stretch>
                      <a:fillRect/>
                    </a:stretch>
                  </pic:blipFill>
                  <pic:spPr>
                    <a:xfrm>
                      <a:off x="0" y="0"/>
                      <a:ext cx="5667375" cy="28194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建筑背风面外窗表面风压云图-过渡季</w:t>
      </w:r>
      <w:bookmarkEnd w:id="29"/>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DT单体(Vent风环境模拟)</w:t>
            </w:r>
          </w:p>
        </w:tc>
        <w:tc>
          <w:tcPr>
            <w:tcW w:w="1134" w:type="dxa"/>
            <w:shd w:val="clear" w:color="auto" w:fill="auto"/>
            <w:vAlign w:val="center"/>
          </w:tcPr>
          <w:p>
            <w:pPr>
              <w:jc w:val="center"/>
              <w:rPr>
                <w:lang w:val="en-US"/>
              </w:rPr>
            </w:pPr>
            <w:r>
              <w:rPr>
                <w:lang w:val="en-US"/>
              </w:rPr>
              <w:t>78</w:t>
            </w:r>
          </w:p>
        </w:tc>
        <w:tc>
          <w:tcPr>
            <w:tcW w:w="1984" w:type="dxa"/>
            <w:shd w:val="clear" w:color="auto" w:fill="auto"/>
            <w:vAlign w:val="center"/>
          </w:tcPr>
          <w:p>
            <w:pPr>
              <w:jc w:val="center"/>
              <w:rPr>
                <w:lang w:val="en-US"/>
              </w:rPr>
            </w:pPr>
            <w:r>
              <w:rPr>
                <w:lang w:val="en-US"/>
              </w:rPr>
              <w:t>60</w:t>
            </w:r>
          </w:p>
        </w:tc>
        <w:tc>
          <w:tcPr>
            <w:tcW w:w="1116" w:type="dxa"/>
            <w:shd w:val="clear" w:color="auto" w:fill="auto"/>
            <w:vAlign w:val="center"/>
          </w:tcPr>
          <w:p>
            <w:pPr>
              <w:jc w:val="center"/>
              <w:rPr>
                <w:lang w:val="en-US"/>
              </w:rPr>
            </w:pPr>
            <w:r>
              <w:rPr>
                <w:lang w:val="en-US"/>
              </w:rPr>
              <w:t>76.92</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bookmarkEnd w:id="30"/>
    <w:p>
      <w:pPr>
        <w:rPr>
          <w:lang w:val="en-US"/>
        </w:rPr>
      </w:pPr>
    </w:p>
    <w:p/>
    <w:p>
      <w:pPr>
        <w:rPr>
          <w:lang w:val="en-US"/>
        </w:rPr>
      </w:pPr>
      <w:r>
        <w:rPr>
          <w:rFonts w:hint="eastAsia"/>
          <w:lang w:val="en-US"/>
        </w:rPr>
        <w:t>结论：本项目中所有建筑均满足“50%以上可开启外窗室内外表面的风压差大于0.5Pa”的要求。</w:t>
      </w:r>
      <w:bookmarkEnd w:id="32"/>
      <w:r>
        <w:rPr>
          <w:rFonts w:hint="eastAsia"/>
          <w:lang w:val="en-US"/>
        </w:rPr>
        <w:t xml:space="preserve"> </w:t>
      </w:r>
    </w:p>
    <w:p>
      <w:pPr>
        <w:rPr>
          <w:lang w:val="en-US"/>
        </w:rPr>
      </w:pPr>
      <w:bookmarkStart w:id="155" w:name="其他工况"/>
      <w:bookmarkEnd w:id="155"/>
      <w:r>
        <w:rPr>
          <w:rFonts w:hint="eastAsia"/>
          <w:lang w:val="en-US"/>
        </w:rPr>
        <w:t xml:space="preserve"> </w:t>
      </w:r>
    </w:p>
    <w:p>
      <w:pPr>
        <w:pStyle w:val="4"/>
      </w:pPr>
      <w:bookmarkStart w:id="156" w:name="_Toc509844764"/>
      <w:bookmarkStart w:id="157" w:name="_Toc32694"/>
      <w:r>
        <w:rPr>
          <w:rFonts w:hint="eastAsia"/>
        </w:rPr>
        <w:t>结论</w:t>
      </w:r>
      <w:bookmarkEnd w:id="156"/>
      <w:bookmarkEnd w:id="157"/>
    </w:p>
    <w:p>
      <w:pPr>
        <w:pStyle w:val="5"/>
      </w:pPr>
      <w:bookmarkStart w:id="158" w:name="_Toc509844765"/>
      <w:bookmarkStart w:id="159" w:name="_Toc15821"/>
      <w:r>
        <w:rPr>
          <w:rFonts w:hint="eastAsia"/>
        </w:rPr>
        <w:t>冬季工况达标判断</w:t>
      </w:r>
      <w:bookmarkEnd w:id="158"/>
      <w:bookmarkEnd w:id="159"/>
      <w:bookmarkStart w:id="160" w:name="_Toc509844766"/>
      <w:bookmarkEnd w:id="16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1" w:name="标准要求冬季风速得分"/>
            <w:r>
              <w:rPr>
                <w:rFonts w:hint="eastAsia"/>
                <w:lang w:val="en-US"/>
              </w:rPr>
              <w:t>3</w:t>
            </w:r>
            <w:bookmarkEnd w:id="161"/>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62" w:name="冬季风速结果计算域"/>
            <w:r>
              <w:t>没有出现</w:t>
            </w:r>
            <w:bookmarkEnd w:id="162"/>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63" w:name="冬季风速达标判定"/>
            <w:r>
              <w:rPr>
                <w:rFonts w:hint="eastAsia"/>
                <w:b/>
                <w:lang w:val="en-US"/>
              </w:rPr>
              <w:t>达标</w:t>
            </w:r>
            <w:bookmarkEnd w:id="163"/>
          </w:p>
        </w:tc>
        <w:tc>
          <w:tcPr>
            <w:tcW w:w="1416" w:type="dxa"/>
            <w:vMerge w:val="restart"/>
            <w:tcBorders>
              <w:top w:val="single" w:color="auto" w:sz="4" w:space="0"/>
            </w:tcBorders>
            <w:shd w:val="clear" w:color="auto" w:fill="auto"/>
            <w:vAlign w:val="center"/>
          </w:tcPr>
          <w:p>
            <w:pPr>
              <w:jc w:val="center"/>
              <w:rPr>
                <w:lang w:val="en-US"/>
              </w:rPr>
            </w:pPr>
            <w:bookmarkStart w:id="164" w:name="冬季风速得分"/>
            <w:r>
              <w:rPr>
                <w:rFonts w:hint="eastAsia"/>
                <w:lang w:val="en-US"/>
              </w:rPr>
              <w:t>3</w:t>
            </w:r>
            <w:bookmarkEnd w:id="16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65" w:name="冬季风速放大系数结果计算域"/>
            <w:r>
              <w:t>没有出现</w:t>
            </w:r>
            <w:bookmarkEnd w:id="16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6" w:name="标准要求冬季风压得分"/>
            <w:r>
              <w:rPr>
                <w:rFonts w:hint="eastAsia"/>
                <w:lang w:val="en-US"/>
              </w:rPr>
              <w:t>2</w:t>
            </w:r>
            <w:bookmarkEnd w:id="166"/>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67" w:name="冬季迎背风面结果"/>
            <w:r>
              <w:t>没有出现</w:t>
            </w:r>
            <w:bookmarkEnd w:id="167"/>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8" w:name="冬季迎背风面达标判定"/>
            <w:r>
              <w:rPr>
                <w:rFonts w:hint="eastAsia"/>
                <w:b/>
                <w:lang w:val="en-US"/>
              </w:rPr>
              <w:t>达标</w:t>
            </w:r>
            <w:bookmarkEnd w:id="168"/>
          </w:p>
        </w:tc>
        <w:tc>
          <w:tcPr>
            <w:tcW w:w="1416" w:type="dxa"/>
            <w:shd w:val="clear" w:color="auto" w:fill="auto"/>
            <w:vAlign w:val="center"/>
          </w:tcPr>
          <w:p>
            <w:pPr>
              <w:jc w:val="center"/>
              <w:rPr>
                <w:lang w:val="en-US"/>
              </w:rPr>
            </w:pPr>
            <w:bookmarkStart w:id="169" w:name="冬季迎背风面得分"/>
            <w:r>
              <w:rPr>
                <w:rFonts w:hint="eastAsia"/>
                <w:lang w:val="en-US"/>
              </w:rPr>
              <w:t>2</w:t>
            </w:r>
            <w:bookmarkEnd w:id="169"/>
            <w:r>
              <w:rPr>
                <w:rFonts w:hint="eastAsia"/>
                <w:lang w:val="en-US"/>
              </w:rPr>
              <w:t>分</w:t>
            </w:r>
          </w:p>
        </w:tc>
      </w:tr>
    </w:tbl>
    <w:p>
      <w:pPr>
        <w:rPr>
          <w:szCs w:val="21"/>
          <w:lang w:val="en-US"/>
        </w:rPr>
      </w:pPr>
      <w:bookmarkStart w:id="170" w:name="_Toc509844767"/>
      <w:bookmarkEnd w:id="170"/>
      <w:bookmarkStart w:id="171" w:name="_Toc509844768"/>
      <w:bookmarkEnd w:id="171"/>
    </w:p>
    <w:bookmarkEnd w:id="0"/>
    <w:bookmarkEnd w:id="1"/>
    <w:p>
      <w:pPr>
        <w:pStyle w:val="5"/>
      </w:pPr>
      <w:bookmarkStart w:id="172" w:name="_Toc509844769"/>
      <w:bookmarkStart w:id="173" w:name="_Toc32273"/>
      <w:r>
        <w:rPr>
          <w:rFonts w:hint="eastAsia"/>
        </w:rPr>
        <w:t>过渡季、夏季工况达标判断</w:t>
      </w:r>
      <w:bookmarkEnd w:id="172"/>
      <w:bookmarkEnd w:id="17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4" w:name="标准要求夏季风速得分"/>
            <w:r>
              <w:rPr>
                <w:rFonts w:hint="eastAsia"/>
                <w:lang w:val="en-US"/>
              </w:rPr>
              <w:t>3</w:t>
            </w:r>
            <w:bookmarkEnd w:id="174"/>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75" w:name="夏季无风区结果计算域"/>
            <w:r>
              <w:rPr>
                <w:rFonts w:hint="eastAsia"/>
                <w:lang w:val="en-US"/>
              </w:rPr>
              <w:t>无</w:t>
            </w:r>
            <w:bookmarkEnd w:id="175"/>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76" w:name="夏季无风区达标判定"/>
            <w:r>
              <w:rPr>
                <w:rFonts w:hint="eastAsia"/>
                <w:b/>
                <w:lang w:val="en-US"/>
              </w:rPr>
              <w:t>达标</w:t>
            </w:r>
            <w:bookmarkEnd w:id="176"/>
          </w:p>
        </w:tc>
        <w:tc>
          <w:tcPr>
            <w:tcW w:w="1416" w:type="dxa"/>
            <w:vMerge w:val="restart"/>
            <w:tcBorders>
              <w:top w:val="single" w:color="auto" w:sz="4" w:space="0"/>
            </w:tcBorders>
            <w:shd w:val="clear" w:color="auto" w:fill="auto"/>
            <w:vAlign w:val="center"/>
          </w:tcPr>
          <w:p>
            <w:pPr>
              <w:jc w:val="center"/>
              <w:rPr>
                <w:lang w:val="en-US"/>
              </w:rPr>
            </w:pPr>
            <w:bookmarkStart w:id="177" w:name="夏季无风区得分"/>
            <w:r>
              <w:rPr>
                <w:rFonts w:hint="eastAsia"/>
                <w:lang w:val="en-US"/>
              </w:rPr>
              <w:t>3</w:t>
            </w:r>
            <w:bookmarkEnd w:id="177"/>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8" w:name="标准要求夏季风压得分"/>
            <w:r>
              <w:rPr>
                <w:rFonts w:hint="eastAsia"/>
                <w:lang w:val="en-US"/>
              </w:rPr>
              <w:t>2</w:t>
            </w:r>
            <w:bookmarkEnd w:id="178"/>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79" w:name="夏季窗内外风压差结果"/>
            <w:r>
              <w:rPr>
                <w:rFonts w:hint="eastAsia"/>
                <w:lang w:val="en-US"/>
              </w:rPr>
              <w:t>满足</w:t>
            </w:r>
            <w:bookmarkEnd w:id="179"/>
            <w:r>
              <w:rPr>
                <w:rFonts w:hint="eastAsia"/>
                <w:lang w:val="en-US"/>
              </w:rPr>
              <w:t>标准要求</w:t>
            </w:r>
          </w:p>
        </w:tc>
        <w:tc>
          <w:tcPr>
            <w:tcW w:w="1985" w:type="dxa"/>
            <w:shd w:val="clear" w:color="auto" w:fill="auto"/>
            <w:vAlign w:val="center"/>
          </w:tcPr>
          <w:p>
            <w:pPr>
              <w:jc w:val="center"/>
              <w:rPr>
                <w:b/>
                <w:lang w:val="en-US"/>
              </w:rPr>
            </w:pPr>
            <w:bookmarkStart w:id="180" w:name="夏季窗内外风压差达标判定"/>
            <w:r>
              <w:rPr>
                <w:rFonts w:hint="eastAsia"/>
                <w:b/>
                <w:lang w:val="en-US"/>
              </w:rPr>
              <w:t>达标</w:t>
            </w:r>
            <w:bookmarkEnd w:id="180"/>
          </w:p>
        </w:tc>
        <w:tc>
          <w:tcPr>
            <w:tcW w:w="1416" w:type="dxa"/>
            <w:shd w:val="clear" w:color="auto" w:fill="auto"/>
            <w:vAlign w:val="center"/>
          </w:tcPr>
          <w:p>
            <w:pPr>
              <w:jc w:val="center"/>
              <w:rPr>
                <w:lang w:val="en-US"/>
              </w:rPr>
            </w:pPr>
            <w:bookmarkStart w:id="181" w:name="夏季窗内外风压差得分"/>
            <w:r>
              <w:rPr>
                <w:rFonts w:hint="eastAsia"/>
                <w:lang w:val="en-US"/>
              </w:rPr>
              <w:t>2</w:t>
            </w:r>
            <w:bookmarkEnd w:id="181"/>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2" w:name="总得分"/>
      <w:r>
        <w:rPr>
          <w:rFonts w:hint="eastAsia"/>
          <w:lang w:val="en-US"/>
        </w:rPr>
        <w:t>10</w:t>
      </w:r>
      <w:bookmarkEnd w:id="182"/>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2EwMmU2ZjllMTNjZDYxM2MzODJiNDYwZTRkMTIifQ=="/>
  </w:docVars>
  <w:rsids>
    <w:rsidRoot w:val="0D4C5CE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0D4C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autoRedefine/>
    <w:qFormat/>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numbering" Target="numbering.xml"/><Relationship Id="rId85" Type="http://schemas.openxmlformats.org/officeDocument/2006/relationships/image" Target="media/image71.png"/><Relationship Id="rId84" Type="http://schemas.openxmlformats.org/officeDocument/2006/relationships/image" Target="media/image70.png"/><Relationship Id="rId83" Type="http://schemas.openxmlformats.org/officeDocument/2006/relationships/image" Target="media/image69.png"/><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wmf"/><Relationship Id="rId70" Type="http://schemas.openxmlformats.org/officeDocument/2006/relationships/oleObject" Target="embeddings/oleObject7.bin"/><Relationship Id="rId7" Type="http://schemas.openxmlformats.org/officeDocument/2006/relationships/footer" Target="footer2.xml"/><Relationship Id="rId69" Type="http://schemas.openxmlformats.org/officeDocument/2006/relationships/image" Target="media/image56.wmf"/><Relationship Id="rId68" Type="http://schemas.openxmlformats.org/officeDocument/2006/relationships/oleObject" Target="embeddings/oleObject6.bin"/><Relationship Id="rId67" Type="http://schemas.openxmlformats.org/officeDocument/2006/relationships/image" Target="media/image55.wmf"/><Relationship Id="rId66" Type="http://schemas.openxmlformats.org/officeDocument/2006/relationships/oleObject" Target="embeddings/oleObject5.bin"/><Relationship Id="rId65" Type="http://schemas.openxmlformats.org/officeDocument/2006/relationships/image" Target="media/image54.wmf"/><Relationship Id="rId64" Type="http://schemas.openxmlformats.org/officeDocument/2006/relationships/oleObject" Target="embeddings/oleObject4.bin"/><Relationship Id="rId63" Type="http://schemas.openxmlformats.org/officeDocument/2006/relationships/image" Target="media/image53.wmf"/><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png"/><Relationship Id="rId23" Type="http://schemas.openxmlformats.org/officeDocument/2006/relationships/image" Target="media/image13.wmf"/><Relationship Id="rId22" Type="http://schemas.openxmlformats.org/officeDocument/2006/relationships/oleObject" Target="embeddings/oleObject3.bin"/><Relationship Id="rId21" Type="http://schemas.openxmlformats.org/officeDocument/2006/relationships/image" Target="media/image1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1.bin"/><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tmp16.dotx</Template>
  <Pages>25</Pages>
  <Words>7319</Words>
  <Characters>8263</Characters>
  <Lines>40</Lines>
  <Paragraphs>11</Paragraphs>
  <TotalTime>0</TotalTime>
  <ScaleCrop>false</ScaleCrop>
  <LinksUpToDate>false</LinksUpToDate>
  <CharactersWithSpaces>8504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2024-03-14T08:55:00Z</dcterms:created>
  <dc:creator>昕 °☆≡</dc:creator>
  <cp:lastModifiedBy>昕 °☆≡</cp:lastModifiedBy>
  <dcterms:modified xsi:type="dcterms:W3CDTF">2024-03-14T08:57:08Z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DF17B13F2C6742C7B78108B2BD4EBC0F_11</vt:lpwstr>
  </property>
  <property fmtid="{D5CDD505-2E9C-101B-9397-08002B2CF9AE}" pid="3" name="KSOProductBuildVer">
    <vt:lpwstr>2052-12.1.0.16388</vt:lpwstr>
  </property>
</Properties>
</file>