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059"/>
      <w:bookmarkStart w:id="1" w:name="_Toc480186121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2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  <w:vAlign w:val="top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临安天工农贸市场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浙江省杭州市临安区广场路18号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设计编号"/>
            <w:bookmarkEnd w:id="3"/>
            <w:r>
              <w:rPr>
                <w:rFonts w:hint="eastAsia"/>
              </w:rPr>
              <w:t>BK2A60150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建设单位"/>
            <w:bookmarkEnd w:id="4"/>
            <w:r>
              <w:rPr>
                <w:rFonts w:hint="eastAsia"/>
              </w:rPr>
              <w:t>浙江农林大学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单位"/>
            <w:bookmarkEnd w:id="5"/>
            <w:r>
              <w:rPr>
                <w:rFonts w:hint="eastAsia"/>
              </w:rPr>
              <w:t>浙江农林大学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1" w:name="_GoBack"/>
            <w:r>
              <w:rPr>
                <w:rFonts w:hint="eastAsia"/>
                <w:lang w:val="en-US" w:eastAsia="zh-CN"/>
              </w:rPr>
              <w:t>张楠、徐婷、林心悦、陈梓涵</w:t>
            </w:r>
            <w:bookmarkEnd w:id="8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计算日期"/>
            <w:r>
              <w:t>2024年1月7日</w:t>
            </w:r>
            <w:bookmarkEnd w:id="6"/>
          </w:p>
        </w:tc>
      </w:tr>
    </w:tbl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ascii="宋体" w:hAnsi="宋体"/>
          <w:b/>
          <w:bCs/>
          <w:sz w:val="18"/>
          <w:szCs w:val="18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8" w:name="软件全称"/>
            <w:r>
              <w:t>斯维尔节能设计BECS2023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20220923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T13566076740</w:t>
            </w:r>
            <w:bookmarkEnd w:id="10"/>
          </w:p>
        </w:tc>
      </w:tr>
    </w:tbl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>
      <w:pPr>
        <w:pStyle w:val="17"/>
        <w:tabs>
          <w:tab w:val="left" w:pos="420"/>
          <w:tab w:val="right" w:leader="dot" w:pos="9010"/>
        </w:tabs>
      </w:pPr>
    </w:p>
    <w:p/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bookmarkStart w:id="11" w:name="目录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"_Toc155355436" </w:instrText>
      </w:r>
      <w:r>
        <w:fldChar w:fldCharType="separate"/>
      </w:r>
      <w:r>
        <w:rPr>
          <w:rStyle w:val="24"/>
        </w:rPr>
        <w:t>1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建筑概况</w:t>
      </w:r>
      <w:r>
        <w:tab/>
      </w:r>
      <w:r>
        <w:fldChar w:fldCharType="begin"/>
      </w:r>
      <w:r>
        <w:instrText xml:space="preserve"> PAGEREF _Toc155355436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"_Toc155355437" </w:instrText>
      </w:r>
      <w:r>
        <w:fldChar w:fldCharType="separate"/>
      </w:r>
      <w:r>
        <w:rPr>
          <w:rStyle w:val="24"/>
        </w:rPr>
        <w:t>2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评价依据</w:t>
      </w:r>
      <w:r>
        <w:tab/>
      </w:r>
      <w:r>
        <w:fldChar w:fldCharType="begin"/>
      </w:r>
      <w:r>
        <w:instrText xml:space="preserve"> PAGEREF _Toc155355437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"_Toc155355438" </w:instrText>
      </w:r>
      <w:r>
        <w:fldChar w:fldCharType="separate"/>
      </w:r>
      <w:r>
        <w:rPr>
          <w:rStyle w:val="24"/>
          <w:lang w:val="en-GB"/>
        </w:rPr>
        <w:t>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评价目标</w:t>
      </w:r>
      <w:r>
        <w:tab/>
      </w:r>
      <w:r>
        <w:fldChar w:fldCharType="begin"/>
      </w:r>
      <w:r>
        <w:instrText xml:space="preserve"> PAGEREF _Toc155355438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"_Toc155355439" </w:instrText>
      </w:r>
      <w:r>
        <w:fldChar w:fldCharType="separate"/>
      </w:r>
      <w:r>
        <w:rPr>
          <w:rStyle w:val="24"/>
          <w:lang w:val="en-GB"/>
        </w:rPr>
        <w:t>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评价方法</w:t>
      </w:r>
      <w:r>
        <w:tab/>
      </w:r>
      <w:r>
        <w:fldChar w:fldCharType="begin"/>
      </w:r>
      <w:r>
        <w:instrText xml:space="preserve"> PAGEREF _Toc155355439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"_Toc155355440" </w:instrText>
      </w:r>
      <w:r>
        <w:fldChar w:fldCharType="separate"/>
      </w:r>
      <w:r>
        <w:rPr>
          <w:rStyle w:val="24"/>
        </w:rPr>
        <w:t>3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防潮验算计算过程</w:t>
      </w:r>
      <w:r>
        <w:tab/>
      </w:r>
      <w:r>
        <w:fldChar w:fldCharType="begin"/>
      </w:r>
      <w:r>
        <w:instrText xml:space="preserve"> PAGEREF _Toc155355440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"_Toc155355441" </w:instrText>
      </w:r>
      <w:r>
        <w:fldChar w:fldCharType="separate"/>
      </w:r>
      <w:r>
        <w:rPr>
          <w:rStyle w:val="24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计算条件</w:t>
      </w:r>
      <w:r>
        <w:tab/>
      </w:r>
      <w:r>
        <w:fldChar w:fldCharType="begin"/>
      </w:r>
      <w:r>
        <w:instrText xml:space="preserve"> PAGEREF _Toc155355441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"_Toc155355442" </w:instrText>
      </w:r>
      <w:r>
        <w:fldChar w:fldCharType="separate"/>
      </w:r>
      <w:r>
        <w:rPr>
          <w:rStyle w:val="24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外墙构造一</w:t>
      </w:r>
      <w:r>
        <w:tab/>
      </w:r>
      <w:r>
        <w:fldChar w:fldCharType="begin"/>
      </w:r>
      <w:r>
        <w:instrText xml:space="preserve"> PAGEREF _Toc155355442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"_Toc155355443" </w:instrText>
      </w:r>
      <w:r>
        <w:fldChar w:fldCharType="separate"/>
      </w:r>
      <w:r>
        <w:rPr>
          <w:rStyle w:val="24"/>
          <w:lang w:val="en-GB"/>
        </w:rPr>
        <w:t>3.2.1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冷凝计算界面至围护结构内表面之间的热阻</w:t>
      </w:r>
      <w:r>
        <w:object>
          <v:shape id="_x0000_i1025" o:spt="75" type="#_x0000_t75" style="height:13.3pt;width:18.8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_Toc155355443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"_Toc155355444" </w:instrText>
      </w:r>
      <w:r>
        <w:fldChar w:fldCharType="separate"/>
      </w:r>
      <w:r>
        <w:rPr>
          <w:rStyle w:val="24"/>
          <w:lang w:val="en-GB"/>
        </w:rPr>
        <w:t>3.2.2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冷凝计算界面温度</w:t>
      </w:r>
      <w:r>
        <w:rPr>
          <w:position w:val="-6"/>
        </w:rPr>
        <w:object>
          <v:shape id="_x0000_i1026" o:spt="75" type="#_x0000_t75" style="height:13.3pt;width:13.3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_Toc155355444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"_Toc155355445" </w:instrText>
      </w:r>
      <w:r>
        <w:fldChar w:fldCharType="separate"/>
      </w:r>
      <w:r>
        <w:rPr>
          <w:rStyle w:val="24"/>
          <w:lang w:val="en-GB"/>
        </w:rPr>
        <w:t>3.2.3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围护结构冷凝受潮验算</w:t>
      </w:r>
      <w:r>
        <w:tab/>
      </w:r>
      <w:r>
        <w:fldChar w:fldCharType="begin"/>
      </w:r>
      <w:r>
        <w:instrText xml:space="preserve"> PAGEREF _Toc155355445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"_Toc155355446" </w:instrText>
      </w:r>
      <w:r>
        <w:fldChar w:fldCharType="separate"/>
      </w:r>
      <w:r>
        <w:rPr>
          <w:rStyle w:val="24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阳台隔墙构造一</w:t>
      </w:r>
      <w:r>
        <w:tab/>
      </w:r>
      <w:r>
        <w:fldChar w:fldCharType="begin"/>
      </w:r>
      <w:r>
        <w:instrText xml:space="preserve"> PAGEREF _Toc155355446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"_Toc155355447" </w:instrText>
      </w:r>
      <w:r>
        <w:fldChar w:fldCharType="separate"/>
      </w:r>
      <w:r>
        <w:rPr>
          <w:rStyle w:val="24"/>
          <w:lang w:val="en-GB"/>
        </w:rPr>
        <w:t>3.3.1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冷凝计算界面至围护结构内表面之间的热阻</w:t>
      </w:r>
      <w:r>
        <w:pict>
          <v:shape id="_x0000_i1027" o:spt="75" type="#_x0000_t75" style="height:13.3pt;width:18.8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_Toc155355447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"_Toc155355448" </w:instrText>
      </w:r>
      <w:r>
        <w:fldChar w:fldCharType="separate"/>
      </w:r>
      <w:r>
        <w:rPr>
          <w:rStyle w:val="24"/>
          <w:lang w:val="en-GB"/>
        </w:rPr>
        <w:t>3.3.2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冷凝计算界面温度</w:t>
      </w:r>
      <w:r>
        <w:rPr>
          <w:position w:val="-6"/>
        </w:rPr>
        <w:pict>
          <v:shape id="_x0000_i1028" o:spt="75" type="#_x0000_t75" style="height:13.3pt;width:13.3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_Toc155355448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"_Toc155355449" </w:instrText>
      </w:r>
      <w:r>
        <w:fldChar w:fldCharType="separate"/>
      </w:r>
      <w:r>
        <w:rPr>
          <w:rStyle w:val="24"/>
          <w:lang w:val="en-GB"/>
        </w:rPr>
        <w:t>3.3.3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围护结构冷凝受潮验算</w:t>
      </w:r>
      <w:r>
        <w:tab/>
      </w:r>
      <w:r>
        <w:fldChar w:fldCharType="begin"/>
      </w:r>
      <w:r>
        <w:instrText xml:space="preserve"> PAGEREF _Toc155355449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"_Toc155355450" </w:instrText>
      </w:r>
      <w:r>
        <w:fldChar w:fldCharType="separate"/>
      </w:r>
      <w:r>
        <w:rPr>
          <w:rStyle w:val="24"/>
        </w:rPr>
        <w:t>4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验算结论</w:t>
      </w:r>
      <w:r>
        <w:tab/>
      </w:r>
      <w:r>
        <w:fldChar w:fldCharType="begin"/>
      </w:r>
      <w:r>
        <w:instrText xml:space="preserve"> PAGEREF _Toc155355450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r>
        <w:fldChar w:fldCharType="end"/>
      </w:r>
      <w:bookmarkEnd w:id="11"/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>
      <w:pPr>
        <w:pStyle w:val="2"/>
        <w:spacing w:line="240" w:lineRule="atLeast"/>
      </w:pPr>
      <w:bookmarkStart w:id="12" w:name="_Toc316568035"/>
      <w:bookmarkStart w:id="13" w:name="_Toc480186060"/>
      <w:bookmarkStart w:id="14" w:name="_Toc480186122"/>
      <w:bookmarkStart w:id="15" w:name="_Toc480218444"/>
      <w:bookmarkStart w:id="16" w:name="_Toc155355436"/>
      <w:r>
        <w:rPr>
          <w:rFonts w:hint="eastAsia"/>
        </w:rPr>
        <w:t>建筑概况</w:t>
      </w:r>
      <w:bookmarkEnd w:id="12"/>
      <w:bookmarkEnd w:id="13"/>
      <w:bookmarkEnd w:id="14"/>
      <w:bookmarkEnd w:id="15"/>
      <w:bookmarkEnd w:id="16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3115"/>
        <w:gridCol w:w="31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bookmarkStart w:id="17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8" w:name="工程名称"/>
            <w:r>
              <w:t>新建项目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9" w:name="工程地点"/>
            <w:r>
              <w:t>浙江-杭州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北纬：</w:t>
            </w:r>
            <w:bookmarkStart w:id="20" w:name="纬度"/>
            <w:r>
              <w:rPr>
                <w:rFonts w:hint="eastAsia"/>
              </w:rPr>
              <w:t>30.23</w:t>
            </w:r>
            <w:bookmarkEnd w:id="20"/>
            <w:r>
              <w:rPr>
                <w:rFonts w:hint="eastAsia" w:ascii="宋体" w:hAnsi="宋体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东经：</w:t>
            </w:r>
            <w:bookmarkStart w:id="21" w:name="经度"/>
            <w:r>
              <w:rPr>
                <w:rFonts w:hint="eastAsia"/>
              </w:rPr>
              <w:t>120.17</w:t>
            </w:r>
            <w:bookmarkEnd w:id="21"/>
            <w:r>
              <w:rPr>
                <w:rFonts w:hint="eastAsia" w:ascii="宋体" w:hAnsi="宋体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2" w:name="气候分区"/>
            <w:r>
              <w:t>夏热冬冷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8515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0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5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0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32.6</w:t>
            </w:r>
            <w:bookmarkEnd w:id="27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8" w:name="结构类型"/>
            <w:bookmarkEnd w:id="28"/>
          </w:p>
        </w:tc>
      </w:tr>
      <w:bookmarkEnd w:id="17"/>
    </w:tbl>
    <w:p>
      <w:pPr>
        <w:rPr>
          <w:b/>
          <w:sz w:val="24"/>
        </w:rPr>
      </w:pPr>
    </w:p>
    <w:p>
      <w:pPr>
        <w:pStyle w:val="2"/>
        <w:spacing w:line="240" w:lineRule="atLeast"/>
      </w:pPr>
      <w:bookmarkStart w:id="29" w:name="_Toc316568036"/>
      <w:bookmarkStart w:id="30" w:name="_Toc480186123"/>
      <w:bookmarkStart w:id="31" w:name="_Toc480218445"/>
      <w:bookmarkStart w:id="32" w:name="_Toc480186061"/>
      <w:bookmarkStart w:id="33" w:name="_Toc155355437"/>
      <w:bookmarkStart w:id="34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</w:p>
    <w:bookmarkEnd w:id="34"/>
    <w:p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5" w:name="标准名称"/>
      <w:r>
        <w:rPr>
          <w:rFonts w:hint="eastAsia"/>
        </w:rPr>
        <w:t>《公共建筑节能设计标准》GB50189-2015</w:t>
      </w:r>
      <w:bookmarkEnd w:id="35"/>
    </w:p>
    <w:p>
      <w:pPr>
        <w:spacing w:line="240" w:lineRule="atLeast"/>
      </w:pPr>
      <w:r>
        <w:rPr>
          <w:rFonts w:hint="eastAsia"/>
        </w:rPr>
        <w:t>2. 《民用建筑热工设计规范》</w:t>
      </w:r>
      <w:r>
        <w:t>GB50176</w:t>
      </w:r>
    </w:p>
    <w:p>
      <w:pPr>
        <w:spacing w:line="240" w:lineRule="atLeast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 </w:t>
      </w:r>
      <w:bookmarkStart w:id="36" w:name="地方绿建评价标准"/>
      <w:r>
        <w:rPr>
          <w:rFonts w:hint="eastAsia"/>
        </w:rPr>
        <w:t>《绿色建筑评价标准》GB/T 50378-2019</w:t>
      </w:r>
      <w:bookmarkEnd w:id="36"/>
    </w:p>
    <w:p>
      <w:pPr>
        <w:spacing w:line="240" w:lineRule="atLeast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《绿色建筑评价技术细则》</w:t>
      </w:r>
    </w:p>
    <w:p>
      <w:pPr>
        <w:spacing w:line="240" w:lineRule="atLeast"/>
      </w:pPr>
      <w:r>
        <w:rPr>
          <w:rFonts w:hint="eastAsia"/>
        </w:rPr>
        <w:t>5</w:t>
      </w:r>
      <w:r>
        <w:t xml:space="preserve">.  </w:t>
      </w:r>
      <w:r>
        <w:rPr>
          <w:rFonts w:hint="eastAsia"/>
        </w:rPr>
        <w:t>施工图、设计说明、节能计算书</w:t>
      </w:r>
    </w:p>
    <w:p>
      <w:pPr>
        <w:pStyle w:val="41"/>
        <w:spacing w:line="240" w:lineRule="atLeast"/>
        <w:ind w:left="420" w:firstLine="0" w:firstLineChars="0"/>
      </w:pPr>
    </w:p>
    <w:p>
      <w:pPr>
        <w:pStyle w:val="4"/>
        <w:spacing w:line="240" w:lineRule="atLeast"/>
        <w:rPr>
          <w:kern w:val="2"/>
        </w:rPr>
      </w:pPr>
      <w:bookmarkStart w:id="37" w:name="_Toc480186062"/>
      <w:bookmarkStart w:id="38" w:name="_Toc480186124"/>
      <w:bookmarkStart w:id="39" w:name="_Toc480218446"/>
      <w:bookmarkStart w:id="40" w:name="_Toc155355438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t>依据《民用建筑热工设计规范》</w:t>
      </w:r>
      <w:r>
        <w:rPr>
          <w:rFonts w:hint="eastAsia"/>
        </w:rPr>
        <w:t>GB50176和</w:t>
      </w:r>
      <w:bookmarkStart w:id="41" w:name="地方绿建评价标准：1"/>
      <w:r>
        <w:rPr>
          <w:rFonts w:hint="eastAsia"/>
        </w:rPr>
        <w:t>《绿色建筑评价标准》GB/T 50378-2019</w:t>
      </w:r>
      <w:bookmarkEnd w:id="41"/>
      <w:r>
        <w:rPr>
          <w:rFonts w:hint="eastAsia"/>
        </w:rPr>
        <w:t>的要求和规定，采暖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rPr>
          <w:rFonts w:hint="eastAsia"/>
        </w:rPr>
        <w:t>通过计算采暖期间围护结构中</w:t>
      </w:r>
      <w:r>
        <w:t>保温材料因内部冷凝受潮而增加的湿度，判断是否</w:t>
      </w:r>
      <w:r>
        <w:rPr>
          <w:rFonts w:hint="eastAsia"/>
        </w:rPr>
        <w:t>不大于</w:t>
      </w:r>
      <w:r>
        <w:t>《民用建筑热工设计规范</w:t>
      </w:r>
      <w:r>
        <w:rPr>
          <w:rFonts w:hint="eastAsia"/>
        </w:rPr>
        <w:t>》GB50176规定</w:t>
      </w:r>
      <w:r>
        <w:t>的</w:t>
      </w:r>
      <w:r>
        <w:rPr>
          <w:rFonts w:hint="eastAsia"/>
        </w:rPr>
        <w:t>采暖期间保温材料重量湿度的允许增量。</w:t>
      </w:r>
    </w:p>
    <w:p>
      <w:pPr>
        <w:pStyle w:val="4"/>
        <w:spacing w:line="240" w:lineRule="atLeast"/>
        <w:rPr>
          <w:kern w:val="2"/>
        </w:rPr>
      </w:pPr>
      <w:bookmarkStart w:id="42" w:name="_Toc480186063"/>
      <w:bookmarkStart w:id="43" w:name="_Toc480186125"/>
      <w:bookmarkStart w:id="44" w:name="_Toc155355439"/>
      <w:bookmarkStart w:id="45" w:name="_Toc480218447"/>
      <w:bookmarkStart w:id="46" w:name="_Toc479931706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</w:p>
    <w:p>
      <w:pPr>
        <w:pStyle w:val="41"/>
      </w:pPr>
      <w:r>
        <w:rPr>
          <w:rFonts w:hint="eastAsia"/>
        </w:rPr>
        <w:t>根据《民用建筑热工设计规范》GB50176-2016第</w:t>
      </w:r>
      <w:r>
        <w:t>7.1.4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>
      <w:pPr>
        <w:wordWrap w:val="0"/>
        <w:jc w:val="right"/>
      </w:pPr>
      <w:r>
        <w:rPr>
          <w:position w:val="-54"/>
        </w:rPr>
        <w:object>
          <v:shape id="_x0000_i1029" o:spt="75" type="#_x0000_t75" style="height:45.95pt;width:141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9" DrawAspect="Content" ObjectID="_1468075727" r:id="rId11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>
      <w:r>
        <w:rPr>
          <w:rFonts w:hint="eastAsia"/>
        </w:rPr>
        <w:t>则推导：</w:t>
      </w:r>
    </w:p>
    <w:p>
      <w:pPr>
        <w:wordWrap w:val="0"/>
        <w:jc w:val="right"/>
      </w:pPr>
      <w:r>
        <w:rPr>
          <w:position w:val="-28"/>
        </w:rPr>
        <w:object>
          <v:shape id="_x0000_i1030" o:spt="75" type="#_x0000_t75" style="height:49.85pt;width:162.3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0" DrawAspect="Content" ObjectID="_1468075728" r:id="rId13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>
      <w:r>
        <w:rPr>
          <w:rFonts w:hint="eastAsia"/>
        </w:rPr>
        <w:t>式中：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31" o:spt="75" type="#_x0000_t75" style="height:16.6pt;width:24.9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1" DrawAspect="Content" ObjectID="_1468075729" r:id="rId1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2" o:spt="75" type="#_x0000_t75" style="height:13.3pt;width:20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2" DrawAspect="Content" ObjectID="_1468075730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3" o:spt="75" type="#_x0000_t75" style="height:16.05pt;width:2.7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4" o:spt="75" type="#_x0000_t75" style="height:16.05pt;width:2.7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5" o:spt="75" type="#_x0000_t75" style="height:16.05pt;width:5.5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6" o:spt="75" type="#_x0000_t75" style="height:16.05pt;width:5.5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7" o:spt="75" type="#_x0000_t75" style="height:13.3pt;width:22.1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7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8" o:spt="75" type="#_x0000_t75" style="height:16.05pt;width:2.7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9" o:spt="75" type="#_x0000_t75" style="height:16.05pt;width:2.7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6.05pt;width:5.5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41" o:spt="75" type="#_x0000_t75" style="height:16.05pt;width:5.5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2" o:spt="75" type="#_x0000_t75" style="height:13.3pt;width:13.3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2" DrawAspect="Content" ObjectID="_1468075732" r:id="rId2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3.3pt;width:14.9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3" DrawAspect="Content" ObjectID="_1468075733" r:id="rId2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4" o:spt="75" type="#_x0000_t75" style="height:13.3pt;width:20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4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5" o:spt="75" type="#_x0000_t75" style="height:13.3pt;width:13.3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5" DrawAspect="Content" ObjectID="_1468075735" r:id="rId2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6" o:spt="75" type="#_x0000_t75" style="height:13.3pt;width:14.9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6" DrawAspect="Content" ObjectID="_1468075736" r:id="rId31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7" o:spt="75" type="#_x0000_t75" style="height:13.3pt;width:13.3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7" DrawAspect="Content" ObjectID="_1468075737" r:id="rId3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33.8pt;width:117.9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8" DrawAspect="Content" ObjectID="_1468075738" r:id="rId35">
            <o:LockedField>false</o:LockedField>
          </o:OLEObject>
        </w:objec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9" o:spt="75" type="#_x0000_t75" style="height:18.3pt;width:13.3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9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0" o:spt="75" type="#_x0000_t75" style="height:18.3pt;width:8.8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50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1" o:spt="75" type="#_x0000_t75" style="height:18.3pt;width:10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51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2" o:spt="75" type="#_x0000_t75" style="height:18.3pt;width:14.9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2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3" o:spt="75" type="#_x0000_t75" style="height:18.3pt;width:13.3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53" DrawAspect="Content" ObjectID="_1468075743" r:id="rId4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4" o:spt="75" type="#_x0000_t75" style="height:19.4pt;width:19.4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54" DrawAspect="Content" ObjectID="_1468075744" r:id="rId4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pStyle w:val="2"/>
        <w:spacing w:line="240" w:lineRule="atLeast"/>
      </w:pPr>
      <w:bookmarkStart w:id="47" w:name="_Toc480186064"/>
      <w:bookmarkStart w:id="48" w:name="_Toc480218448"/>
      <w:bookmarkStart w:id="49" w:name="_Toc155355440"/>
      <w:bookmarkStart w:id="50" w:name="_Toc480186126"/>
      <w:r>
        <w:rPr>
          <w:rFonts w:hint="eastAsia"/>
        </w:rPr>
        <w:t>防潮验算</w:t>
      </w:r>
      <w:r>
        <w:t>计算过程</w:t>
      </w:r>
      <w:bookmarkEnd w:id="47"/>
      <w:bookmarkEnd w:id="48"/>
      <w:bookmarkEnd w:id="49"/>
      <w:bookmarkEnd w:id="50"/>
    </w:p>
    <w:p>
      <w:pPr>
        <w:pStyle w:val="4"/>
        <w:spacing w:line="240" w:lineRule="atLeast"/>
        <w:rPr>
          <w:kern w:val="2"/>
        </w:rPr>
      </w:pPr>
      <w:bookmarkStart w:id="51" w:name="_Toc155355441"/>
      <w:r>
        <w:rPr>
          <w:rFonts w:hint="eastAsia"/>
          <w:kern w:val="2"/>
        </w:rPr>
        <w:t>计算条件</w:t>
      </w:r>
      <w:bookmarkEnd w:id="51"/>
    </w:p>
    <w:tbl>
      <w:tblPr>
        <w:tblStyle w:val="20"/>
        <w:tblW w:w="932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5" o:spt="75" type="#_x0000_t75" style="height:13.3pt;width:13.3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45" r:id="rId49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>
              <w:fldChar w:fldCharType="begin"/>
            </w:r>
            <w:r>
              <w:instrText xml:space="preserve"> QUOTE </w:instrText>
            </w:r>
            <w:r>
              <w:rPr>
                <w:position w:val="-8"/>
              </w:rPr>
              <w:pict>
                <v:shape id="_x0000_i1056" o:spt="75" type="#_x0000_t75" style="height:16.05pt;width:2.7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instrText xml:space="preserve"> </w:instrText>
            </w:r>
            <w:r>
              <w:fldChar w:fldCharType="separate"/>
            </w:r>
            <w:r>
              <w:rPr>
                <w:position w:val="-8"/>
              </w:rPr>
              <w:pict>
                <v:shape id="_x0000_i1057" o:spt="75" type="#_x0000_t75" style="height:16.05pt;width:2.7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fldChar w:fldCharType="end"/>
            </w:r>
            <w:r>
              <w:rPr>
                <w:rFonts w:hint="eastAsia"/>
              </w:rPr>
              <w:t>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hint="eastAsia" w:ascii="宋体" w:hAnsi="宋体" w:cs="宋体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2" w:name="t_i_avg"/>
            <w:r>
              <w:rPr>
                <w:rFonts w:hint="eastAsia"/>
              </w:rPr>
              <w:t>18</w:t>
            </w:r>
            <w:bookmarkEnd w:id="52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室内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3" w:name="室内相对湿度"/>
            <w:r>
              <w:rPr>
                <w:rFonts w:hint="eastAsia"/>
              </w:rPr>
              <w:t>60</w:t>
            </w:r>
            <w:bookmarkEnd w:id="53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8" o:spt="75" type="#_x0000_t75" style="height:17.7pt;width:9.9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46" r:id="rId51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4" w:name="t_e_avg"/>
            <w:r>
              <w:rPr>
                <w:rFonts w:hint="eastAsia"/>
              </w:rPr>
              <w:t>4.50</w:t>
            </w:r>
            <w:bookmarkEnd w:id="54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室外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bookmarkStart w:id="55" w:name="室外相对湿度"/>
            <w:r>
              <w:rPr>
                <w:rFonts w:hint="eastAsia"/>
              </w:rPr>
              <w:t>73.00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bookmarkStart w:id="56" w:name="Z"/>
            <w:r>
              <w:rPr>
                <w:rFonts w:hint="eastAsia"/>
              </w:rPr>
              <w:t>25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>
      <w:r>
        <w:rPr>
          <w:rFonts w:hint="eastAsia"/>
        </w:rPr>
        <w:t xml:space="preserve"> </w:t>
      </w:r>
      <w:bookmarkStart w:id="57" w:name="气象数据参考"/>
      <w:bookmarkEnd w:id="57"/>
    </w:p>
    <w:p>
      <w:pPr>
        <w:pStyle w:val="3"/>
        <w:ind w:left="0" w:leftChars="0" w:right="1470"/>
      </w:pPr>
    </w:p>
    <w:p>
      <w:pPr>
        <w:pStyle w:val="4"/>
        <w:spacing w:line="240" w:lineRule="atLeast"/>
        <w:rPr>
          <w:kern w:val="2"/>
        </w:rPr>
      </w:pPr>
      <w:bookmarkStart w:id="58" w:name="_Toc155355442"/>
      <w:r>
        <w:rPr>
          <w:rFonts w:hint="eastAsia"/>
          <w:kern w:val="2"/>
        </w:rPr>
        <w:t>外墙构造一</w:t>
      </w:r>
      <w:bookmarkEnd w:id="58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抗裂砂浆（玻纤网）</w:t>
            </w:r>
          </w:p>
        </w:tc>
        <w:tc>
          <w:tcPr>
            <w:tcW w:w="848" w:type="dxa"/>
            <w:vAlign w:val="center"/>
          </w:tcPr>
          <w:p>
            <w:r>
              <w:t>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岩棉板(用于外墙外保温)</w:t>
            </w:r>
          </w:p>
        </w:tc>
        <w:tc>
          <w:tcPr>
            <w:tcW w:w="848" w:type="dxa"/>
            <w:vAlign w:val="center"/>
          </w:tcPr>
          <w:p>
            <w:r>
              <w:t>35</w:t>
            </w:r>
          </w:p>
        </w:tc>
        <w:tc>
          <w:tcPr>
            <w:tcW w:w="1075" w:type="dxa"/>
            <w:vAlign w:val="center"/>
          </w:tcPr>
          <w:p>
            <w:r>
              <w:t>0.040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140.00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0.875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蒸压加气混凝土砌块（B07）</w:t>
            </w:r>
          </w:p>
        </w:tc>
        <w:tc>
          <w:tcPr>
            <w:tcW w:w="848" w:type="dxa"/>
            <w:vAlign w:val="center"/>
          </w:tcPr>
          <w:p>
            <w:r>
              <w:t>240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671" w:type="dxa"/>
            <w:vAlign w:val="center"/>
          </w:tcPr>
          <w:p>
            <w:r>
              <w:t>1.25</w:t>
            </w:r>
          </w:p>
        </w:tc>
        <w:tc>
          <w:tcPr>
            <w:tcW w:w="992" w:type="dxa"/>
            <w:vAlign w:val="center"/>
          </w:tcPr>
          <w:p>
            <w:r>
              <w:t>700.00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1.067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聚合物水泥石灰砂浆</w:t>
            </w:r>
          </w:p>
        </w:tc>
        <w:tc>
          <w:tcPr>
            <w:tcW w:w="848" w:type="dxa"/>
            <w:vAlign w:val="center"/>
          </w:tcPr>
          <w:p>
            <w:r>
              <w:t>8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0.009</w:t>
            </w:r>
          </w:p>
        </w:tc>
      </w:tr>
    </w:tbl>
    <w:p>
      <w:pPr>
        <w:pStyle w:val="3"/>
        <w:ind w:left="1470" w:right="1470"/>
      </w:pPr>
    </w:p>
    <w:p>
      <w:pPr>
        <w:pStyle w:val="5"/>
      </w:pPr>
      <w:bookmarkStart w:id="59" w:name="_Toc155355443"/>
      <w:r>
        <w:rPr>
          <w:rFonts w:hint="eastAsia"/>
        </w:rPr>
        <w:t>冷凝计算界面至围护结构内表面之间的热阻</w:t>
      </w:r>
      <w:bookmarkEnd w:id="59"/>
      <w:r>
        <w:object>
          <v:shape id="_x0000_i1059" o:spt="75" type="#_x0000_t75" style="height:13.3pt;width:18.8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59" DrawAspect="Content" ObjectID="_1468075747" r:id="rId53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60" o:spt="75" type="#_x0000_t75" style="height:13.3pt;width:18.8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60" DrawAspect="Content" ObjectID="_1468075748" r:id="rId54">
            <o:LockedField>false</o:LockedField>
          </o:OLEObject>
        </w:object>
      </w:r>
      <w:r>
        <w:rPr>
          <w:b/>
          <w:bCs/>
        </w:rPr>
        <w:t>=</w:t>
      </w:r>
      <w:r>
        <w:rPr>
          <w:rFonts w:hint="eastAsia"/>
        </w:rPr>
        <w:t>-</w:t>
      </w:r>
    </w:p>
    <w:p>
      <w:pPr>
        <w:pStyle w:val="5"/>
        <w:ind w:right="1470"/>
      </w:pPr>
      <w:bookmarkStart w:id="60" w:name="_Toc155355444"/>
      <w:r>
        <w:rPr>
          <w:rFonts w:hint="eastAsia"/>
        </w:rPr>
        <w:t>冷凝计算界面温度</w:t>
      </w:r>
      <w:bookmarkEnd w:id="60"/>
      <w:r>
        <w:rPr>
          <w:position w:val="-6"/>
        </w:rPr>
        <w:object>
          <v:shape id="_x0000_i1061" o:spt="75" type="#_x0000_t75" style="height:13.3pt;width:13.3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61" DrawAspect="Content" ObjectID="_1468075749" r:id="rId55">
            <o:LockedField>false</o:LockedField>
          </o:OLEObject>
        </w:object>
      </w:r>
    </w:p>
    <w:p>
      <w:pPr>
        <w:jc w:val="center"/>
      </w:pPr>
      <w:r>
        <w:object>
          <v:shape id="_x0000_i1062" o:spt="75" type="#_x0000_t75" style="height:33.25pt;width:111.9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62" DrawAspect="Content" ObjectID="_1468075750" r:id="rId56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63" o:spt="75" type="#_x0000_t75" style="height:13.3pt;width:13.3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63" DrawAspect="Content" ObjectID="_1468075751" r:id="rId58">
            <o:LockedField>false</o:LockedField>
          </o:OLEObject>
        </w:object>
      </w:r>
      <w:r>
        <w:t>=</w:t>
      </w:r>
      <w:r>
        <w:rPr>
          <w:rFonts w:hint="eastAsia"/>
        </w:rPr>
        <w:t>-</w:t>
      </w:r>
    </w:p>
    <w:p>
      <w:pPr>
        <w:pStyle w:val="5"/>
        <w:ind w:right="1470"/>
      </w:pPr>
      <w:bookmarkStart w:id="61" w:name="_Toc155355445"/>
      <w:r>
        <w:rPr>
          <w:rStyle w:val="32"/>
          <w:rFonts w:hint="eastAsia"/>
          <w:b/>
          <w:bCs w:val="0"/>
        </w:rPr>
        <w:t>围护结构冷凝受潮验算</w:t>
      </w:r>
      <w:bookmarkEnd w:id="61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64" o:spt="75" type="#_x0000_t75" style="height:13.3pt;width:20.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65" o:spt="75" type="#_x0000_t75" style="height:13.3pt;width:20.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6.05pt;width:2.7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7" o:spt="75" type="#_x0000_t75" style="height:16.05pt;width:2.7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6.05pt;width:5.5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9" o:spt="75" type="#_x0000_t75" style="height:16.05pt;width:5.5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0" o:spt="75" type="#_x0000_t75" style="height:13.3pt;width:22.1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1" o:spt="75" type="#_x0000_t75" style="height:13.3pt;width:22.1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2" o:spt="75" type="#_x0000_t75" style="height:16.05pt;width:2.7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3" o:spt="75" type="#_x0000_t75" style="height:16.05pt;width:2.7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4" o:spt="75" type="#_x0000_t75" style="height:16.05pt;width:5.5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5" o:spt="75" type="#_x0000_t75" style="height:16.05pt;width:5.5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6" o:spt="75" type="#_x0000_t75" style="height:13.3pt;width:13.3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7" o:spt="75" type="#_x0000_t75" style="height:13.3pt;width:13.3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8" o:spt="75" type="#_x0000_t75" style="height:13.3pt;width:14.9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9" o:spt="75" type="#_x0000_t75" style="height:13.3pt;width:14.9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59" r:id="rId66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615.03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80" o:spt="75" type="#_x0000_t75" style="height:13.3pt;width:20.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0" r:id="rId6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81" o:spt="75" type="#_x0000_t75" style="height:13.3pt;width:20.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1" r:id="rId68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82" o:spt="75" type="#_x0000_t75" style="height:13.3pt;width:13.3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2" r:id="rId69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object>
                <v:shape id="_x0000_i1083" o:spt="75" type="#_x0000_t75" style="height:13.3pt;width:14.9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4" o:spt="75" type="#_x0000_t75" style="height:13.3pt;width:14.9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object>
                <v:shape id="_x0000_i1085" o:spt="75" type="#_x0000_t75" style="height:13.3pt;width:13.3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object>
                <v:shape id="_x0000_i1086" o:spt="75" type="#_x0000_t75" style="height:13.3pt;width:13.3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66" r:id="rId73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object>
                <v:shape id="_x0000_i1087" o:spt="75" type="#_x0000_t75" style="height:43.75pt;width:142.3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67" r:id="rId74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8" o:spt="75" type="#_x0000_t75" style="height:16.6pt;width:24.9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68" r:id="rId7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=5.00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62" w:name="构造ID"/>
      <w:bookmarkStart w:id="63" w:name="_Toc155355446"/>
      <w:bookmarkStart w:id="64" w:name="DataTab"/>
      <w:r>
        <w:rPr>
          <w:rFonts w:hint="eastAsia"/>
          <w:kern w:val="2"/>
        </w:rPr>
        <w:t>阳台隔墙构造一</w:t>
      </w:r>
      <w:bookmarkEnd w:id="62"/>
      <w:bookmarkEnd w:id="63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bookmarkStart w:id="65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1.20</w:t>
            </w:r>
          </w:p>
        </w:tc>
        <w:tc>
          <w:tcPr>
            <w:tcW w:w="992" w:type="dxa"/>
            <w:vAlign w:val="center"/>
          </w:tcPr>
          <w:p>
            <w:r>
              <w:t>35.00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0.556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0.115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1600.00</w:t>
            </w:r>
          </w:p>
        </w:tc>
        <w:tc>
          <w:tcPr>
            <w:tcW w:w="1559" w:type="dxa"/>
            <w:vAlign w:val="center"/>
          </w:tcPr>
          <w:p>
            <w:r>
              <w:t>0.0443</w:t>
            </w:r>
          </w:p>
        </w:tc>
        <w:tc>
          <w:tcPr>
            <w:tcW w:w="993" w:type="dxa"/>
            <w:vAlign w:val="center"/>
          </w:tcPr>
          <w:p>
            <w:r>
              <w:t>0.025</w:t>
            </w:r>
          </w:p>
        </w:tc>
      </w:tr>
      <w:bookmarkEnd w:id="65"/>
    </w:tbl>
    <w:p>
      <w:pPr>
        <w:pStyle w:val="3"/>
        <w:ind w:left="1470" w:right="1470"/>
      </w:pPr>
    </w:p>
    <w:p>
      <w:pPr>
        <w:pStyle w:val="5"/>
      </w:pPr>
      <w:bookmarkStart w:id="66" w:name="_Toc155355447"/>
      <w:r>
        <w:rPr>
          <w:rFonts w:hint="eastAsia"/>
        </w:rPr>
        <w:t>冷凝计算界面至围护结构内表面之间的热阻</w:t>
      </w:r>
      <w:r>
        <w:pict>
          <v:shape id="_x0000_i1089" o:spt="75" type="#_x0000_t75" style="height:13.3pt;width:18.8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End w:id="66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90" o:spt="75" type="#_x0000_t75" style="height:13.3pt;width:18.8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bookmarkStart w:id="67" w:name="R_o_i"/>
      <w:r>
        <w:rPr>
          <w:rFonts w:hint="eastAsia"/>
        </w:rPr>
        <w:t>0.72</w:t>
      </w:r>
      <w:bookmarkEnd w:id="67"/>
    </w:p>
    <w:p>
      <w:pPr>
        <w:pStyle w:val="5"/>
        <w:ind w:right="1470"/>
      </w:pPr>
      <w:bookmarkStart w:id="68" w:name="_Toc155355448"/>
      <w:r>
        <w:rPr>
          <w:rFonts w:hint="eastAsia"/>
        </w:rPr>
        <w:t>冷凝计算界面温度</w:t>
      </w:r>
      <w:r>
        <w:rPr>
          <w:position w:val="-6"/>
        </w:rPr>
        <w:pict>
          <v:shape id="_x0000_i1091" o:spt="75" type="#_x0000_t75" style="height:13.3pt;width:13.3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68"/>
    </w:p>
    <w:p>
      <w:pPr>
        <w:jc w:val="center"/>
      </w:pPr>
      <w:r>
        <w:pict>
          <v:shape id="_x0000_i1092" o:spt="75" type="#_x0000_t75" style="height:33.25pt;width:111.9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93" o:spt="75" type="#_x0000_t75" style="height:13.3pt;width:13.3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=</w:t>
      </w:r>
      <w:bookmarkStart w:id="69" w:name="θ_c"/>
      <w:r>
        <w:rPr>
          <w:rFonts w:hint="eastAsia"/>
        </w:rPr>
        <w:t>5.57</w:t>
      </w:r>
      <w:bookmarkEnd w:id="69"/>
    </w:p>
    <w:p>
      <w:pPr>
        <w:pStyle w:val="5"/>
        <w:ind w:right="1470"/>
      </w:pPr>
      <w:bookmarkStart w:id="70" w:name="_Toc155355449"/>
      <w:r>
        <w:rPr>
          <w:rStyle w:val="32"/>
          <w:rFonts w:hint="eastAsia"/>
          <w:b/>
          <w:bCs w:val="0"/>
        </w:rPr>
        <w:t>围护结构冷凝受潮验算</w:t>
      </w:r>
      <w:bookmarkEnd w:id="70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94" o:spt="75" type="#_x0000_t75" style="height:13.3pt;width:20.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095" o:spt="75" type="#_x0000_t75" style="height:13.3pt;width:20.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6.05pt;width:2.7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7" o:spt="75" type="#_x0000_t75" style="height:16.05pt;width:2.7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6.05pt;width:5.5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9" o:spt="75" type="#_x0000_t75" style="height:16.05pt;width:5.5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1" w:name="H_o_i"/>
            <w:r>
              <w:rPr>
                <w:rFonts w:hint="eastAsia"/>
              </w:rPr>
              <w:t>14062.08</w:t>
            </w:r>
            <w:bookmarkEnd w:id="71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0" o:spt="75" type="#_x0000_t75" style="height:13.3pt;width:22.15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1" o:spt="75" type="#_x0000_t75" style="height:13.3pt;width:22.15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2" o:spt="75" type="#_x0000_t75" style="height:16.05pt;width:2.7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3" o:spt="75" type="#_x0000_t75" style="height:16.05pt;width:2.7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4" o:spt="75" type="#_x0000_t75" style="height:16.05pt;width:5.5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5" o:spt="75" type="#_x0000_t75" style="height:16.05pt;width:5.5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2" w:name="H_o_e"/>
            <w:r>
              <w:rPr>
                <w:rFonts w:hint="eastAsia"/>
              </w:rPr>
              <w:t>952.38</w:t>
            </w:r>
            <w:bookmarkEnd w:id="72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6" o:spt="75" type="#_x0000_t75" style="height:13.3pt;width:13.3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7" o:spt="75" type="#_x0000_t75" style="height:13.3pt;width:13.3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3" w:name="Pi"/>
            <w:r>
              <w:rPr>
                <w:rFonts w:hint="eastAsia"/>
              </w:rPr>
              <w:t>1237.20</w:t>
            </w:r>
            <w:bookmarkEnd w:id="73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8" o:spt="75" type="#_x0000_t75" style="height:13.3pt;width:14.9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9" o:spt="75" type="#_x0000_t75" style="height:13.3pt;width:14.9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4" w:name="Pe"/>
            <w:r>
              <w:rPr>
                <w:rFonts w:hint="eastAsia"/>
              </w:rPr>
              <w:t>615.03</w:t>
            </w:r>
            <w:bookmarkEnd w:id="74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10" o:spt="75" type="#_x0000_t75" style="height:13.3pt;width:20.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11" o:spt="75" type="#_x0000_t75" style="height:13.3pt;width:20.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12" o:spt="75" type="#_x0000_t75" style="height:13.3pt;width:13.3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5" w:name="Psc"/>
            <w:r>
              <w:rPr>
                <w:rFonts w:hint="eastAsia"/>
              </w:rPr>
              <w:t>908.21</w:t>
            </w:r>
            <w:bookmarkEnd w:id="75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pict>
                <v:shape id="_x0000_i1113" o:spt="75" type="#_x0000_t75" style="height:13.3pt;width:14.9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14" o:spt="75" type="#_x0000_t75" style="height:13.3pt;width:14.9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6" w:name="ρ"/>
            <w:r>
              <w:rPr>
                <w:rFonts w:hint="eastAsia"/>
              </w:rPr>
              <w:t>35.00</w:t>
            </w:r>
            <w:bookmarkEnd w:id="76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pict>
                <v:shape id="_x0000_i1115" o:spt="75" type="#_x0000_t75" style="height:13.3pt;width:13.3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16" o:spt="75" type="#_x0000_t75" style="height:13.3pt;width:13.3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7" w:name="δi"/>
            <w:r>
              <w:rPr>
                <w:rFonts w:hint="eastAsia"/>
              </w:rPr>
              <w:t>0.02</w:t>
            </w:r>
            <w:bookmarkEnd w:id="77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pict>
                <v:shape id="_x0000_i1117" o:spt="75" type="#_x0000_t75" style="height:43.75pt;width:142.3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18" o:spt="75" type="#_x0000_t75" style="height:16.6pt;width:24.9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8" w:name="ω_l"/>
            <w:r>
              <w:rPr>
                <w:rFonts w:hint="eastAsia"/>
              </w:rPr>
              <w:t>0.00</w:t>
            </w:r>
            <w:bookmarkEnd w:id="78"/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9" w:name="ω"/>
            <w:r>
              <w:rPr>
                <w:rFonts w:hint="eastAsia"/>
              </w:rPr>
              <w:t>10.00</w:t>
            </w:r>
            <w:bookmarkEnd w:id="79"/>
          </w:p>
        </w:tc>
      </w:tr>
    </w:tbl>
    <w:p>
      <w:pPr>
        <w:widowControl/>
        <w:jc w:val="left"/>
      </w:pPr>
    </w:p>
    <w:bookmarkEnd w:id="64"/>
    <w:p>
      <w:pPr>
        <w:pStyle w:val="2"/>
      </w:pPr>
      <w:bookmarkStart w:id="80" w:name="_Toc155355450"/>
      <w:r>
        <w:t>验算结论</w:t>
      </w:r>
      <w:bookmarkEnd w:id="80"/>
    </w:p>
    <w:tbl>
      <w:tblPr>
        <w:tblStyle w:val="20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3113"/>
        <w:gridCol w:w="1811"/>
        <w:gridCol w:w="1811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>
            <w:r>
              <w:t>增量限值(%)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>
            <w:r>
              <w:t>实际增量(%)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外墙</w:t>
            </w:r>
          </w:p>
        </w:tc>
        <w:tc>
          <w:tcPr>
            <w:tcW w:w="3112" w:type="dxa"/>
            <w:vAlign w:val="center"/>
          </w:tcPr>
          <w:p>
            <w:r>
              <w:t>外墙构造一</w:t>
            </w:r>
          </w:p>
        </w:tc>
        <w:tc>
          <w:tcPr>
            <w:tcW w:w="1811" w:type="dxa"/>
            <w:vAlign w:val="center"/>
          </w:tcPr>
          <w:p>
            <w:r>
              <w:t>5</w:t>
            </w:r>
          </w:p>
        </w:tc>
        <w:tc>
          <w:tcPr>
            <w:tcW w:w="1811" w:type="dxa"/>
            <w:vAlign w:val="center"/>
          </w:tcPr>
          <w:p>
            <w:r>
              <w:t>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阳台隔墙</w:t>
            </w:r>
          </w:p>
        </w:tc>
        <w:tc>
          <w:tcPr>
            <w:tcW w:w="3112" w:type="dxa"/>
            <w:vAlign w:val="center"/>
          </w:tcPr>
          <w:p>
            <w:r>
              <w:t>阳台隔墙构造一</w:t>
            </w:r>
          </w:p>
        </w:tc>
        <w:tc>
          <w:tcPr>
            <w:tcW w:w="1811" w:type="dxa"/>
            <w:vAlign w:val="center"/>
          </w:tcPr>
          <w:p>
            <w:r>
              <w:t>10</w:t>
            </w:r>
          </w:p>
        </w:tc>
        <w:tc>
          <w:tcPr>
            <w:tcW w:w="1811" w:type="dxa"/>
            <w:vAlign w:val="center"/>
          </w:tcPr>
          <w:p>
            <w:r>
              <w:t>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</w:tbl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</w:pPr>
    <w: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图片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lNjBkYjBmZDEyNDU4NWQzMjBkOWRlMTBhOWRlZTIifQ=="/>
  </w:docVars>
  <w:rsids>
    <w:rsidRoot w:val="00DA70BB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64A7E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16FF8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801D5"/>
    <w:rsid w:val="00D92904"/>
    <w:rsid w:val="00D92A2B"/>
    <w:rsid w:val="00DA48B1"/>
    <w:rsid w:val="00DA70BB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  <w:rsid w:val="12A2274A"/>
    <w:rsid w:val="1F6E1F30"/>
    <w:rsid w:val="4815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autoRedefine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autoRedefine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autoRedefine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ind w:left="840" w:leftChars="400"/>
    </w:pPr>
  </w:style>
  <w:style w:type="paragraph" w:styleId="14">
    <w:name w:val="Balloon Text"/>
    <w:basedOn w:val="1"/>
    <w:link w:val="42"/>
    <w:uiPriority w:val="0"/>
    <w:rPr>
      <w:sz w:val="18"/>
      <w:szCs w:val="18"/>
    </w:rPr>
  </w:style>
  <w:style w:type="paragraph" w:styleId="15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iPriority w:val="39"/>
    <w:rPr>
      <w:b/>
    </w:rPr>
  </w:style>
  <w:style w:type="paragraph" w:styleId="18">
    <w:name w:val="toc 2"/>
    <w:basedOn w:val="1"/>
    <w:next w:val="1"/>
    <w:autoRedefine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uiPriority w:val="0"/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页眉 字符1"/>
    <w:link w:val="16"/>
    <w:uiPriority w:val="0"/>
    <w:rPr>
      <w:kern w:val="2"/>
      <w:sz w:val="18"/>
      <w:szCs w:val="18"/>
    </w:rPr>
  </w:style>
  <w:style w:type="character" w:customStyle="1" w:styleId="26">
    <w:name w:val="页脚 字符1"/>
    <w:link w:val="15"/>
    <w:uiPriority w:val="99"/>
    <w:rPr>
      <w:kern w:val="2"/>
      <w:sz w:val="18"/>
      <w:szCs w:val="18"/>
    </w:rPr>
  </w:style>
  <w:style w:type="character" w:customStyle="1" w:styleId="27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字符"/>
    <w:link w:val="19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uiPriority w:val="0"/>
    <w:rPr>
      <w:b/>
      <w:bCs/>
      <w:kern w:val="44"/>
      <w:sz w:val="44"/>
      <w:szCs w:val="44"/>
    </w:rPr>
  </w:style>
  <w:style w:type="character" w:customStyle="1" w:styleId="31">
    <w:name w:val="标题 2 字符1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字符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字符"/>
    <w:link w:val="6"/>
    <w:uiPriority w:val="0"/>
    <w:rPr>
      <w:b/>
      <w:bCs/>
      <w:sz w:val="21"/>
      <w:szCs w:val="28"/>
      <w:lang w:val="en-GB"/>
    </w:rPr>
  </w:style>
  <w:style w:type="character" w:customStyle="1" w:styleId="34">
    <w:name w:val="标题 5 字符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字符"/>
    <w:link w:val="8"/>
    <w:uiPriority w:val="0"/>
    <w:rPr>
      <w:b/>
      <w:bCs/>
      <w:sz w:val="21"/>
      <w:szCs w:val="22"/>
      <w:lang w:val="en-GB"/>
    </w:rPr>
  </w:style>
  <w:style w:type="character" w:customStyle="1" w:styleId="36">
    <w:name w:val="标题 7 字符"/>
    <w:link w:val="9"/>
    <w:uiPriority w:val="0"/>
    <w:rPr>
      <w:sz w:val="24"/>
      <w:szCs w:val="24"/>
      <w:lang w:val="en-GB"/>
    </w:rPr>
  </w:style>
  <w:style w:type="character" w:customStyle="1" w:styleId="37">
    <w:name w:val="标题 8 字符"/>
    <w:link w:val="10"/>
    <w:uiPriority w:val="0"/>
    <w:rPr>
      <w:i/>
      <w:iCs/>
      <w:sz w:val="24"/>
      <w:szCs w:val="24"/>
      <w:lang w:val="en-GB"/>
    </w:rPr>
  </w:style>
  <w:style w:type="character" w:customStyle="1" w:styleId="38">
    <w:name w:val="标题 9 字符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字符"/>
    <w:link w:val="2"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字符"/>
    <w:link w:val="14"/>
    <w:uiPriority w:val="0"/>
    <w:rPr>
      <w:kern w:val="2"/>
      <w:sz w:val="18"/>
      <w:szCs w:val="18"/>
    </w:rPr>
  </w:style>
  <w:style w:type="character" w:styleId="43">
    <w:name w:val="Placeholder Text"/>
    <w:semiHidden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8" Type="http://schemas.openxmlformats.org/officeDocument/2006/relationships/fontTable" Target="fontTable.xml"/><Relationship Id="rId77" Type="http://schemas.openxmlformats.org/officeDocument/2006/relationships/customXml" Target="../customXml/item1.xml"/><Relationship Id="rId76" Type="http://schemas.openxmlformats.org/officeDocument/2006/relationships/numbering" Target="numbering.xml"/><Relationship Id="rId75" Type="http://schemas.openxmlformats.org/officeDocument/2006/relationships/oleObject" Target="embeddings/oleObject44.bin"/><Relationship Id="rId74" Type="http://schemas.openxmlformats.org/officeDocument/2006/relationships/oleObject" Target="embeddings/oleObject43.bin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png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oleObject" Target="embeddings/oleObject25.bin"/><Relationship Id="rId54" Type="http://schemas.openxmlformats.org/officeDocument/2006/relationships/oleObject" Target="embeddings/oleObject24.bin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TTT\AppData\Local\Temp\tmp1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tmp10</Template>
  <Pages>7</Pages>
  <Words>809</Words>
  <Characters>4616</Characters>
  <Lines>38</Lines>
  <Paragraphs>10</Paragraphs>
  <TotalTime>1</TotalTime>
  <ScaleCrop>false</ScaleCrop>
  <LinksUpToDate>false</LinksUpToDate>
  <CharactersWithSpaces>5415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2024-01-05T05:57:00Z</dcterms:created>
  <dc:creator>徐婷</dc:creator>
  <cp:lastModifiedBy>WPS_1603122268</cp:lastModifiedBy>
  <dcterms:modified xsi:type="dcterms:W3CDTF">2024-01-08T08:58:21Z</dcterms:modified>
  <dc:title>防潮验算计算书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2052-12.1.0.16120</vt:lpwstr>
  </property>
  <property fmtid="{D5CDD505-2E9C-101B-9397-08002B2CF9AE}" pid="4" name="ICV">
    <vt:lpwstr>60412EDF61E6444BA259EFC9B1C88C94_12</vt:lpwstr>
  </property>
</Properties>
</file>