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可再生能源利用分析报告</w:t>
      </w:r>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光伏发电</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22"/>
              <w:tabs>
                <w:tab w:val="clear" w:pos="4153"/>
                <w:tab w:val="clear" w:pos="8306"/>
              </w:tabs>
              <w:snapToGrid/>
              <w:jc w:val="center"/>
              <w:rPr>
                <w:rFonts w:ascii="宋体" w:hAnsi="宋体"/>
                <w:szCs w:val="21"/>
              </w:rPr>
            </w:pPr>
            <w:bookmarkStart w:id="0" w:name="项目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cente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jc w:val="cente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jc w:val="cente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jc w:val="center"/>
              <w:rPr>
                <w:rFonts w:ascii="宋体" w:hAnsi="宋体"/>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jc w:val="center"/>
              <w:rPr>
                <w:rFonts w:ascii="宋体" w:hAnsi="宋体"/>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jc w:val="center"/>
              <w:rPr>
                <w:rFonts w:ascii="宋体" w:hAnsi="宋体"/>
                <w:szCs w:val="21"/>
              </w:rPr>
            </w:pPr>
            <w:bookmarkStart w:id="6" w:name="报告日期"/>
            <w:r>
              <w:t>2024年03月13日</w:t>
            </w:r>
            <w:bookmarkEnd w:id="6"/>
          </w:p>
        </w:tc>
      </w:tr>
    </w:tbl>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30"/>
          <w:szCs w:val="32"/>
        </w:rPr>
      </w:pPr>
      <w:bookmarkStart w:id="7" w:name="二维码"/>
      <w:bookmarkEnd w:id="7"/>
      <w:r>
        <w:drawing>
          <wp:inline distT="0" distB="0" distL="0" distR="0">
            <wp:extent cx="1514475" cy="15144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6"/>
                    <a:stretch>
                      <a:fillRect/>
                    </a:stretch>
                  </pic:blipFill>
                  <pic:spPr>
                    <a:xfrm>
                      <a:off x="0" y="0"/>
                      <a:ext cx="1514634" cy="1514634"/>
                    </a:xfrm>
                    <a:prstGeom prst="rect">
                      <a:avLst/>
                    </a:prstGeom>
                  </pic:spPr>
                </pic:pic>
              </a:graphicData>
            </a:graphic>
          </wp:inline>
        </w:drawing>
      </w:r>
    </w:p>
    <w:p>
      <w:pPr>
        <w:jc w:val="center"/>
        <w:rPr>
          <w:rFonts w:ascii="宋体" w:hAnsi="宋体"/>
          <w:b/>
          <w:bCs/>
          <w:sz w:val="30"/>
          <w:szCs w:val="32"/>
        </w:rPr>
      </w:pPr>
    </w:p>
    <w:p>
      <w:pPr>
        <w:jc w:val="center"/>
        <w:rPr>
          <w:rFonts w:ascii="宋体" w:hAnsi="宋体"/>
          <w:b/>
          <w:bCs/>
          <w:sz w:val="28"/>
          <w:szCs w:val="28"/>
        </w:rPr>
      </w:pPr>
    </w:p>
    <w:p>
      <w:pPr>
        <w:jc w:val="center"/>
        <w:rPr>
          <w:rFonts w:ascii="宋体" w:hAnsi="宋体"/>
          <w:b/>
          <w:bCs/>
          <w:sz w:val="28"/>
          <w:szCs w:val="28"/>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pPr>
              <w:jc w:val="center"/>
              <w:rPr>
                <w:rFonts w:hint="default" w:eastAsia="宋体"/>
                <w:szCs w:val="21"/>
                <w:lang w:val="en-US" w:eastAsia="zh-CN"/>
              </w:rPr>
            </w:pPr>
            <w:r>
              <w:rPr>
                <w:rFonts w:hint="eastAsia"/>
                <w:szCs w:val="21"/>
                <w:lang w:val="en-US" w:eastAsia="zh-CN"/>
              </w:rPr>
              <w:t>BPV2023</w:t>
            </w:r>
            <w:bookmarkStart w:id="51" w:name="_GoBack"/>
            <w:bookmarkEnd w:id="5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软件版本</w:t>
            </w:r>
          </w:p>
        </w:tc>
        <w:tc>
          <w:tcPr>
            <w:tcW w:w="3780" w:type="dxa"/>
          </w:tcPr>
          <w:p>
            <w:pPr>
              <w:jc w:val="center"/>
              <w:rPr>
                <w:szCs w:val="21"/>
              </w:rPr>
            </w:pPr>
            <w:bookmarkStart w:id="8" w:name="版本日期"/>
            <w:r>
              <w:rPr>
                <w:szCs w:val="21"/>
              </w:rPr>
              <w:t>20220401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研发单位</w:t>
            </w:r>
          </w:p>
        </w:tc>
        <w:tc>
          <w:tcPr>
            <w:tcW w:w="3780" w:type="dxa"/>
          </w:tcPr>
          <w:p>
            <w:pPr>
              <w:jc w:val="center"/>
              <w:rPr>
                <w:szCs w:val="21"/>
              </w:rPr>
            </w:pPr>
            <w:r>
              <w:rPr>
                <w:rFonts w:hint="eastAsia"/>
                <w:szCs w:val="21"/>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rPr>
              <w:t>正版授权码</w:t>
            </w:r>
          </w:p>
        </w:tc>
        <w:tc>
          <w:tcPr>
            <w:tcW w:w="3780" w:type="dxa"/>
          </w:tcPr>
          <w:p>
            <w:pPr>
              <w:jc w:val="center"/>
            </w:pPr>
            <w:bookmarkStart w:id="9" w:name="正版授权码"/>
            <w:r>
              <w:t>T15087121763</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jc w:val="both"/>
              <w:rPr>
                <w:rFonts w:ascii="宋体" w:hAnsi="宋体"/>
                <w:szCs w:val="18"/>
              </w:rPr>
            </w:pPr>
            <w:r>
              <w:rPr>
                <w:rFonts w:hint="eastAsia" w:ascii="宋体" w:hAnsi="宋体"/>
                <w:szCs w:val="18"/>
              </w:rPr>
              <w:t>服务热线</w:t>
            </w:r>
          </w:p>
        </w:tc>
        <w:tc>
          <w:tcPr>
            <w:tcW w:w="3780" w:type="dxa"/>
          </w:tcPr>
          <w:p>
            <w:pPr>
              <w:jc w:val="center"/>
              <w:rPr>
                <w:szCs w:val="21"/>
              </w:rPr>
            </w:pPr>
            <w:r>
              <w:rPr>
                <w:rFonts w:hint="eastAsia"/>
                <w:color w:val="000000"/>
                <w:szCs w:val="21"/>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jc w:val="center"/>
      </w:pPr>
      <w:bookmarkStart w:id="10" w:name="目录"/>
      <w:r>
        <w:rPr>
          <w:rFonts w:hint="eastAsia"/>
        </w:rPr>
        <w:t>目  录</w:t>
      </w:r>
    </w:p>
    <w:p>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_Toc11702 </w:instrText>
      </w:r>
      <w:r>
        <w:rPr>
          <w:szCs w:val="28"/>
        </w:rPr>
        <w:fldChar w:fldCharType="separate"/>
      </w:r>
      <w:r>
        <w:rPr>
          <w:rFonts w:hint="eastAsia"/>
        </w:rPr>
        <w:t>1. 项目概况</w:t>
      </w:r>
      <w:r>
        <w:tab/>
      </w:r>
      <w:r>
        <w:fldChar w:fldCharType="begin"/>
      </w:r>
      <w:r>
        <w:instrText xml:space="preserve"> PAGEREF _Toc11702 \h </w:instrText>
      </w:r>
      <w:r>
        <w:fldChar w:fldCharType="separate"/>
      </w:r>
      <w:r>
        <w:t>3</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_Toc3855 </w:instrText>
      </w:r>
      <w:r>
        <w:rPr>
          <w:szCs w:val="28"/>
        </w:rPr>
        <w:fldChar w:fldCharType="separate"/>
      </w:r>
      <w:r>
        <w:rPr>
          <w:rFonts w:hint="eastAsia"/>
        </w:rPr>
        <w:t>2. 标准依据</w:t>
      </w:r>
      <w:r>
        <w:tab/>
      </w:r>
      <w:r>
        <w:fldChar w:fldCharType="begin"/>
      </w:r>
      <w:r>
        <w:instrText xml:space="preserve"> PAGEREF _Toc3855 \h </w:instrText>
      </w:r>
      <w:r>
        <w:fldChar w:fldCharType="separate"/>
      </w:r>
      <w:r>
        <w:t>3</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_Toc19511 </w:instrText>
      </w:r>
      <w:r>
        <w:rPr>
          <w:szCs w:val="28"/>
        </w:rPr>
        <w:fldChar w:fldCharType="separate"/>
      </w:r>
      <w:r>
        <w:rPr>
          <w:rFonts w:hint="eastAsia"/>
        </w:rPr>
        <w:t>3. 太阳能资源</w:t>
      </w:r>
      <w:r>
        <w:tab/>
      </w:r>
      <w:r>
        <w:fldChar w:fldCharType="begin"/>
      </w:r>
      <w:r>
        <w:instrText xml:space="preserve"> PAGEREF _Toc19511 \h </w:instrText>
      </w:r>
      <w:r>
        <w:fldChar w:fldCharType="separate"/>
      </w:r>
      <w:r>
        <w:t>3</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_Toc3985 </w:instrText>
      </w:r>
      <w:r>
        <w:rPr>
          <w:szCs w:val="28"/>
        </w:rPr>
        <w:fldChar w:fldCharType="separate"/>
      </w:r>
      <w:r>
        <w:rPr>
          <w:rFonts w:hint="eastAsia"/>
        </w:rPr>
        <w:t>4. 太阳能利用方案</w:t>
      </w:r>
      <w:r>
        <w:tab/>
      </w:r>
      <w:r>
        <w:fldChar w:fldCharType="begin"/>
      </w:r>
      <w:r>
        <w:instrText xml:space="preserve"> PAGEREF _Toc3985 \h </w:instrText>
      </w:r>
      <w:r>
        <w:fldChar w:fldCharType="separate"/>
      </w:r>
      <w:r>
        <w:t>4</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_Toc14783 </w:instrText>
      </w:r>
      <w:r>
        <w:rPr>
          <w:szCs w:val="28"/>
        </w:rPr>
        <w:fldChar w:fldCharType="separate"/>
      </w:r>
      <w:r>
        <w:rPr>
          <w:rFonts w:hint="eastAsia"/>
          <w:lang w:val="en-GB"/>
        </w:rPr>
        <w:t xml:space="preserve">4.1 </w:t>
      </w:r>
      <w:r>
        <w:rPr>
          <w:rFonts w:hint="eastAsia"/>
        </w:rPr>
        <w:t>软件选用</w:t>
      </w:r>
      <w:r>
        <w:tab/>
      </w:r>
      <w:r>
        <w:fldChar w:fldCharType="begin"/>
      </w:r>
      <w:r>
        <w:instrText xml:space="preserve"> PAGEREF _Toc14783 \h </w:instrText>
      </w:r>
      <w:r>
        <w:fldChar w:fldCharType="separate"/>
      </w:r>
      <w:r>
        <w:t>4</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_Toc28787 </w:instrText>
      </w:r>
      <w:r>
        <w:rPr>
          <w:szCs w:val="28"/>
        </w:rPr>
        <w:fldChar w:fldCharType="separate"/>
      </w:r>
      <w:r>
        <w:rPr>
          <w:rFonts w:hint="eastAsia"/>
          <w:lang w:val="en-GB"/>
        </w:rPr>
        <w:t xml:space="preserve">4.2 </w:t>
      </w:r>
      <w:r>
        <w:rPr>
          <w:rFonts w:hint="eastAsia"/>
        </w:rPr>
        <w:t>设计方案</w:t>
      </w:r>
      <w:r>
        <w:tab/>
      </w:r>
      <w:r>
        <w:fldChar w:fldCharType="begin"/>
      </w:r>
      <w:r>
        <w:instrText xml:space="preserve"> PAGEREF _Toc28787 \h </w:instrText>
      </w:r>
      <w:r>
        <w:fldChar w:fldCharType="separate"/>
      </w:r>
      <w:r>
        <w:t>4</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_Toc14033 </w:instrText>
      </w:r>
      <w:r>
        <w:rPr>
          <w:szCs w:val="28"/>
        </w:rPr>
        <w:fldChar w:fldCharType="separate"/>
      </w:r>
      <w:r>
        <w:rPr>
          <w:rFonts w:hint="eastAsia"/>
        </w:rPr>
        <w:t>5. 发电量计算</w:t>
      </w:r>
      <w:r>
        <w:tab/>
      </w:r>
      <w:r>
        <w:fldChar w:fldCharType="begin"/>
      </w:r>
      <w:r>
        <w:instrText xml:space="preserve"> PAGEREF _Toc14033 \h </w:instrText>
      </w:r>
      <w:r>
        <w:fldChar w:fldCharType="separate"/>
      </w:r>
      <w:r>
        <w:t>5</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_Toc17849 </w:instrText>
      </w:r>
      <w:r>
        <w:rPr>
          <w:szCs w:val="28"/>
        </w:rPr>
        <w:fldChar w:fldCharType="separate"/>
      </w:r>
      <w:r>
        <w:rPr>
          <w:rFonts w:hint="eastAsia"/>
          <w:lang w:val="en-GB"/>
        </w:rPr>
        <w:t xml:space="preserve">5.1 </w:t>
      </w:r>
      <w:r>
        <w:rPr>
          <w:rFonts w:hint="eastAsia"/>
        </w:rPr>
        <w:t>光伏系统参数</w:t>
      </w:r>
      <w:r>
        <w:tab/>
      </w:r>
      <w:r>
        <w:fldChar w:fldCharType="begin"/>
      </w:r>
      <w:r>
        <w:instrText xml:space="preserve"> PAGEREF _Toc17849 \h </w:instrText>
      </w:r>
      <w:r>
        <w:fldChar w:fldCharType="separate"/>
      </w:r>
      <w:r>
        <w:t>5</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_Toc20136 </w:instrText>
      </w:r>
      <w:r>
        <w:rPr>
          <w:szCs w:val="28"/>
        </w:rPr>
        <w:fldChar w:fldCharType="separate"/>
      </w:r>
      <w:r>
        <w:rPr>
          <w:rFonts w:hint="eastAsia"/>
          <w:lang w:val="en-GB"/>
        </w:rPr>
        <w:t xml:space="preserve">5.2 </w:t>
      </w:r>
      <w:r>
        <w:rPr>
          <w:rFonts w:hint="eastAsia"/>
        </w:rPr>
        <w:t>发电量</w:t>
      </w:r>
      <w:r>
        <w:tab/>
      </w:r>
      <w:r>
        <w:fldChar w:fldCharType="begin"/>
      </w:r>
      <w:r>
        <w:instrText xml:space="preserve"> PAGEREF _Toc20136 \h </w:instrText>
      </w:r>
      <w:r>
        <w:fldChar w:fldCharType="separate"/>
      </w:r>
      <w:r>
        <w:t>6</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_Toc16344 </w:instrText>
      </w:r>
      <w:r>
        <w:rPr>
          <w:szCs w:val="28"/>
        </w:rPr>
        <w:fldChar w:fldCharType="separate"/>
      </w:r>
      <w:r>
        <w:rPr>
          <w:rFonts w:hint="eastAsia"/>
        </w:rPr>
        <w:t>6. 结论</w:t>
      </w:r>
      <w:r>
        <w:tab/>
      </w:r>
      <w:r>
        <w:fldChar w:fldCharType="begin"/>
      </w:r>
      <w:r>
        <w:instrText xml:space="preserve"> PAGEREF _Toc16344 \h </w:instrText>
      </w:r>
      <w:r>
        <w:fldChar w:fldCharType="separate"/>
      </w:r>
      <w:r>
        <w:t>7</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p>
    <w:p>
      <w:pPr>
        <w:pStyle w:val="2"/>
        <w:ind w:left="432" w:hanging="432"/>
      </w:pPr>
      <w:r>
        <w:tab/>
      </w:r>
      <w:bookmarkStart w:id="11" w:name="_Toc512608176"/>
      <w:bookmarkStart w:id="12" w:name="_Toc11702"/>
      <w:r>
        <w:rPr>
          <w:rFonts w:hint="eastAsia"/>
        </w:rPr>
        <w:t>项目概况</w:t>
      </w:r>
      <w:bookmarkEnd w:id="11"/>
      <w:bookmarkEnd w:id="12"/>
    </w:p>
    <w:p>
      <w:pPr>
        <w:pStyle w:val="3"/>
        <w:ind w:firstLine="480"/>
        <w:rPr>
          <w:szCs w:val="24"/>
          <w:lang w:val="zh-CN"/>
        </w:rPr>
      </w:pPr>
      <w:r>
        <w:rPr>
          <w:rFonts w:hint="eastAsia"/>
          <w:szCs w:val="24"/>
          <w:lang w:val="zh-CN"/>
        </w:rPr>
        <w:t>工程名称：</w:t>
      </w:r>
      <w:bookmarkStart w:id="13" w:name="项目名称1"/>
      <w:bookmarkEnd w:id="13"/>
    </w:p>
    <w:p>
      <w:pPr>
        <w:pStyle w:val="3"/>
        <w:ind w:firstLine="480"/>
        <w:rPr>
          <w:szCs w:val="24"/>
          <w:lang w:val="zh-CN"/>
        </w:rPr>
      </w:pPr>
      <w:r>
        <w:rPr>
          <w:rFonts w:hint="eastAsia"/>
          <w:szCs w:val="24"/>
          <w:lang w:val="zh-CN"/>
        </w:rPr>
        <w:t>工程地点：</w:t>
      </w:r>
      <w:bookmarkStart w:id="14" w:name="工程地点"/>
      <w:r>
        <w:rPr>
          <w:rFonts w:hint="eastAsia"/>
          <w:szCs w:val="24"/>
          <w:lang w:val="zh-CN"/>
        </w:rPr>
        <w:t>重庆</w:t>
      </w:r>
      <w:bookmarkEnd w:id="14"/>
    </w:p>
    <w:p>
      <w:pPr>
        <w:pStyle w:val="2"/>
        <w:ind w:left="432" w:hanging="432"/>
      </w:pPr>
      <w:bookmarkStart w:id="15" w:name="_Toc3855"/>
      <w:bookmarkStart w:id="16" w:name="_Toc512608177"/>
      <w:r>
        <w:rPr>
          <w:rFonts w:hint="eastAsia"/>
        </w:rPr>
        <w:t>标准依据</w:t>
      </w:r>
      <w:bookmarkEnd w:id="15"/>
      <w:bookmarkEnd w:id="16"/>
    </w:p>
    <w:p>
      <w:pPr>
        <w:pStyle w:val="3"/>
        <w:numPr>
          <w:ilvl w:val="0"/>
          <w:numId w:val="4"/>
        </w:numPr>
        <w:rPr>
          <w:lang w:val="en-US"/>
        </w:rPr>
      </w:pPr>
      <w:bookmarkStart w:id="17"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17"/>
    <w:p>
      <w:pPr>
        <w:pStyle w:val="2"/>
        <w:ind w:left="432" w:hanging="432"/>
      </w:pPr>
      <w:bookmarkStart w:id="18" w:name="_Toc19511"/>
      <w:r>
        <w:rPr>
          <w:rFonts w:hint="eastAsia"/>
        </w:rPr>
        <w:t>太阳能资源</w:t>
      </w:r>
      <w:bookmarkEnd w:id="18"/>
    </w:p>
    <w:p>
      <w:pPr>
        <w:pStyle w:val="3"/>
        <w:spacing w:line="276" w:lineRule="auto"/>
        <w:ind w:firstLine="480"/>
      </w:pPr>
      <w:r>
        <w:rPr>
          <w:lang w:val="zh-CN"/>
        </w:rPr>
        <w:t>太阳能作为一种重要的可再生能源，对能源开发利用、调整能源结构、保护生态环境、应对气候变化、促进社会可持续发展具有重要意义。</w:t>
      </w:r>
      <w:r>
        <w:t>《民用建筑太阳能热水系统应用技术标准》</w:t>
      </w:r>
      <w:r>
        <w:rPr>
          <w:rFonts w:hint="eastAsia"/>
        </w:rPr>
        <w:t>GB 50364-2018中对我国不同地区的太阳能资源情况进行等级划分。</w:t>
      </w:r>
    </w:p>
    <w:p>
      <w:pPr>
        <w:jc w:val="center"/>
        <w:rPr>
          <w:rFonts w:ascii="黑体" w:hAnsi="黑体" w:eastAsia="黑体" w:cs="宋体"/>
          <w:bCs/>
          <w:color w:val="000000"/>
          <w:szCs w:val="18"/>
          <w:lang w:val="en-US"/>
        </w:rPr>
      </w:pPr>
      <w:r>
        <w:rPr>
          <w:rFonts w:hint="eastAsia" w:ascii="黑体" w:hAnsi="黑体" w:eastAsia="黑体" w:cs="宋体"/>
          <w:bCs/>
          <w:color w:val="000000"/>
          <w:szCs w:val="18"/>
          <w:lang w:val="en-US"/>
        </w:rPr>
        <w:t>表1</w:t>
      </w:r>
      <w:r>
        <w:rPr>
          <w:rFonts w:ascii="黑体" w:hAnsi="黑体" w:eastAsia="黑体" w:cs="宋体"/>
          <w:bCs/>
          <w:color w:val="000000"/>
          <w:szCs w:val="18"/>
          <w:lang w:val="en-US"/>
        </w:rPr>
        <w:t xml:space="preserve"> </w:t>
      </w:r>
      <w:r>
        <w:rPr>
          <w:rFonts w:hint="eastAsia" w:ascii="黑体" w:hAnsi="黑体" w:eastAsia="黑体" w:cs="宋体"/>
          <w:bCs/>
          <w:color w:val="000000"/>
          <w:szCs w:val="18"/>
          <w:lang w:val="en-US"/>
        </w:rPr>
        <w:t>全国太阳辐射总量等级</w:t>
      </w:r>
    </w:p>
    <w:tbl>
      <w:tblPr>
        <w:tblStyle w:val="29"/>
        <w:tblW w:w="72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37"/>
        <w:gridCol w:w="40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3237" w:type="dxa"/>
            <w:tcBorders>
              <w:top w:val="single" w:color="auto" w:sz="12" w:space="0"/>
              <w:left w:val="single" w:color="auto" w:sz="12" w:space="0"/>
              <w:bottom w:val="single" w:color="auto" w:sz="8" w:space="0"/>
            </w:tcBorders>
            <w:shd w:val="clear" w:color="auto" w:fill="ECECEC" w:themeFill="accent3" w:themeFillTint="33"/>
            <w:vAlign w:val="center"/>
          </w:tcPr>
          <w:p>
            <w:pPr>
              <w:pStyle w:val="3"/>
              <w:jc w:val="center"/>
              <w:rPr>
                <w:sz w:val="21"/>
                <w:szCs w:val="24"/>
                <w:lang w:val="en-US"/>
              </w:rPr>
            </w:pPr>
            <w:r>
              <w:rPr>
                <w:sz w:val="21"/>
                <w:szCs w:val="24"/>
                <w:lang w:val="en-US"/>
              </w:rPr>
              <w:t>等级名称</w:t>
            </w:r>
          </w:p>
        </w:tc>
        <w:tc>
          <w:tcPr>
            <w:tcW w:w="4007" w:type="dxa"/>
            <w:tcBorders>
              <w:top w:val="single" w:color="auto" w:sz="12" w:space="0"/>
              <w:right w:val="single" w:color="auto" w:sz="12" w:space="0"/>
            </w:tcBorders>
            <w:shd w:val="clear" w:color="auto" w:fill="ECECEC" w:themeFill="accent3" w:themeFillTint="33"/>
            <w:vAlign w:val="center"/>
          </w:tcPr>
          <w:p>
            <w:pPr>
              <w:pStyle w:val="3"/>
              <w:jc w:val="center"/>
              <w:rPr>
                <w:sz w:val="21"/>
                <w:szCs w:val="24"/>
                <w:lang w:val="en-US"/>
              </w:rPr>
            </w:pPr>
            <w:r>
              <w:rPr>
                <w:rFonts w:hint="eastAsia"/>
                <w:sz w:val="21"/>
                <w:szCs w:val="24"/>
                <w:lang w:val="en-US"/>
              </w:rPr>
              <w:t>水平面上年太阳辐照量</w:t>
            </w:r>
            <w:r>
              <w:rPr>
                <w:sz w:val="21"/>
                <w:szCs w:val="24"/>
                <w:lang w:val="en-US"/>
              </w:rPr>
              <w:t>(MJ/m</w:t>
            </w:r>
            <w:r>
              <w:rPr>
                <w:sz w:val="21"/>
                <w:szCs w:val="24"/>
                <w:vertAlign w:val="superscript"/>
                <w:lang w:val="en-US"/>
              </w:rPr>
              <w:t>2</w:t>
            </w:r>
            <w:r>
              <w:rPr>
                <w:rFonts w:hint="eastAsia"/>
                <w:sz w:val="21"/>
                <w:szCs w:val="24"/>
              </w:rPr>
              <w:t>·</w:t>
            </w:r>
            <w:r>
              <w:rPr>
                <w:sz w:val="21"/>
                <w:szCs w:val="24"/>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3237" w:type="dxa"/>
            <w:tcBorders>
              <w:top w:val="single" w:color="auto" w:sz="8" w:space="0"/>
              <w:left w:val="single" w:color="auto" w:sz="12" w:space="0"/>
              <w:bottom w:val="single" w:color="auto" w:sz="8" w:space="0"/>
            </w:tcBorders>
            <w:shd w:val="clear" w:color="auto" w:fill="ECECEC" w:themeFill="accent3" w:themeFillTint="33"/>
            <w:vAlign w:val="center"/>
          </w:tcPr>
          <w:p>
            <w:pPr>
              <w:pStyle w:val="3"/>
              <w:jc w:val="center"/>
              <w:rPr>
                <w:sz w:val="21"/>
                <w:szCs w:val="24"/>
                <w:lang w:val="en-US"/>
              </w:rPr>
            </w:pPr>
            <w:r>
              <w:rPr>
                <w:rFonts w:hint="eastAsia"/>
                <w:sz w:val="21"/>
                <w:szCs w:val="24"/>
                <w:lang w:val="en-US"/>
              </w:rPr>
              <w:t>Ⅰ资源极富区</w:t>
            </w:r>
          </w:p>
        </w:tc>
        <w:tc>
          <w:tcPr>
            <w:tcW w:w="4007" w:type="dxa"/>
            <w:tcBorders>
              <w:right w:val="single" w:color="auto" w:sz="12" w:space="0"/>
            </w:tcBorders>
            <w:vAlign w:val="center"/>
          </w:tcPr>
          <w:p>
            <w:pPr>
              <w:pStyle w:val="3"/>
              <w:jc w:val="center"/>
              <w:rPr>
                <w:sz w:val="21"/>
                <w:szCs w:val="24"/>
                <w:lang w:val="en-US"/>
              </w:rPr>
            </w:pPr>
            <w:r>
              <w:rPr>
                <w:color w:val="000000"/>
                <w:sz w:val="21"/>
                <w:szCs w:val="24"/>
                <w:lang w:val="en-US"/>
              </w:rPr>
              <w:t>≥6</w:t>
            </w:r>
            <w:r>
              <w:rPr>
                <w:rFonts w:hint="eastAsia"/>
                <w:color w:val="000000"/>
                <w:sz w:val="21"/>
                <w:szCs w:val="24"/>
                <w:lang w:val="en-US"/>
              </w:rPr>
              <w:t>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3237" w:type="dxa"/>
            <w:tcBorders>
              <w:top w:val="single" w:color="auto" w:sz="8" w:space="0"/>
              <w:left w:val="single" w:color="auto" w:sz="12" w:space="0"/>
              <w:bottom w:val="single" w:color="auto" w:sz="8" w:space="0"/>
            </w:tcBorders>
            <w:shd w:val="clear" w:color="auto" w:fill="ECECEC" w:themeFill="accent3" w:themeFillTint="33"/>
            <w:vAlign w:val="center"/>
          </w:tcPr>
          <w:p>
            <w:pPr>
              <w:pStyle w:val="3"/>
              <w:jc w:val="center"/>
              <w:rPr>
                <w:sz w:val="21"/>
                <w:szCs w:val="24"/>
                <w:lang w:val="en-US"/>
              </w:rPr>
            </w:pPr>
            <w:r>
              <w:rPr>
                <w:rFonts w:hint="eastAsia"/>
                <w:sz w:val="21"/>
                <w:szCs w:val="24"/>
                <w:lang w:val="en-US"/>
              </w:rPr>
              <w:t>Ⅱ资源丰富区</w:t>
            </w:r>
          </w:p>
        </w:tc>
        <w:tc>
          <w:tcPr>
            <w:tcW w:w="4007" w:type="dxa"/>
            <w:tcBorders>
              <w:right w:val="single" w:color="auto" w:sz="12" w:space="0"/>
            </w:tcBorders>
            <w:vAlign w:val="center"/>
          </w:tcPr>
          <w:p>
            <w:pPr>
              <w:pStyle w:val="3"/>
              <w:jc w:val="center"/>
              <w:rPr>
                <w:sz w:val="21"/>
                <w:szCs w:val="24"/>
                <w:lang w:val="en-US"/>
              </w:rPr>
            </w:pPr>
            <w:r>
              <w:rPr>
                <w:color w:val="000000"/>
                <w:sz w:val="21"/>
                <w:szCs w:val="24"/>
                <w:lang w:val="en-US"/>
              </w:rPr>
              <w:t>540</w:t>
            </w:r>
            <w:r>
              <w:rPr>
                <w:rFonts w:hint="eastAsia"/>
                <w:color w:val="000000"/>
                <w:sz w:val="21"/>
                <w:szCs w:val="24"/>
                <w:lang w:val="en-US"/>
              </w:rPr>
              <w:t>0~</w:t>
            </w:r>
            <w:r>
              <w:rPr>
                <w:color w:val="000000"/>
                <w:sz w:val="21"/>
                <w:szCs w:val="24"/>
                <w:lang w:val="en-US"/>
              </w:rPr>
              <w:t>6</w:t>
            </w:r>
            <w:r>
              <w:rPr>
                <w:rFonts w:hint="eastAsia"/>
                <w:color w:val="000000"/>
                <w:sz w:val="21"/>
                <w:szCs w:val="24"/>
                <w:lang w:val="en-US"/>
              </w:rPr>
              <w:t>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 w:hRule="atLeast"/>
          <w:jc w:val="center"/>
        </w:trPr>
        <w:tc>
          <w:tcPr>
            <w:tcW w:w="3237" w:type="dxa"/>
            <w:tcBorders>
              <w:top w:val="single" w:color="auto" w:sz="8" w:space="0"/>
              <w:left w:val="single" w:color="auto" w:sz="12" w:space="0"/>
              <w:bottom w:val="single" w:color="auto" w:sz="8" w:space="0"/>
            </w:tcBorders>
            <w:shd w:val="clear" w:color="auto" w:fill="ECECEC" w:themeFill="accent3" w:themeFillTint="33"/>
            <w:vAlign w:val="center"/>
          </w:tcPr>
          <w:p>
            <w:pPr>
              <w:pStyle w:val="3"/>
              <w:jc w:val="center"/>
              <w:rPr>
                <w:color w:val="000000"/>
                <w:sz w:val="21"/>
                <w:szCs w:val="24"/>
                <w:lang w:val="en-US"/>
              </w:rPr>
            </w:pPr>
            <w:r>
              <w:rPr>
                <w:rFonts w:hint="eastAsia"/>
                <w:sz w:val="21"/>
                <w:szCs w:val="24"/>
                <w:lang w:val="en-US"/>
              </w:rPr>
              <w:t>Ⅲ资源较富区</w:t>
            </w:r>
          </w:p>
        </w:tc>
        <w:tc>
          <w:tcPr>
            <w:tcW w:w="4007" w:type="dxa"/>
            <w:tcBorders>
              <w:right w:val="single" w:color="auto" w:sz="12" w:space="0"/>
            </w:tcBorders>
            <w:vAlign w:val="center"/>
          </w:tcPr>
          <w:p>
            <w:pPr>
              <w:pStyle w:val="3"/>
              <w:jc w:val="center"/>
              <w:rPr>
                <w:sz w:val="21"/>
                <w:szCs w:val="24"/>
                <w:lang w:val="en-US"/>
              </w:rPr>
            </w:pPr>
            <w:r>
              <w:rPr>
                <w:rFonts w:hint="eastAsia"/>
                <w:color w:val="000000"/>
                <w:sz w:val="21"/>
                <w:szCs w:val="24"/>
                <w:lang w:val="en-US"/>
              </w:rPr>
              <w:t>4200~</w:t>
            </w:r>
            <w:r>
              <w:rPr>
                <w:color w:val="000000"/>
                <w:sz w:val="21"/>
                <w:szCs w:val="24"/>
                <w:lang w:val="en-US"/>
              </w:rPr>
              <w:t>540</w:t>
            </w:r>
            <w:r>
              <w:rPr>
                <w:rFonts w:hint="eastAsia"/>
                <w:color w:val="000000"/>
                <w:sz w:val="21"/>
                <w:szCs w:val="24"/>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3237" w:type="dxa"/>
            <w:tcBorders>
              <w:top w:val="single" w:color="auto" w:sz="8" w:space="0"/>
              <w:left w:val="single" w:color="auto" w:sz="12" w:space="0"/>
              <w:bottom w:val="single" w:color="auto" w:sz="12" w:space="0"/>
            </w:tcBorders>
            <w:shd w:val="clear" w:color="auto" w:fill="ECECEC" w:themeFill="accent3" w:themeFillTint="33"/>
            <w:vAlign w:val="center"/>
          </w:tcPr>
          <w:p>
            <w:pPr>
              <w:pStyle w:val="3"/>
              <w:jc w:val="center"/>
              <w:rPr>
                <w:color w:val="000000"/>
                <w:sz w:val="21"/>
                <w:szCs w:val="24"/>
                <w:lang w:val="en-US"/>
              </w:rPr>
            </w:pPr>
            <w:r>
              <w:rPr>
                <w:rFonts w:hint="eastAsia"/>
                <w:sz w:val="21"/>
                <w:szCs w:val="24"/>
                <w:lang w:val="en-US"/>
              </w:rPr>
              <w:t>Ⅳ资源</w:t>
            </w:r>
            <w:r>
              <w:rPr>
                <w:color w:val="000000"/>
                <w:sz w:val="21"/>
                <w:szCs w:val="24"/>
                <w:lang w:val="en-US"/>
              </w:rPr>
              <w:t>一般</w:t>
            </w:r>
            <w:r>
              <w:rPr>
                <w:rFonts w:hint="eastAsia"/>
                <w:sz w:val="21"/>
                <w:szCs w:val="24"/>
                <w:lang w:val="en-US"/>
              </w:rPr>
              <w:t>区</w:t>
            </w:r>
          </w:p>
        </w:tc>
        <w:tc>
          <w:tcPr>
            <w:tcW w:w="4007" w:type="dxa"/>
            <w:tcBorders>
              <w:bottom w:val="single" w:color="auto" w:sz="12" w:space="0"/>
              <w:right w:val="single" w:color="auto" w:sz="12" w:space="0"/>
            </w:tcBorders>
            <w:vAlign w:val="center"/>
          </w:tcPr>
          <w:p>
            <w:pPr>
              <w:pStyle w:val="3"/>
              <w:jc w:val="center"/>
              <w:rPr>
                <w:sz w:val="21"/>
                <w:szCs w:val="24"/>
                <w:lang w:val="en-US"/>
              </w:rPr>
            </w:pPr>
            <w:r>
              <w:rPr>
                <w:rFonts w:hint="eastAsia"/>
                <w:sz w:val="21"/>
                <w:szCs w:val="24"/>
                <w:lang w:val="en-US"/>
              </w:rPr>
              <w:t>≤4200</w:t>
            </w:r>
          </w:p>
        </w:tc>
      </w:tr>
    </w:tbl>
    <w:p>
      <w:pPr>
        <w:jc w:val="center"/>
        <w:rPr>
          <w:rFonts w:ascii="黑体" w:hAnsi="黑体" w:eastAsia="黑体" w:cs="宋体"/>
          <w:bCs/>
          <w:color w:val="000000"/>
          <w:sz w:val="22"/>
          <w:szCs w:val="21"/>
          <w:lang w:val="en-US"/>
        </w:rPr>
      </w:pPr>
      <w:r>
        <w:rPr>
          <w:lang w:val="en-US"/>
        </w:rPr>
        <w:drawing>
          <wp:inline distT="0" distB="0" distL="0" distR="0">
            <wp:extent cx="4380230" cy="3131185"/>
            <wp:effectExtent l="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rcRect t="4482"/>
                    <a:stretch>
                      <a:fillRect/>
                    </a:stretch>
                  </pic:blipFill>
                  <pic:spPr>
                    <a:xfrm>
                      <a:off x="0" y="0"/>
                      <a:ext cx="4433182" cy="3169186"/>
                    </a:xfrm>
                    <a:prstGeom prst="rect">
                      <a:avLst/>
                    </a:prstGeom>
                    <a:ln>
                      <a:noFill/>
                    </a:ln>
                  </pic:spPr>
                </pic:pic>
              </a:graphicData>
            </a:graphic>
          </wp:inline>
        </w:drawing>
      </w:r>
    </w:p>
    <w:p>
      <w:pPr>
        <w:jc w:val="center"/>
        <w:rPr>
          <w:rFonts w:ascii="黑体" w:hAnsi="黑体" w:eastAsia="黑体" w:cs="宋体"/>
          <w:bCs/>
          <w:color w:val="000000"/>
          <w:szCs w:val="18"/>
          <w:lang w:val="en-US"/>
        </w:rPr>
      </w:pPr>
      <w:r>
        <w:rPr>
          <w:rFonts w:hint="eastAsia" w:ascii="黑体" w:hAnsi="黑体" w:eastAsia="黑体" w:cs="宋体"/>
          <w:bCs/>
          <w:color w:val="000000"/>
          <w:szCs w:val="18"/>
          <w:lang w:val="en-US"/>
        </w:rPr>
        <w:t>图1</w:t>
      </w:r>
      <w:r>
        <w:rPr>
          <w:rFonts w:ascii="黑体" w:hAnsi="黑体" w:eastAsia="黑体" w:cs="宋体"/>
          <w:bCs/>
          <w:color w:val="000000"/>
          <w:szCs w:val="18"/>
          <w:lang w:val="en-US"/>
        </w:rPr>
        <w:t xml:space="preserve"> </w:t>
      </w:r>
      <w:r>
        <w:rPr>
          <w:rFonts w:hint="eastAsia" w:ascii="黑体" w:hAnsi="黑体" w:eastAsia="黑体" w:cs="宋体"/>
          <w:bCs/>
          <w:color w:val="000000"/>
          <w:szCs w:val="18"/>
          <w:lang w:val="en-US"/>
        </w:rPr>
        <w:t>中国年太阳能分布图</w:t>
      </w:r>
      <w:r>
        <w:rPr>
          <w:rFonts w:ascii="黑体" w:hAnsi="黑体" w:eastAsia="黑体" w:cs="宋体"/>
          <w:bCs/>
          <w:color w:val="000000"/>
          <w:szCs w:val="18"/>
          <w:lang w:val="en-US"/>
        </w:rPr>
        <w:t>MJ/(m</w:t>
      </w:r>
      <w:r>
        <w:rPr>
          <w:rFonts w:ascii="黑体" w:hAnsi="黑体" w:eastAsia="黑体" w:cs="宋体"/>
          <w:bCs/>
          <w:color w:val="000000"/>
          <w:szCs w:val="18"/>
          <w:vertAlign w:val="superscript"/>
          <w:lang w:val="en-US"/>
        </w:rPr>
        <w:t>2</w:t>
      </w:r>
      <w:r>
        <w:rPr>
          <w:rFonts w:hint="eastAsia"/>
          <w:bCs/>
          <w:color w:val="000000"/>
          <w:szCs w:val="18"/>
          <w:lang w:val="en-US"/>
        </w:rPr>
        <w:t>•</w:t>
      </w:r>
      <w:r>
        <w:rPr>
          <w:rFonts w:ascii="黑体" w:hAnsi="黑体" w:eastAsia="黑体" w:cs="宋体"/>
          <w:bCs/>
          <w:color w:val="000000"/>
          <w:szCs w:val="18"/>
          <w:lang w:val="en-US"/>
        </w:rPr>
        <w:t>a)</w:t>
      </w:r>
    </w:p>
    <w:p>
      <w:pPr>
        <w:pStyle w:val="64"/>
        <w:ind w:firstLine="480" w:firstLineChars="0"/>
        <w:rPr>
          <w:rFonts w:eastAsia="宋体" w:cs="Times New Roman"/>
          <w:color w:val="auto"/>
          <w:kern w:val="0"/>
          <w:sz w:val="24"/>
          <w:szCs w:val="24"/>
        </w:rPr>
      </w:pPr>
      <w:r>
        <w:rPr>
          <w:rFonts w:hint="eastAsia" w:eastAsia="宋体" w:cs="Times New Roman"/>
          <w:color w:val="auto"/>
          <w:kern w:val="0"/>
          <w:sz w:val="24"/>
          <w:szCs w:val="24"/>
        </w:rPr>
        <w:t>光伏发电量与当地太阳能资源关系紧密，光伏组件一般布置在太阳能资源丰富的区域，来获得更高的发电量。本项目所在地的太阳能资源情况，如下所示：</w:t>
      </w:r>
    </w:p>
    <w:p>
      <w:pPr>
        <w:jc w:val="center"/>
        <w:rPr>
          <w:rFonts w:ascii="黑体" w:hAnsi="黑体" w:eastAsia="黑体" w:cs="宋体"/>
          <w:bCs/>
          <w:color w:val="000000"/>
          <w:szCs w:val="18"/>
          <w:lang w:val="en-US"/>
        </w:rPr>
      </w:pPr>
      <w:r>
        <w:rPr>
          <w:rFonts w:hint="eastAsia" w:ascii="黑体" w:hAnsi="黑体" w:eastAsia="黑体" w:cs="宋体"/>
          <w:bCs/>
          <w:color w:val="000000"/>
          <w:szCs w:val="18"/>
          <w:lang w:val="en-US"/>
        </w:rPr>
        <w:t>表</w:t>
      </w:r>
      <w:r>
        <w:rPr>
          <w:rFonts w:ascii="黑体" w:hAnsi="黑体" w:eastAsia="黑体" w:cs="宋体"/>
          <w:bCs/>
          <w:color w:val="000000"/>
          <w:szCs w:val="18"/>
          <w:lang w:val="en-US"/>
        </w:rPr>
        <w:t xml:space="preserve">2 </w:t>
      </w:r>
      <w:r>
        <w:rPr>
          <w:rFonts w:hint="eastAsia" w:ascii="黑体" w:hAnsi="黑体" w:eastAsia="黑体" w:cs="宋体"/>
          <w:bCs/>
          <w:color w:val="000000"/>
          <w:szCs w:val="18"/>
          <w:lang w:val="en-US"/>
        </w:rPr>
        <w:t>本地太阳能资源情况</w:t>
      </w:r>
    </w:p>
    <w:tbl>
      <w:tblPr>
        <w:tblStyle w:val="29"/>
        <w:tblW w:w="8866"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482"/>
        <w:gridCol w:w="1476"/>
        <w:gridCol w:w="2086"/>
        <w:gridCol w:w="1908"/>
        <w:gridCol w:w="191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7" w:hRule="atLeast"/>
        </w:trPr>
        <w:tc>
          <w:tcPr>
            <w:tcW w:w="1482" w:type="dxa"/>
            <w:tcBorders>
              <w:top w:val="single" w:color="auto" w:sz="12" w:space="0"/>
              <w:left w:val="single" w:color="auto" w:sz="12" w:space="0"/>
              <w:bottom w:val="single" w:color="auto" w:sz="8" w:space="0"/>
              <w:right w:val="single" w:color="auto" w:sz="8" w:space="0"/>
            </w:tcBorders>
            <w:shd w:val="clear" w:color="auto" w:fill="E6E6E6"/>
            <w:vAlign w:val="center"/>
          </w:tcPr>
          <w:p>
            <w:pPr>
              <w:jc w:val="center"/>
              <w:rPr>
                <w:rFonts w:ascii="宋体" w:hAnsi="宋体" w:cs="宋体"/>
                <w:color w:val="000000"/>
                <w:szCs w:val="21"/>
                <w:lang w:val="en-US"/>
              </w:rPr>
            </w:pPr>
            <w:r>
              <w:rPr>
                <w:rFonts w:hint="eastAsia" w:ascii="宋体" w:hAnsi="宋体" w:cs="宋体"/>
                <w:color w:val="000000"/>
                <w:szCs w:val="21"/>
                <w:lang w:val="en-US"/>
              </w:rPr>
              <w:t>地点</w:t>
            </w:r>
          </w:p>
        </w:tc>
        <w:tc>
          <w:tcPr>
            <w:tcW w:w="1476" w:type="dxa"/>
            <w:tcBorders>
              <w:top w:val="single" w:color="auto" w:sz="12" w:space="0"/>
              <w:left w:val="single" w:color="auto" w:sz="8" w:space="0"/>
              <w:bottom w:val="single" w:color="auto" w:sz="8" w:space="0"/>
              <w:right w:val="single" w:color="auto" w:sz="8" w:space="0"/>
            </w:tcBorders>
            <w:shd w:val="clear" w:color="auto" w:fill="E6E6E6"/>
            <w:vAlign w:val="center"/>
          </w:tcPr>
          <w:p>
            <w:pPr>
              <w:jc w:val="center"/>
              <w:rPr>
                <w:rFonts w:ascii="宋体" w:hAnsi="宋体" w:cs="宋体"/>
                <w:color w:val="000000"/>
                <w:szCs w:val="21"/>
                <w:lang w:val="en-US"/>
              </w:rPr>
            </w:pPr>
            <w:r>
              <w:rPr>
                <w:rFonts w:hint="eastAsia" w:ascii="宋体" w:hAnsi="宋体" w:cs="宋体"/>
                <w:color w:val="000000"/>
                <w:szCs w:val="21"/>
                <w:lang w:val="en-US"/>
              </w:rPr>
              <w:t>年均日照时数</w:t>
            </w:r>
          </w:p>
        </w:tc>
        <w:tc>
          <w:tcPr>
            <w:tcW w:w="2086" w:type="dxa"/>
            <w:tcBorders>
              <w:top w:val="single" w:color="auto" w:sz="12" w:space="0"/>
              <w:left w:val="single" w:color="auto" w:sz="8" w:space="0"/>
              <w:bottom w:val="single" w:color="auto" w:sz="8" w:space="0"/>
              <w:right w:val="single" w:color="auto" w:sz="8" w:space="0"/>
            </w:tcBorders>
            <w:shd w:val="clear" w:color="auto" w:fill="E6E6E6"/>
            <w:vAlign w:val="center"/>
          </w:tcPr>
          <w:p>
            <w:pPr>
              <w:jc w:val="center"/>
              <w:rPr>
                <w:rFonts w:ascii="宋体" w:hAnsi="宋体" w:cs="宋体"/>
                <w:color w:val="000000"/>
                <w:szCs w:val="21"/>
                <w:lang w:val="en-US"/>
              </w:rPr>
            </w:pPr>
            <w:r>
              <w:rPr>
                <w:rFonts w:hint="eastAsia" w:ascii="宋体" w:hAnsi="宋体" w:cs="宋体"/>
                <w:color w:val="000000"/>
                <w:szCs w:val="21"/>
                <w:lang w:val="en-US"/>
              </w:rPr>
              <w:t>水平面年</w:t>
            </w:r>
          </w:p>
          <w:p>
            <w:pPr>
              <w:jc w:val="center"/>
              <w:rPr>
                <w:rFonts w:ascii="宋体" w:hAnsi="宋体" w:cs="宋体"/>
                <w:color w:val="000000"/>
                <w:szCs w:val="21"/>
                <w:lang w:val="en-US"/>
              </w:rPr>
            </w:pPr>
            <w:r>
              <w:rPr>
                <w:rFonts w:hint="eastAsia" w:ascii="宋体" w:hAnsi="宋体" w:cs="宋体"/>
                <w:color w:val="000000"/>
                <w:szCs w:val="21"/>
                <w:lang w:val="en-US"/>
              </w:rPr>
              <w:t>总辐照量</w:t>
            </w:r>
          </w:p>
        </w:tc>
        <w:tc>
          <w:tcPr>
            <w:tcW w:w="1908" w:type="dxa"/>
            <w:tcBorders>
              <w:top w:val="single" w:color="auto" w:sz="12" w:space="0"/>
              <w:left w:val="single" w:color="auto" w:sz="8" w:space="0"/>
              <w:bottom w:val="single" w:color="auto" w:sz="8" w:space="0"/>
              <w:right w:val="single" w:color="auto" w:sz="8" w:space="0"/>
            </w:tcBorders>
            <w:shd w:val="clear" w:color="auto" w:fill="E6E6E6"/>
            <w:vAlign w:val="center"/>
          </w:tcPr>
          <w:p>
            <w:pPr>
              <w:jc w:val="center"/>
              <w:rPr>
                <w:rFonts w:ascii="宋体" w:hAnsi="宋体" w:cs="宋体"/>
                <w:color w:val="000000"/>
                <w:szCs w:val="21"/>
                <w:lang w:val="en-US"/>
              </w:rPr>
            </w:pPr>
            <w:r>
              <w:rPr>
                <w:rFonts w:hint="eastAsia" w:ascii="宋体" w:hAnsi="宋体" w:cs="宋体"/>
                <w:color w:val="000000"/>
                <w:szCs w:val="21"/>
                <w:lang w:val="en-US"/>
              </w:rPr>
              <w:t>水平面年平均</w:t>
            </w:r>
          </w:p>
          <w:p>
            <w:pPr>
              <w:jc w:val="center"/>
              <w:rPr>
                <w:rFonts w:ascii="宋体" w:hAnsi="宋体" w:cs="宋体"/>
                <w:color w:val="000000"/>
                <w:szCs w:val="21"/>
                <w:lang w:val="en-US"/>
              </w:rPr>
            </w:pPr>
            <w:r>
              <w:rPr>
                <w:rFonts w:hint="eastAsia" w:ascii="宋体" w:hAnsi="宋体" w:cs="宋体"/>
                <w:color w:val="000000"/>
                <w:szCs w:val="21"/>
                <w:lang w:val="en-US"/>
              </w:rPr>
              <w:t>日辐照量</w:t>
            </w:r>
          </w:p>
        </w:tc>
        <w:tc>
          <w:tcPr>
            <w:tcW w:w="1914" w:type="dxa"/>
            <w:tcBorders>
              <w:top w:val="single" w:color="auto" w:sz="12" w:space="0"/>
              <w:left w:val="single" w:color="auto" w:sz="8" w:space="0"/>
              <w:bottom w:val="single" w:color="auto" w:sz="8" w:space="0"/>
              <w:right w:val="single" w:color="auto" w:sz="12" w:space="0"/>
            </w:tcBorders>
            <w:shd w:val="clear" w:color="auto" w:fill="E6E6E6"/>
            <w:vAlign w:val="center"/>
          </w:tcPr>
          <w:p>
            <w:pPr>
              <w:jc w:val="center"/>
              <w:rPr>
                <w:rFonts w:ascii="宋体" w:hAnsi="宋体" w:cs="宋体"/>
                <w:color w:val="000000"/>
                <w:szCs w:val="21"/>
                <w:lang w:val="en-US"/>
              </w:rPr>
            </w:pPr>
            <w:r>
              <w:rPr>
                <w:rFonts w:hint="eastAsia" w:ascii="宋体" w:hAnsi="宋体" w:cs="宋体"/>
                <w:color w:val="000000"/>
                <w:szCs w:val="21"/>
                <w:lang w:val="en-US"/>
              </w:rPr>
              <w:t>当地纬度倾角平面年总辐照量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1482" w:type="dxa"/>
            <w:tcBorders>
              <w:top w:val="single" w:color="auto" w:sz="8" w:space="0"/>
              <w:left w:val="single" w:color="auto" w:sz="12" w:space="0"/>
              <w:bottom w:val="single" w:color="auto" w:sz="12" w:space="0"/>
              <w:right w:val="single" w:color="auto" w:sz="8" w:space="0"/>
            </w:tcBorders>
            <w:vAlign w:val="center"/>
          </w:tcPr>
          <w:p>
            <w:pPr>
              <w:jc w:val="center"/>
              <w:rPr>
                <w:rFonts w:ascii="宋体" w:hAnsi="宋体" w:cs="宋体"/>
                <w:color w:val="000000"/>
                <w:szCs w:val="21"/>
                <w:lang w:val="en-US"/>
              </w:rPr>
            </w:pPr>
            <w:bookmarkStart w:id="19" w:name="工程地点3"/>
            <w:r>
              <w:t>重庆</w:t>
            </w:r>
            <w:bookmarkEnd w:id="19"/>
          </w:p>
        </w:tc>
        <w:tc>
          <w:tcPr>
            <w:tcW w:w="1476" w:type="dxa"/>
            <w:tcBorders>
              <w:top w:val="single" w:color="auto" w:sz="8" w:space="0"/>
              <w:left w:val="single" w:color="auto" w:sz="8" w:space="0"/>
              <w:bottom w:val="single" w:color="auto" w:sz="12" w:space="0"/>
              <w:right w:val="single" w:color="auto" w:sz="8" w:space="0"/>
            </w:tcBorders>
            <w:vAlign w:val="center"/>
          </w:tcPr>
          <w:p>
            <w:pPr>
              <w:jc w:val="center"/>
              <w:rPr>
                <w:rFonts w:eastAsia="等线" w:cs="Times New Roman"/>
                <w:color w:val="000000"/>
                <w:szCs w:val="21"/>
                <w:lang w:val="en-US"/>
              </w:rPr>
            </w:pPr>
            <w:bookmarkStart w:id="20" w:name="年均日照时数"/>
            <w:r>
              <w:rPr>
                <w:szCs w:val="21"/>
              </w:rPr>
              <w:t>837</w:t>
            </w:r>
            <w:bookmarkEnd w:id="20"/>
            <w:r>
              <w:rPr>
                <w:szCs w:val="21"/>
              </w:rPr>
              <w:t>h</w:t>
            </w:r>
          </w:p>
        </w:tc>
        <w:tc>
          <w:tcPr>
            <w:tcW w:w="2086" w:type="dxa"/>
            <w:tcBorders>
              <w:top w:val="single" w:color="auto" w:sz="8" w:space="0"/>
              <w:left w:val="single" w:color="auto" w:sz="8" w:space="0"/>
              <w:bottom w:val="single" w:color="auto" w:sz="12" w:space="0"/>
              <w:right w:val="single" w:color="auto" w:sz="8" w:space="0"/>
            </w:tcBorders>
            <w:vAlign w:val="center"/>
          </w:tcPr>
          <w:p>
            <w:pPr>
              <w:jc w:val="center"/>
              <w:rPr>
                <w:rFonts w:eastAsia="等线"/>
                <w:color w:val="000000"/>
                <w:szCs w:val="21"/>
                <w:lang w:val="en-US"/>
              </w:rPr>
            </w:pPr>
            <w:bookmarkStart w:id="21" w:name="水平面年总辐照量"/>
            <w:r>
              <w:rPr>
                <w:szCs w:val="21"/>
              </w:rPr>
              <w:t>8162.9</w:t>
            </w:r>
            <w:bookmarkEnd w:id="21"/>
            <w:r>
              <w:rPr>
                <w:rFonts w:eastAsia="等线"/>
                <w:color w:val="000000"/>
                <w:szCs w:val="21"/>
              </w:rPr>
              <w:t>MJ/(m</w:t>
            </w:r>
            <w:r>
              <w:rPr>
                <w:rFonts w:eastAsia="等线"/>
                <w:color w:val="000000"/>
                <w:szCs w:val="21"/>
                <w:vertAlign w:val="superscript"/>
              </w:rPr>
              <w:t>2</w:t>
            </w:r>
            <w:r>
              <w:rPr>
                <w:rFonts w:hint="eastAsia" w:ascii="宋体" w:hAnsi="宋体"/>
                <w:color w:val="000000"/>
                <w:szCs w:val="21"/>
              </w:rPr>
              <w:t>•</w:t>
            </w:r>
            <w:r>
              <w:rPr>
                <w:rFonts w:eastAsia="等线"/>
                <w:color w:val="000000"/>
                <w:szCs w:val="21"/>
              </w:rPr>
              <w:t>a)</w:t>
            </w:r>
          </w:p>
        </w:tc>
        <w:tc>
          <w:tcPr>
            <w:tcW w:w="1908" w:type="dxa"/>
            <w:tcBorders>
              <w:top w:val="single" w:color="auto" w:sz="8" w:space="0"/>
              <w:left w:val="single" w:color="auto" w:sz="8" w:space="0"/>
              <w:bottom w:val="single" w:color="auto" w:sz="12" w:space="0"/>
              <w:right w:val="single" w:color="auto" w:sz="8" w:space="0"/>
            </w:tcBorders>
            <w:vAlign w:val="center"/>
          </w:tcPr>
          <w:p>
            <w:pPr>
              <w:jc w:val="center"/>
              <w:rPr>
                <w:rFonts w:eastAsia="等线"/>
                <w:color w:val="000000"/>
                <w:szCs w:val="21"/>
                <w:lang w:val="en-US"/>
              </w:rPr>
            </w:pPr>
            <w:bookmarkStart w:id="22" w:name="水平面日辐照量"/>
            <w:r>
              <w:rPr>
                <w:szCs w:val="24"/>
              </w:rPr>
              <w:t>22.4</w:t>
            </w:r>
            <w:bookmarkEnd w:id="22"/>
            <w:r>
              <w:rPr>
                <w:rFonts w:eastAsia="等线"/>
                <w:color w:val="000000"/>
                <w:szCs w:val="21"/>
              </w:rPr>
              <w:t>MJ/(m</w:t>
            </w:r>
            <w:r>
              <w:rPr>
                <w:rFonts w:eastAsia="等线"/>
                <w:color w:val="000000"/>
                <w:szCs w:val="21"/>
                <w:vertAlign w:val="superscript"/>
              </w:rPr>
              <w:t>2</w:t>
            </w:r>
            <w:r>
              <w:rPr>
                <w:rFonts w:hint="eastAsia" w:ascii="宋体" w:hAnsi="宋体"/>
                <w:color w:val="000000"/>
                <w:szCs w:val="21"/>
              </w:rPr>
              <w:t>•</w:t>
            </w:r>
            <w:r>
              <w:rPr>
                <w:rFonts w:eastAsia="等线"/>
                <w:color w:val="000000"/>
                <w:szCs w:val="21"/>
              </w:rPr>
              <w:t>a)</w:t>
            </w:r>
          </w:p>
        </w:tc>
        <w:tc>
          <w:tcPr>
            <w:tcW w:w="1914" w:type="dxa"/>
            <w:tcBorders>
              <w:top w:val="single" w:color="auto" w:sz="8" w:space="0"/>
              <w:left w:val="single" w:color="auto" w:sz="8" w:space="0"/>
              <w:bottom w:val="single" w:color="auto" w:sz="12" w:space="0"/>
              <w:right w:val="single" w:color="auto" w:sz="12" w:space="0"/>
            </w:tcBorders>
            <w:vAlign w:val="center"/>
          </w:tcPr>
          <w:p>
            <w:pPr>
              <w:jc w:val="center"/>
              <w:rPr>
                <w:rFonts w:eastAsia="等线"/>
                <w:color w:val="000000"/>
                <w:szCs w:val="21"/>
                <w:lang w:val="en-US"/>
              </w:rPr>
            </w:pPr>
            <w:bookmarkStart w:id="23" w:name="纬度倾角年总辐照量"/>
            <w:r>
              <w:rPr>
                <w:rFonts w:eastAsia="等线"/>
                <w:color w:val="000000"/>
                <w:szCs w:val="21"/>
              </w:rPr>
              <w:t>8032.5</w:t>
            </w:r>
            <w:bookmarkEnd w:id="23"/>
            <w:r>
              <w:rPr>
                <w:rFonts w:eastAsia="等线"/>
                <w:color w:val="000000"/>
                <w:szCs w:val="21"/>
              </w:rPr>
              <w:t>MJ/(m</w:t>
            </w:r>
            <w:r>
              <w:rPr>
                <w:rFonts w:eastAsia="等线"/>
                <w:color w:val="000000"/>
                <w:szCs w:val="21"/>
                <w:vertAlign w:val="superscript"/>
              </w:rPr>
              <w:t>2</w:t>
            </w:r>
            <w:r>
              <w:rPr>
                <w:rFonts w:hint="eastAsia" w:ascii="宋体" w:hAnsi="宋体"/>
                <w:color w:val="000000"/>
                <w:szCs w:val="21"/>
              </w:rPr>
              <w:t>•</w:t>
            </w:r>
            <w:r>
              <w:rPr>
                <w:rFonts w:eastAsia="等线"/>
                <w:color w:val="000000"/>
                <w:szCs w:val="21"/>
              </w:rPr>
              <w:t>a)</w:t>
            </w:r>
          </w:p>
        </w:tc>
      </w:tr>
    </w:tbl>
    <w:p>
      <w:pPr>
        <w:jc w:val="center"/>
        <w:rPr>
          <w:rFonts w:ascii="黑体" w:hAnsi="黑体" w:eastAsia="黑体" w:cs="宋体"/>
          <w:bCs/>
          <w:color w:val="000000"/>
          <w:szCs w:val="18"/>
          <w:lang w:val="en-US"/>
        </w:rPr>
      </w:pPr>
    </w:p>
    <w:p>
      <w:pPr>
        <w:pStyle w:val="2"/>
        <w:ind w:left="432" w:hanging="432"/>
      </w:pPr>
      <w:bookmarkStart w:id="24" w:name="_Toc3985"/>
      <w:r>
        <w:rPr>
          <w:rFonts w:hint="eastAsia"/>
        </w:rPr>
        <w:t>太阳能利用方案</w:t>
      </w:r>
      <w:bookmarkEnd w:id="24"/>
    </w:p>
    <w:p>
      <w:pPr>
        <w:pStyle w:val="3"/>
        <w:ind w:firstLine="480"/>
      </w:pPr>
      <w:bookmarkStart w:id="25" w:name="_Toc264569232"/>
      <w:bookmarkStart w:id="26" w:name="_Toc275165382"/>
      <w:bookmarkStart w:id="27" w:name="_Toc290209336"/>
      <w:bookmarkStart w:id="28" w:name="_Toc264043625"/>
      <w:bookmarkStart w:id="29" w:name="_Toc512608180"/>
      <w:bookmarkStart w:id="30" w:name="_Toc312399791"/>
      <w:bookmarkStart w:id="31" w:name="_Toc290209312"/>
      <w:bookmarkStart w:id="32" w:name="_Toc290149054"/>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25"/>
    <w:bookmarkEnd w:id="26"/>
    <w:bookmarkEnd w:id="27"/>
    <w:bookmarkEnd w:id="28"/>
    <w:bookmarkEnd w:id="29"/>
    <w:bookmarkEnd w:id="30"/>
    <w:bookmarkEnd w:id="31"/>
    <w:bookmarkEnd w:id="32"/>
    <w:p>
      <w:pPr>
        <w:pStyle w:val="4"/>
      </w:pPr>
      <w:bookmarkStart w:id="33" w:name="_Toc14783"/>
      <w:r>
        <w:rPr>
          <w:rFonts w:hint="eastAsia"/>
        </w:rPr>
        <w:t>软件选用</w:t>
      </w:r>
      <w:bookmarkEnd w:id="33"/>
    </w:p>
    <w:p>
      <w:pPr>
        <w:pStyle w:val="3"/>
        <w:ind w:firstLine="480"/>
      </w:pPr>
      <w:r>
        <w:rPr>
          <w:rFonts w:hint="eastAsia"/>
        </w:rPr>
        <w:t>绿建斯维尔日照分析软件Sun支持光伏发电计算，日照分析软件Sun可对全国太阳能资源数据进行合理分析，获得最佳倾角、最佳位置、集热需求量等数据，协助用户完成项目规划，并对光伏板进行发电量计算。日照分析软件Sun为建筑规划提供日照分析工具、绿色建筑指标及太阳能利用模块，包含丰富的定量分析手段、直观的可视化日照仿真及多种彩图展示。软件计算快速、</w:t>
      </w:r>
      <w:r>
        <w:t>结果</w:t>
      </w:r>
      <w:r>
        <w:rPr>
          <w:rFonts w:hint="eastAsia"/>
        </w:rPr>
        <w:t>准确，通过了国家住建部科技项目验收认证及国家</w:t>
      </w:r>
      <w:r>
        <w:t>建筑工程质量监督检验</w:t>
      </w:r>
      <w:r>
        <w:rPr>
          <w:rFonts w:hint="eastAsia"/>
        </w:rPr>
        <w:t>中心</w:t>
      </w:r>
      <w:r>
        <w:t>鉴定</w:t>
      </w:r>
      <w:r>
        <w:rPr>
          <w:rFonts w:hint="eastAsia"/>
        </w:rPr>
        <w:t>。</w:t>
      </w:r>
    </w:p>
    <w:p>
      <w:pPr>
        <w:pStyle w:val="4"/>
      </w:pPr>
      <w:bookmarkStart w:id="34" w:name="_Toc28787"/>
      <w:r>
        <w:rPr>
          <w:rFonts w:hint="eastAsia"/>
        </w:rPr>
        <w:t>设计方案</w:t>
      </w:r>
      <w:bookmarkEnd w:id="34"/>
    </w:p>
    <w:p>
      <w:pPr>
        <w:pStyle w:val="3"/>
        <w:ind w:firstLine="480"/>
        <w:rPr>
          <w:lang w:val="en-US"/>
        </w:rPr>
      </w:pPr>
      <w:r>
        <w:rPr>
          <w:rFonts w:hint="eastAsia"/>
          <w:lang w:val="en-US"/>
        </w:rPr>
        <w:t>本项目在对</w:t>
      </w:r>
      <w:bookmarkStart w:id="35" w:name="工程地点2"/>
      <w:r>
        <w:rPr>
          <w:rFonts w:hint="eastAsia"/>
        </w:rPr>
        <w:t>重庆</w:t>
      </w:r>
      <w:bookmarkEnd w:id="35"/>
      <w:r>
        <w:rPr>
          <w:rFonts w:hint="eastAsia"/>
          <w:lang w:val="en-US"/>
        </w:rPr>
        <w:t>太阳能资源进行分析，获得最佳倾角、最佳位置、集热需求量等数据后，合理布置光伏板。光伏组件与建筑结合时，一般将安装在建筑表面，如屋顶、外墙、幕墙等。本项目具体方案如下：</w:t>
      </w:r>
    </w:p>
    <w:p>
      <w:pPr>
        <w:jc w:val="center"/>
        <w:rPr>
          <w:rFonts w:ascii="黑体" w:hAnsi="黑体" w:eastAsia="黑体" w:cs="宋体"/>
          <w:bCs/>
          <w:color w:val="000000"/>
          <w:szCs w:val="18"/>
          <w:lang w:val="en-US"/>
        </w:rPr>
      </w:pPr>
      <w:r>
        <w:rPr>
          <w:rFonts w:hint="eastAsia" w:ascii="黑体" w:hAnsi="黑体" w:eastAsia="黑体" w:cs="宋体"/>
          <w:bCs/>
          <w:color w:val="000000"/>
          <w:szCs w:val="18"/>
          <w:lang w:val="en-US"/>
        </w:rPr>
        <w:t>表3</w:t>
      </w:r>
      <w:r>
        <w:rPr>
          <w:rFonts w:ascii="黑体" w:hAnsi="黑体" w:eastAsia="黑体" w:cs="宋体"/>
          <w:bCs/>
          <w:color w:val="000000"/>
          <w:szCs w:val="18"/>
          <w:lang w:val="en-US"/>
        </w:rPr>
        <w:t xml:space="preserve"> </w:t>
      </w:r>
      <w:r>
        <w:rPr>
          <w:rFonts w:hint="eastAsia" w:ascii="黑体" w:hAnsi="黑体" w:eastAsia="黑体" w:cs="宋体"/>
          <w:bCs/>
          <w:color w:val="000000"/>
          <w:szCs w:val="18"/>
          <w:lang w:val="en-US"/>
        </w:rPr>
        <w:t>光伏板参数统计表</w:t>
      </w:r>
    </w:p>
    <w:tbl>
      <w:tblPr>
        <w:tblStyle w:val="29"/>
        <w:tblW w:w="89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218"/>
        <w:gridCol w:w="2218"/>
        <w:gridCol w:w="22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尺寸/面积</w:t>
            </w:r>
          </w:p>
        </w:tc>
        <w:tc>
          <w:tcPr>
            <w:shd w:val="clear" w:color="auto" w:fill="E6E6E6"/>
            <w:vAlign w:val="center"/>
          </w:tcPr>
          <w:p>
            <w:pPr>
              <w:jc w:val="center"/>
            </w:pPr>
            <w:r>
              <w:t>朝向角</w:t>
            </w:r>
          </w:p>
        </w:tc>
        <w:tc>
          <w:tcPr>
            <w:shd w:val="clear" w:color="auto" w:fill="E6E6E6"/>
            <w:vAlign w:val="center"/>
          </w:tcPr>
          <w:p>
            <w:pPr>
              <w:jc w:val="center"/>
            </w:pPr>
            <w:r>
              <w:t>倾角</w:t>
            </w:r>
          </w:p>
        </w:tc>
        <w:tc>
          <w:tcPr>
            <w:shd w:val="clear" w:color="auto" w:fill="E6E6E6"/>
            <w:vAlign w:val="center"/>
          </w:tcPr>
          <w:p>
            <w:pPr>
              <w:jc w:val="center"/>
            </w:pPr>
            <w:r>
              <w:t>数量</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4.39</w:t>
            </w:r>
          </w:p>
        </w:tc>
        <w:tc>
          <w:tcPr>
            <w:vAlign w:val="center"/>
          </w:tcPr>
          <w:p>
            <w:r>
              <w:t>正南</w:t>
            </w:r>
          </w:p>
        </w:tc>
        <w:tc>
          <w:tcPr>
            <w:vAlign w:val="center"/>
          </w:tcPr>
          <w:p>
            <w:r>
              <w:t>8</w:t>
            </w:r>
          </w:p>
        </w:tc>
        <w:tc>
          <w:tcPr>
            <w:vAlign w:val="center"/>
          </w:tcPr>
          <w:p>
            <w:r>
              <w:t>56</w:t>
            </w:r>
          </w:p>
        </w:tc>
      </w:tr>
    </w:tbl>
    <w:p>
      <w:pPr>
        <w:pStyle w:val="3"/>
        <w:ind w:firstLine="480"/>
        <w:jc w:val="center"/>
        <w:rPr>
          <w:lang w:val="en-US"/>
        </w:rPr>
      </w:pPr>
      <w:bookmarkStart w:id="36" w:name="集热器参数表"/>
      <w:bookmarkEnd w:id="36"/>
      <w:bookmarkStart w:id="37" w:name="光伏板参数表"/>
      <w:bookmarkEnd w:id="37"/>
    </w:p>
    <w:p>
      <w:pPr>
        <w:pStyle w:val="3"/>
        <w:jc w:val="center"/>
      </w:pPr>
      <w:bookmarkStart w:id="38" w:name="模型观察图"/>
      <w:bookmarkEnd w:id="38"/>
      <w:r>
        <w:drawing>
          <wp:inline distT="0" distB="0" distL="0" distR="0">
            <wp:extent cx="5667375" cy="49434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4943475"/>
                    </a:xfrm>
                    <a:prstGeom prst="rect">
                      <a:avLst/>
                    </a:prstGeom>
                  </pic:spPr>
                </pic:pic>
              </a:graphicData>
            </a:graphic>
          </wp:inline>
        </w:drawing>
      </w:r>
    </w:p>
    <w:p>
      <w:pPr>
        <w:pStyle w:val="3"/>
      </w:pPr>
    </w:p>
    <w:p>
      <w:pPr>
        <w:jc w:val="center"/>
        <w:rPr>
          <w:rFonts w:ascii="黑体" w:hAnsi="黑体" w:eastAsia="黑体" w:cs="宋体"/>
          <w:bCs/>
          <w:color w:val="000000"/>
          <w:szCs w:val="18"/>
          <w:lang w:val="en-US"/>
        </w:rPr>
      </w:pPr>
      <w:r>
        <w:rPr>
          <w:rFonts w:hint="eastAsia" w:ascii="黑体" w:hAnsi="黑体" w:eastAsia="黑体" w:cs="宋体"/>
          <w:bCs/>
          <w:color w:val="000000"/>
          <w:szCs w:val="18"/>
          <w:lang w:val="en-US"/>
        </w:rPr>
        <w:t>图2 光伏板布置效果图</w:t>
      </w:r>
    </w:p>
    <w:p>
      <w:pPr>
        <w:pStyle w:val="2"/>
        <w:ind w:left="432" w:hanging="432"/>
      </w:pPr>
      <w:bookmarkStart w:id="39" w:name="_Toc14033"/>
      <w:r>
        <w:rPr>
          <w:rFonts w:hint="eastAsia"/>
        </w:rPr>
        <w:t>发电量计算</w:t>
      </w:r>
      <w:bookmarkEnd w:id="39"/>
    </w:p>
    <w:p>
      <w:pPr>
        <w:pStyle w:val="4"/>
        <w:rPr>
          <w:rFonts w:hint="eastAsia"/>
        </w:rPr>
      </w:pPr>
      <w:bookmarkStart w:id="40" w:name="_Toc17849"/>
      <w:r>
        <w:rPr>
          <w:rFonts w:hint="eastAsia"/>
        </w:rPr>
        <w:t>光伏系统参数</w:t>
      </w:r>
      <w:bookmarkEnd w:id="40"/>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pPr>
      <w:r>
        <w:object>
          <v:shape id="_x0000_i1025" o:spt="75" type="#_x0000_t75" style="height:40.75pt;width:104.6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jc w:val="center"/>
        <w:rPr>
          <w:rFonts w:ascii="黑体" w:hAnsi="黑体" w:eastAsia="黑体" w:cs="宋体"/>
          <w:bCs/>
          <w:color w:val="000000"/>
          <w:szCs w:val="18"/>
          <w:lang w:val="en-US"/>
        </w:rPr>
      </w:pPr>
      <w:r>
        <w:rPr>
          <w:rFonts w:hint="eastAsia" w:ascii="黑体" w:hAnsi="黑体" w:eastAsia="黑体" w:cs="宋体"/>
          <w:bCs/>
          <w:color w:val="000000"/>
          <w:szCs w:val="18"/>
          <w:lang w:val="en-US"/>
        </w:rPr>
        <w:t>表4</w:t>
      </w:r>
      <w:r>
        <w:rPr>
          <w:rFonts w:ascii="黑体" w:hAnsi="黑体" w:eastAsia="黑体" w:cs="宋体"/>
          <w:bCs/>
          <w:color w:val="000000"/>
          <w:szCs w:val="18"/>
          <w:lang w:val="en-US"/>
        </w:rPr>
        <w:t xml:space="preserve"> </w:t>
      </w:r>
      <w:r>
        <w:rPr>
          <w:rFonts w:hint="eastAsia" w:ascii="黑体" w:hAnsi="黑体" w:eastAsia="黑体" w:cs="宋体"/>
          <w:bCs/>
          <w:color w:val="000000"/>
          <w:szCs w:val="18"/>
          <w:lang w:val="en-US"/>
        </w:rPr>
        <w:t>光伏系统计算参数表</w:t>
      </w:r>
    </w:p>
    <w:tbl>
      <w:tblPr>
        <w:tblStyle w:val="29"/>
        <w:tblW w:w="9282"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0"/>
        <w:gridCol w:w="2320"/>
        <w:gridCol w:w="2320"/>
        <w:gridCol w:w="23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4"/>
            <w:shd w:val="clear" w:color="auto" w:fill="E6E6E6"/>
            <w:vAlign w:val="center"/>
          </w:tcPr>
          <w:p>
            <w:pPr>
              <w:jc w:val="center"/>
            </w:pPr>
            <w:r>
              <w:rPr>
                <w:b/>
              </w:rPr>
              <w:t>光伏系统信息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r>
              <w:t>组件类型</w:t>
            </w:r>
          </w:p>
        </w:tc>
        <w:tc>
          <w:tcPr>
            <w:vAlign w:val="center"/>
          </w:tcPr>
          <w:p>
            <w:r>
              <w:t>铜铟镓硒</w:t>
            </w:r>
          </w:p>
        </w:tc>
        <w:tc>
          <w:tcPr>
            <w:shd w:val="clear" w:color="auto" w:fill="E6E6E6"/>
            <w:vAlign w:val="center"/>
          </w:tcPr>
          <w:p>
            <w:r>
              <w:t>峰值功率</w:t>
            </w:r>
          </w:p>
        </w:tc>
        <w:tc>
          <w:tcPr>
            <w:vAlign w:val="center"/>
          </w:tcPr>
          <w:p>
            <w:r>
              <w:t>100Wp</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r>
              <w:t>组件数量</w:t>
            </w:r>
          </w:p>
        </w:tc>
        <w:tc>
          <w:tcPr>
            <w:vAlign w:val="center"/>
          </w:tcPr>
          <w:p>
            <w:r>
              <w:t>56</w:t>
            </w:r>
          </w:p>
        </w:tc>
        <w:tc>
          <w:tcPr>
            <w:shd w:val="clear" w:color="auto" w:fill="E6E6E6"/>
            <w:vAlign w:val="center"/>
          </w:tcPr>
          <w:p>
            <w:r>
              <w:t>总装机量</w:t>
            </w:r>
          </w:p>
        </w:tc>
        <w:tc>
          <w:tcPr>
            <w:vAlign w:val="center"/>
          </w:tcPr>
          <w:p>
            <w:r>
              <w:t>5.6kW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r>
              <w:t>组件安装方式</w:t>
            </w:r>
          </w:p>
        </w:tc>
        <w:tc>
          <w:tcPr>
            <w:vAlign w:val="center"/>
          </w:tcPr>
          <w:p>
            <w:r>
              <w:t>固定集成</w:t>
            </w:r>
          </w:p>
        </w:tc>
        <w:tc>
          <w:tcPr>
            <w:shd w:val="clear" w:color="auto" w:fill="E6E6E6"/>
            <w:vAlign w:val="center"/>
          </w:tcPr>
          <w:p>
            <w:r>
              <w:t>组件面积</w:t>
            </w:r>
          </w:p>
        </w:tc>
        <w:tc>
          <w:tcPr>
            <w:vAlign w:val="center"/>
          </w:tcPr>
          <w:p>
            <w:r>
              <w:t>246㎡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r>
              <w:t>逆变器效率</w:t>
            </w:r>
          </w:p>
        </w:tc>
        <w:tc>
          <w:tcPr>
            <w:vAlign w:val="center"/>
          </w:tcPr>
          <w:p>
            <w:r>
              <w:t>0.96</w:t>
            </w:r>
          </w:p>
        </w:tc>
        <w:tc>
          <w:tcPr>
            <w:shd w:val="clear" w:color="auto" w:fill="E6E6E6"/>
            <w:vAlign w:val="center"/>
          </w:tcPr>
          <w:p>
            <w:r>
              <w:t>逆变器功率</w:t>
            </w:r>
          </w:p>
        </w:tc>
        <w:tc>
          <w:tcPr>
            <w:vAlign w:val="center"/>
          </w:tcPr>
          <w:p>
            <w:r>
              <w:t>6.75kW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r>
              <w:t>线路损耗效率</w:t>
            </w:r>
          </w:p>
        </w:tc>
        <w:tc>
          <w:tcPr>
            <w:vAlign w:val="center"/>
          </w:tcPr>
          <w:p>
            <w:r>
              <w:t>0.01</w:t>
            </w:r>
          </w:p>
        </w:tc>
        <w:tc>
          <w:tcPr>
            <w:shd w:val="clear" w:color="auto" w:fill="E6E6E6"/>
            <w:vAlign w:val="center"/>
          </w:tcPr>
          <w:p>
            <w:r>
              <w:t>材料表面污染效率</w:t>
            </w:r>
          </w:p>
        </w:tc>
        <w:tc>
          <w:tcPr>
            <w:vAlign w:val="center"/>
          </w:tcPr>
          <w:p>
            <w:r>
              <w:t>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r>
              <w:t>修正系数</w:t>
            </w:r>
          </w:p>
        </w:tc>
        <w:tc>
          <w:tcPr>
            <w:vAlign w:val="center"/>
          </w:tcPr>
          <w:p>
            <w:r>
              <w:t>0.01</w:t>
            </w:r>
          </w:p>
        </w:tc>
        <w:tc>
          <w:tcPr>
            <w:shd w:val="clear" w:color="auto" w:fill="E6E6E6"/>
            <w:vAlign w:val="center"/>
          </w:tcPr>
          <w:p>
            <w:r>
              <w:t>系统综合效率</w:t>
            </w:r>
          </w:p>
        </w:tc>
        <w:tc>
          <w:tcPr>
            <w:vAlign w:val="center"/>
          </w:tcPr>
          <w:p>
            <w:r>
              <w:t>93.1%</w:t>
            </w:r>
          </w:p>
        </w:tc>
      </w:tr>
    </w:tbl>
    <w:p>
      <w:pPr>
        <w:jc w:val="center"/>
      </w:pPr>
      <w:bookmarkStart w:id="41" w:name="光伏系统信息表"/>
      <w:bookmarkEnd w:id="41"/>
    </w:p>
    <w:p>
      <w:pPr>
        <w:pStyle w:val="3"/>
        <w:ind w:firstLine="199" w:firstLineChars="83"/>
      </w:pPr>
    </w:p>
    <w:p>
      <w:pPr>
        <w:pStyle w:val="4"/>
      </w:pPr>
      <w:bookmarkStart w:id="42" w:name="_Toc20136"/>
      <w:r>
        <w:rPr>
          <w:rFonts w:hint="eastAsia"/>
        </w:rPr>
        <w:t>发电量</w:t>
      </w:r>
      <w:bookmarkEnd w:id="42"/>
    </w:p>
    <w:p>
      <w:pPr>
        <w:pStyle w:val="3"/>
        <w:ind w:firstLine="480" w:firstLineChars="200"/>
        <w:rPr>
          <w:rFonts w:hint="eastAsia"/>
          <w:lang w:val="en-US"/>
        </w:rPr>
      </w:pPr>
      <w:r>
        <w:rPr>
          <w:rFonts w:hint="eastAsia"/>
          <w:lang w:val="en-US"/>
        </w:rPr>
        <w:t>确定光伏系统计算参数取值，同时考虑周围建筑物遮挡、光伏板之间的遮挡影响，根据5.4节中公式可求得光伏系统发电量。</w:t>
      </w:r>
    </w:p>
    <w:p>
      <w:pPr>
        <w:jc w:val="center"/>
        <w:rPr>
          <w:rFonts w:ascii="黑体" w:hAnsi="黑体" w:eastAsia="黑体" w:cs="宋体"/>
          <w:bCs/>
          <w:color w:val="000000"/>
          <w:szCs w:val="18"/>
          <w:lang w:val="en-US"/>
        </w:rPr>
      </w:pPr>
      <w:r>
        <w:rPr>
          <w:rFonts w:hint="eastAsia" w:ascii="黑体" w:hAnsi="黑体" w:eastAsia="黑体" w:cs="宋体"/>
          <w:bCs/>
          <w:color w:val="000000"/>
          <w:szCs w:val="18"/>
          <w:lang w:val="en-US"/>
        </w:rPr>
        <w:t>表5</w:t>
      </w:r>
      <w:r>
        <w:rPr>
          <w:rFonts w:ascii="黑体" w:hAnsi="黑体" w:eastAsia="黑体" w:cs="宋体"/>
          <w:bCs/>
          <w:color w:val="000000"/>
          <w:szCs w:val="18"/>
          <w:lang w:val="en-US"/>
        </w:rPr>
        <w:t xml:space="preserve"> </w:t>
      </w:r>
      <w:r>
        <w:rPr>
          <w:rFonts w:hint="eastAsia" w:ascii="黑体" w:hAnsi="黑体" w:eastAsia="黑体" w:cs="宋体"/>
          <w:bCs/>
          <w:color w:val="000000"/>
          <w:szCs w:val="18"/>
          <w:lang w:val="en-US"/>
        </w:rPr>
        <w:t>光伏系统发电量</w:t>
      </w:r>
    </w:p>
    <w:tbl>
      <w:tblPr>
        <w:tblStyle w:val="29"/>
        <w:tblW w:w="9282"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84"/>
        <w:gridCol w:w="2830"/>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rPr>
                <w:b/>
              </w:rPr>
              <w:t>月</w:t>
            </w:r>
          </w:p>
        </w:tc>
        <w:tc>
          <w:tcPr>
            <w:shd w:val="clear" w:color="auto" w:fill="E6E6E6"/>
            <w:vAlign w:val="center"/>
          </w:tcPr>
          <w:p>
            <w:pPr>
              <w:jc w:val="center"/>
            </w:pPr>
            <w:r>
              <w:rPr>
                <w:b/>
              </w:rPr>
              <w:t>太阳能总辐照量</w:t>
            </w:r>
            <w:r>
              <w:rPr>
                <w:b/>
              </w:rPr>
              <w:br w:type="textWrapping"/>
            </w:r>
            <w:r>
              <w:rPr>
                <w:b/>
              </w:rPr>
              <w:t>kWh/㎡</w:t>
            </w:r>
          </w:p>
        </w:tc>
        <w:tc>
          <w:tcPr>
            <w:shd w:val="clear" w:color="auto" w:fill="E6E6E6"/>
            <w:vAlign w:val="center"/>
          </w:tcPr>
          <w:p>
            <w:pPr>
              <w:jc w:val="center"/>
            </w:pPr>
            <w:r>
              <w:rPr>
                <w:b/>
              </w:rPr>
              <w:t>交流发电量MWh</w:t>
            </w:r>
          </w:p>
        </w:tc>
        <w:tc>
          <w:tcPr>
            <w:shd w:val="clear" w:color="auto" w:fill="E6E6E6"/>
            <w:vAlign w:val="center"/>
          </w:tcPr>
          <w:p>
            <w:pPr>
              <w:jc w:val="center"/>
            </w:pPr>
            <w:r>
              <w:rPr>
                <w:b/>
              </w:rPr>
              <w:t>占全年百分比%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t>1月</w:t>
            </w:r>
          </w:p>
        </w:tc>
        <w:tc>
          <w:tcPr>
            <w:vAlign w:val="center"/>
          </w:tcPr>
          <w:p>
            <w:pPr>
              <w:jc w:val="center"/>
            </w:pPr>
            <w:r>
              <w:t>13.0</w:t>
            </w:r>
          </w:p>
        </w:tc>
        <w:tc>
          <w:tcPr>
            <w:vAlign w:val="center"/>
          </w:tcPr>
          <w:p>
            <w:pPr>
              <w:jc w:val="center"/>
            </w:pPr>
            <w:r>
              <w:t>0.07</w:t>
            </w:r>
          </w:p>
        </w:tc>
        <w:tc>
          <w:tcPr>
            <w:vAlign w:val="center"/>
          </w:tcPr>
          <w:p>
            <w:pPr>
              <w:jc w:val="center"/>
            </w:pPr>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t>2月</w:t>
            </w:r>
          </w:p>
        </w:tc>
        <w:tc>
          <w:tcPr>
            <w:vAlign w:val="center"/>
          </w:tcPr>
          <w:p>
            <w:pPr>
              <w:jc w:val="center"/>
            </w:pPr>
            <w:r>
              <w:t>22.4</w:t>
            </w:r>
          </w:p>
        </w:tc>
        <w:tc>
          <w:tcPr>
            <w:vAlign w:val="center"/>
          </w:tcPr>
          <w:p>
            <w:pPr>
              <w:jc w:val="center"/>
            </w:pPr>
            <w:r>
              <w:t>0.12</w:t>
            </w:r>
          </w:p>
        </w:tc>
        <w:tc>
          <w:tcPr>
            <w:vAlign w:val="center"/>
          </w:tcPr>
          <w:p>
            <w:pPr>
              <w:jc w:val="center"/>
            </w:pPr>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t>3月</w:t>
            </w:r>
          </w:p>
        </w:tc>
        <w:tc>
          <w:tcPr>
            <w:vAlign w:val="center"/>
          </w:tcPr>
          <w:p>
            <w:pPr>
              <w:jc w:val="center"/>
            </w:pPr>
            <w:r>
              <w:t>49.5</w:t>
            </w:r>
          </w:p>
        </w:tc>
        <w:tc>
          <w:tcPr>
            <w:vAlign w:val="center"/>
          </w:tcPr>
          <w:p>
            <w:pPr>
              <w:jc w:val="center"/>
            </w:pPr>
            <w:r>
              <w:t>0.26</w:t>
            </w:r>
          </w:p>
        </w:tc>
        <w:tc>
          <w:tcPr>
            <w:vAlign w:val="center"/>
          </w:tcPr>
          <w:p>
            <w:pPr>
              <w:jc w:val="center"/>
            </w:pPr>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t>4月</w:t>
            </w:r>
          </w:p>
        </w:tc>
        <w:tc>
          <w:tcPr>
            <w:vAlign w:val="center"/>
          </w:tcPr>
          <w:p>
            <w:pPr>
              <w:jc w:val="center"/>
            </w:pPr>
            <w:r>
              <w:t>55.7</w:t>
            </w:r>
          </w:p>
        </w:tc>
        <w:tc>
          <w:tcPr>
            <w:vAlign w:val="center"/>
          </w:tcPr>
          <w:p>
            <w:pPr>
              <w:jc w:val="center"/>
            </w:pPr>
            <w:r>
              <w:t>0.29</w:t>
            </w:r>
          </w:p>
        </w:tc>
        <w:tc>
          <w:tcPr>
            <w:vAlign w:val="center"/>
          </w:tcPr>
          <w:p>
            <w:pPr>
              <w:jc w:val="center"/>
            </w:pPr>
            <w: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t>5月</w:t>
            </w:r>
          </w:p>
        </w:tc>
        <w:tc>
          <w:tcPr>
            <w:vAlign w:val="center"/>
          </w:tcPr>
          <w:p>
            <w:pPr>
              <w:jc w:val="center"/>
            </w:pPr>
            <w:r>
              <w:t>69.9</w:t>
            </w:r>
          </w:p>
        </w:tc>
        <w:tc>
          <w:tcPr>
            <w:vAlign w:val="center"/>
          </w:tcPr>
          <w:p>
            <w:pPr>
              <w:jc w:val="center"/>
            </w:pPr>
            <w:r>
              <w:t>0.36</w:t>
            </w:r>
          </w:p>
        </w:tc>
        <w:tc>
          <w:tcPr>
            <w:vAlign w:val="center"/>
          </w:tcPr>
          <w:p>
            <w:pPr>
              <w:jc w:val="center"/>
            </w:pPr>
            <w:r>
              <w:t>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t>6月</w:t>
            </w:r>
          </w:p>
        </w:tc>
        <w:tc>
          <w:tcPr>
            <w:vAlign w:val="center"/>
          </w:tcPr>
          <w:p>
            <w:pPr>
              <w:jc w:val="center"/>
            </w:pPr>
            <w:r>
              <w:t>62.3</w:t>
            </w:r>
          </w:p>
        </w:tc>
        <w:tc>
          <w:tcPr>
            <w:vAlign w:val="center"/>
          </w:tcPr>
          <w:p>
            <w:pPr>
              <w:jc w:val="center"/>
            </w:pPr>
            <w:r>
              <w:t>0.32</w:t>
            </w:r>
          </w:p>
        </w:tc>
        <w:tc>
          <w:tcPr>
            <w:vAlign w:val="center"/>
          </w:tcPr>
          <w:p>
            <w:pPr>
              <w:jc w:val="center"/>
            </w:pPr>
            <w:r>
              <w:t>10.8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t>7月</w:t>
            </w:r>
          </w:p>
        </w:tc>
        <w:tc>
          <w:tcPr>
            <w:vAlign w:val="center"/>
          </w:tcPr>
          <w:p>
            <w:pPr>
              <w:jc w:val="center"/>
            </w:pPr>
            <w:r>
              <w:t>89.1</w:t>
            </w:r>
          </w:p>
        </w:tc>
        <w:tc>
          <w:tcPr>
            <w:vAlign w:val="center"/>
          </w:tcPr>
          <w:p>
            <w:pPr>
              <w:jc w:val="center"/>
            </w:pPr>
            <w:r>
              <w:t>0.46</w:t>
            </w:r>
          </w:p>
        </w:tc>
        <w:tc>
          <w:tcPr>
            <w:vAlign w:val="center"/>
          </w:tcPr>
          <w:p>
            <w:pPr>
              <w:jc w:val="center"/>
            </w:pPr>
            <w:r>
              <w:t>15.5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t>8月</w:t>
            </w:r>
          </w:p>
        </w:tc>
        <w:tc>
          <w:tcPr>
            <w:vAlign w:val="center"/>
          </w:tcPr>
          <w:p>
            <w:pPr>
              <w:jc w:val="center"/>
            </w:pPr>
            <w:r>
              <w:t>89.7</w:t>
            </w:r>
          </w:p>
        </w:tc>
        <w:tc>
          <w:tcPr>
            <w:vAlign w:val="center"/>
          </w:tcPr>
          <w:p>
            <w:pPr>
              <w:jc w:val="center"/>
            </w:pPr>
            <w:r>
              <w:t>0.47</w:t>
            </w:r>
          </w:p>
        </w:tc>
        <w:tc>
          <w:tcPr>
            <w:vAlign w:val="center"/>
          </w:tcPr>
          <w:p>
            <w:pPr>
              <w:jc w:val="center"/>
            </w:pPr>
            <w:r>
              <w:t>15.6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t>9月</w:t>
            </w:r>
          </w:p>
        </w:tc>
        <w:tc>
          <w:tcPr>
            <w:vAlign w:val="center"/>
          </w:tcPr>
          <w:p>
            <w:pPr>
              <w:jc w:val="center"/>
            </w:pPr>
            <w:r>
              <w:t>57.8</w:t>
            </w:r>
          </w:p>
        </w:tc>
        <w:tc>
          <w:tcPr>
            <w:vAlign w:val="center"/>
          </w:tcPr>
          <w:p>
            <w:pPr>
              <w:jc w:val="center"/>
            </w:pPr>
            <w:r>
              <w:t>0.30</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t>10月</w:t>
            </w:r>
          </w:p>
        </w:tc>
        <w:tc>
          <w:tcPr>
            <w:vAlign w:val="center"/>
          </w:tcPr>
          <w:p>
            <w:pPr>
              <w:jc w:val="center"/>
            </w:pPr>
            <w:r>
              <w:t>35.4</w:t>
            </w:r>
          </w:p>
        </w:tc>
        <w:tc>
          <w:tcPr>
            <w:vAlign w:val="center"/>
          </w:tcPr>
          <w:p>
            <w:pPr>
              <w:jc w:val="center"/>
            </w:pPr>
            <w:r>
              <w:t>0.18</w:t>
            </w:r>
          </w:p>
        </w:tc>
        <w:tc>
          <w:tcPr>
            <w:vAlign w:val="center"/>
          </w:tcPr>
          <w:p>
            <w:pPr>
              <w:jc w:val="center"/>
            </w:pPr>
            <w:r>
              <w:t>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t>11月</w:t>
            </w:r>
          </w:p>
        </w:tc>
        <w:tc>
          <w:tcPr>
            <w:vAlign w:val="center"/>
          </w:tcPr>
          <w:p>
            <w:pPr>
              <w:jc w:val="center"/>
            </w:pPr>
            <w:r>
              <w:t>19.3</w:t>
            </w:r>
          </w:p>
        </w:tc>
        <w:tc>
          <w:tcPr>
            <w:vAlign w:val="center"/>
          </w:tcPr>
          <w:p>
            <w:pPr>
              <w:jc w:val="center"/>
            </w:pPr>
            <w:r>
              <w:t>0.10</w:t>
            </w:r>
          </w:p>
        </w:tc>
        <w:tc>
          <w:tcPr>
            <w:vAlign w:val="center"/>
          </w:tcPr>
          <w:p>
            <w:pPr>
              <w:jc w:val="center"/>
            </w:pPr>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t>12月</w:t>
            </w:r>
          </w:p>
        </w:tc>
        <w:tc>
          <w:tcPr>
            <w:vAlign w:val="center"/>
          </w:tcPr>
          <w:p>
            <w:pPr>
              <w:jc w:val="center"/>
            </w:pPr>
            <w:r>
              <w:t>10.7</w:t>
            </w:r>
          </w:p>
        </w:tc>
        <w:tc>
          <w:tcPr>
            <w:vAlign w:val="center"/>
          </w:tcPr>
          <w:p>
            <w:pPr>
              <w:jc w:val="center"/>
            </w:pPr>
            <w:r>
              <w:t>0.06</w:t>
            </w:r>
          </w:p>
        </w:tc>
        <w:tc>
          <w:tcPr>
            <w:vAlign w:val="center"/>
          </w:tcPr>
          <w:p>
            <w:pPr>
              <w:jc w:val="center"/>
            </w:pPr>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t>全年</w:t>
            </w:r>
          </w:p>
        </w:tc>
        <w:tc>
          <w:tcPr>
            <w:vAlign w:val="center"/>
          </w:tcPr>
          <w:p>
            <w:pPr>
              <w:jc w:val="center"/>
            </w:pPr>
            <w:r>
              <w:t>574.7</w:t>
            </w:r>
          </w:p>
        </w:tc>
        <w:tc>
          <w:tcPr>
            <w:vAlign w:val="center"/>
          </w:tcPr>
          <w:p>
            <w:pPr>
              <w:jc w:val="center"/>
            </w:pPr>
            <w:r>
              <w:t>2.99788</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rPr>
                <w:b/>
              </w:rPr>
            </w:pPr>
            <w:r>
              <w:rPr>
                <w:b/>
              </w:rPr>
              <w:t>年总发电量</w:t>
            </w:r>
          </w:p>
        </w:tc>
        <w:tc>
          <w:tcPr>
            <w:gridSpan w:val="3"/>
            <w:vAlign w:val="center"/>
          </w:tcPr>
          <w:p>
            <w:pPr>
              <w:jc w:val="center"/>
              <w:rPr>
                <w:b/>
              </w:rPr>
            </w:pPr>
            <w:r>
              <w:rPr>
                <w:b/>
              </w:rPr>
              <w:t>3.0MWh</w:t>
            </w:r>
          </w:p>
        </w:tc>
      </w:tr>
    </w:tbl>
    <w:p>
      <w:pPr>
        <w:pStyle w:val="3"/>
      </w:pPr>
      <w:bookmarkStart w:id="43" w:name="初始阶段光伏发电产量表"/>
      <w:bookmarkEnd w:id="43"/>
    </w:p>
    <w:p>
      <w:pPr>
        <w:pStyle w:val="3"/>
        <w:jc w:val="center"/>
      </w:pPr>
      <w:bookmarkStart w:id="44" w:name="光伏发电彩图"/>
      <w:bookmarkEnd w:id="44"/>
      <w:r>
        <w:drawing>
          <wp:inline distT="0" distB="0" distL="0" distR="0">
            <wp:extent cx="5667375" cy="4943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8"/>
                    <a:stretch>
                      <a:fillRect/>
                    </a:stretch>
                  </pic:blipFill>
                  <pic:spPr>
                    <a:xfrm>
                      <a:off x="0" y="0"/>
                      <a:ext cx="5667375" cy="4943475"/>
                    </a:xfrm>
                    <a:prstGeom prst="rect">
                      <a:avLst/>
                    </a:prstGeom>
                  </pic:spPr>
                </pic:pic>
              </a:graphicData>
            </a:graphic>
          </wp:inline>
        </w:drawing>
      </w:r>
    </w:p>
    <w:p>
      <w:pPr>
        <w:pStyle w:val="3"/>
      </w:pPr>
    </w:p>
    <w:p>
      <w:pPr>
        <w:jc w:val="center"/>
        <w:rPr>
          <w:rFonts w:ascii="黑体" w:hAnsi="黑体" w:eastAsia="黑体" w:cs="宋体"/>
          <w:bCs/>
          <w:color w:val="000000"/>
          <w:szCs w:val="18"/>
          <w:lang w:val="en-US"/>
        </w:rPr>
      </w:pPr>
      <w:r>
        <w:rPr>
          <w:rFonts w:hint="eastAsia" w:ascii="黑体" w:hAnsi="黑体" w:eastAsia="黑体" w:cs="宋体"/>
          <w:bCs/>
          <w:color w:val="000000"/>
          <w:szCs w:val="18"/>
          <w:lang w:val="en-US"/>
        </w:rPr>
        <w:t>图3</w:t>
      </w:r>
      <w:r>
        <w:rPr>
          <w:rFonts w:ascii="黑体" w:hAnsi="黑体" w:eastAsia="黑体" w:cs="宋体"/>
          <w:bCs/>
          <w:color w:val="000000"/>
          <w:szCs w:val="18"/>
          <w:lang w:val="en-US"/>
        </w:rPr>
        <w:t xml:space="preserve"> </w:t>
      </w:r>
      <w:r>
        <w:rPr>
          <w:rFonts w:hint="eastAsia" w:ascii="黑体" w:hAnsi="黑体" w:eastAsia="黑体" w:cs="宋体"/>
          <w:bCs/>
          <w:color w:val="000000"/>
          <w:szCs w:val="18"/>
          <w:lang w:val="en-US"/>
        </w:rPr>
        <w:t>光伏发电彩图</w:t>
      </w:r>
    </w:p>
    <w:p>
      <w:pPr>
        <w:jc w:val="center"/>
      </w:pPr>
      <w:bookmarkStart w:id="45" w:name="太阳能总辐照量图"/>
      <w:bookmarkEnd w:id="45"/>
    </w:p>
    <w:p>
      <w:pPr>
        <w:jc w:val="center"/>
        <w:rPr>
          <w:rFonts w:ascii="黑体" w:hAnsi="黑体" w:eastAsia="黑体" w:cs="宋体"/>
          <w:bCs/>
          <w:color w:val="000000"/>
          <w:szCs w:val="18"/>
          <w:lang w:val="en-US"/>
        </w:rPr>
      </w:pPr>
      <w:r>
        <w:rPr>
          <w:rFonts w:hint="eastAsia" w:ascii="黑体" w:hAnsi="黑体" w:eastAsia="黑体" w:cs="宋体"/>
          <w:bCs/>
          <w:color w:val="000000"/>
          <w:szCs w:val="18"/>
          <w:lang w:val="en-US"/>
        </w:rPr>
        <w:t>图</w:t>
      </w:r>
      <w:r>
        <w:rPr>
          <w:rFonts w:ascii="黑体" w:hAnsi="黑体" w:eastAsia="黑体" w:cs="宋体"/>
          <w:bCs/>
          <w:color w:val="000000"/>
          <w:szCs w:val="18"/>
          <w:lang w:val="en-US"/>
        </w:rPr>
        <w:t xml:space="preserve">4 </w:t>
      </w:r>
      <w:r>
        <w:rPr>
          <w:rFonts w:hint="eastAsia" w:ascii="黑体" w:hAnsi="黑体" w:eastAsia="黑体" w:cs="宋体"/>
          <w:bCs/>
          <w:color w:val="000000"/>
          <w:szCs w:val="18"/>
          <w:lang w:val="en-US"/>
        </w:rPr>
        <w:t>太阳能总辐照量图</w:t>
      </w:r>
    </w:p>
    <w:p>
      <w:pPr>
        <w:jc w:val="center"/>
      </w:pPr>
      <w:bookmarkStart w:id="46" w:name="交流发电量图"/>
      <w:bookmarkEnd w:id="46"/>
    </w:p>
    <w:p>
      <w:pPr>
        <w:jc w:val="center"/>
        <w:rPr>
          <w:rFonts w:ascii="黑体" w:hAnsi="黑体" w:eastAsia="黑体" w:cs="宋体"/>
          <w:bCs/>
          <w:color w:val="000000"/>
          <w:szCs w:val="18"/>
          <w:lang w:val="en-US"/>
        </w:rPr>
      </w:pPr>
      <w:r>
        <w:rPr>
          <w:rFonts w:hint="eastAsia" w:ascii="黑体" w:hAnsi="黑体" w:eastAsia="黑体" w:cs="宋体"/>
          <w:bCs/>
          <w:color w:val="000000"/>
          <w:szCs w:val="18"/>
          <w:lang w:val="en-US"/>
        </w:rPr>
        <w:t>图</w:t>
      </w:r>
      <w:r>
        <w:rPr>
          <w:rFonts w:ascii="黑体" w:hAnsi="黑体" w:eastAsia="黑体" w:cs="宋体"/>
          <w:bCs/>
          <w:color w:val="000000"/>
          <w:szCs w:val="18"/>
          <w:lang w:val="en-US"/>
        </w:rPr>
        <w:t>6</w:t>
      </w:r>
      <w:r>
        <w:rPr>
          <w:rFonts w:hint="eastAsia" w:ascii="黑体" w:hAnsi="黑体" w:eastAsia="黑体" w:cs="宋体"/>
          <w:bCs/>
          <w:color w:val="000000"/>
          <w:szCs w:val="18"/>
          <w:lang w:val="en-US"/>
        </w:rPr>
        <w:t>交流发电量图</w:t>
      </w:r>
    </w:p>
    <w:p>
      <w:pPr>
        <w:pStyle w:val="2"/>
        <w:ind w:left="432" w:hanging="432"/>
      </w:pPr>
      <w:bookmarkStart w:id="47" w:name="_Toc16344"/>
      <w:r>
        <w:rPr>
          <w:rFonts w:hint="eastAsia"/>
        </w:rPr>
        <w:t>结论</w:t>
      </w:r>
      <w:bookmarkEnd w:id="47"/>
    </w:p>
    <w:p>
      <w:pPr>
        <w:pStyle w:val="3"/>
        <w:ind w:firstLine="480"/>
        <w:rPr>
          <w:rFonts w:eastAsiaTheme="minorEastAsia"/>
          <w:b/>
          <w:bCs/>
          <w:color w:val="F79646"/>
          <w:szCs w:val="24"/>
          <w:lang w:val="en-US"/>
        </w:rPr>
      </w:pPr>
      <w:r>
        <w:t>综上所述，本项目中光伏组件面积为</w:t>
      </w:r>
      <w:bookmarkStart w:id="48" w:name="组件面积"/>
      <w:r>
        <w:rPr>
          <w:u w:val="single"/>
        </w:rPr>
        <w:t>246</w:t>
      </w:r>
      <w:bookmarkEnd w:id="48"/>
      <w:r>
        <w:t>m</w:t>
      </w:r>
      <w:r>
        <w:rPr>
          <w:vertAlign w:val="superscript"/>
        </w:rPr>
        <w:t>2</w:t>
      </w:r>
      <w:r>
        <w:t>，总装机</w:t>
      </w:r>
      <w:r>
        <w:rPr>
          <w:rFonts w:hint="eastAsia"/>
        </w:rPr>
        <w:t>容</w:t>
      </w:r>
      <w:r>
        <w:t>量为</w:t>
      </w:r>
      <w:bookmarkStart w:id="49" w:name="总装机量"/>
      <w:r>
        <w:rPr>
          <w:u w:val="single"/>
        </w:rPr>
        <w:t>5.6</w:t>
      </w:r>
      <w:bookmarkEnd w:id="49"/>
      <w:r>
        <w:t>kW，全年总发电量为</w:t>
      </w:r>
      <w:bookmarkStart w:id="50" w:name="全年总发电量"/>
      <w:r>
        <w:rPr>
          <w:u w:val="single"/>
        </w:rPr>
        <w:t>3.0</w:t>
      </w:r>
      <w:bookmarkEnd w:id="50"/>
      <w:r>
        <w:t>MWh</w:t>
      </w:r>
      <w:r>
        <w:rPr>
          <w:rFonts w:eastAsiaTheme="minorEastAsia"/>
          <w:b/>
          <w:bCs/>
          <w:szCs w:val="24"/>
          <w:lang w:val="en-US"/>
        </w:rPr>
        <w:t>。</w:t>
      </w:r>
    </w:p>
    <w:p>
      <w:pPr>
        <w:pStyle w:val="3"/>
        <w:ind w:firstLine="48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color w:val="auto"/>
        <w:u w:val="none"/>
      </w:rPr>
      <w:t>http://www.gbsware.cn/</w:t>
    </w:r>
    <w:r>
      <w:rPr>
        <w:rStyle w:val="35"/>
        <w:color w:val="auto"/>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5</w:t>
    </w:r>
    <w:r>
      <w:fldChar w:fldCharType="end"/>
    </w:r>
    <w:r>
      <w:tab/>
    </w:r>
    <w:r>
      <w:rPr>
        <w:rFonts w:ascii="微软雅黑" w:hAnsi="微软雅黑" w:eastAsia="微软雅黑"/>
        <w:sz w:val="16"/>
      </w:rPr>
      <w:t>Sun日照分析</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6" w:space="2"/>
      </w:pBdr>
      <w:jc w:val="right"/>
      <w:rPr>
        <w:rFonts w:ascii="微软雅黑" w:hAnsi="微软雅黑" w:eastAsia="微软雅黑"/>
        <w:sz w:val="16"/>
        <w:szCs w:val="16"/>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t xml:space="preserve">               </w:t>
    </w:r>
    <w:r>
      <w:rPr>
        <w:rFonts w:hint="eastAsia" w:ascii="微软雅黑" w:hAnsi="微软雅黑" w:eastAsia="微软雅黑"/>
        <w:sz w:val="16"/>
        <w:szCs w:val="16"/>
      </w:rPr>
      <w:t>可再生能源利用分析报告——光伏发电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jMWE5ZjY0MmRhNzdjMTJhODRlOTI4NTRkMmZhN2UifQ=="/>
  </w:docVars>
  <w:rsids>
    <w:rsidRoot w:val="023D0249"/>
    <w:rsid w:val="00003DC1"/>
    <w:rsid w:val="000050E7"/>
    <w:rsid w:val="0000607E"/>
    <w:rsid w:val="00013E99"/>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5FB6"/>
    <w:rsid w:val="000C731C"/>
    <w:rsid w:val="000C735A"/>
    <w:rsid w:val="000D0ED5"/>
    <w:rsid w:val="000D17C2"/>
    <w:rsid w:val="000D1936"/>
    <w:rsid w:val="000D407B"/>
    <w:rsid w:val="000D722D"/>
    <w:rsid w:val="000E2CD7"/>
    <w:rsid w:val="000E3005"/>
    <w:rsid w:val="000E3DEA"/>
    <w:rsid w:val="000E70D9"/>
    <w:rsid w:val="000E767D"/>
    <w:rsid w:val="000F1573"/>
    <w:rsid w:val="000F48FD"/>
    <w:rsid w:val="000F7EF2"/>
    <w:rsid w:val="000F7FEF"/>
    <w:rsid w:val="00101764"/>
    <w:rsid w:val="0010266A"/>
    <w:rsid w:val="00103200"/>
    <w:rsid w:val="001037D7"/>
    <w:rsid w:val="0010498F"/>
    <w:rsid w:val="00105DF2"/>
    <w:rsid w:val="00107DB7"/>
    <w:rsid w:val="001104AC"/>
    <w:rsid w:val="00110A51"/>
    <w:rsid w:val="00111340"/>
    <w:rsid w:val="00112680"/>
    <w:rsid w:val="001141E2"/>
    <w:rsid w:val="001146C5"/>
    <w:rsid w:val="00116760"/>
    <w:rsid w:val="00116D30"/>
    <w:rsid w:val="00117919"/>
    <w:rsid w:val="00122AE1"/>
    <w:rsid w:val="00127ED6"/>
    <w:rsid w:val="0013157A"/>
    <w:rsid w:val="00132AD6"/>
    <w:rsid w:val="00135FDD"/>
    <w:rsid w:val="00136510"/>
    <w:rsid w:val="00141170"/>
    <w:rsid w:val="00142905"/>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70E95"/>
    <w:rsid w:val="0017134B"/>
    <w:rsid w:val="00176AB5"/>
    <w:rsid w:val="00180509"/>
    <w:rsid w:val="00180537"/>
    <w:rsid w:val="001811B7"/>
    <w:rsid w:val="00182BC7"/>
    <w:rsid w:val="00183888"/>
    <w:rsid w:val="00183E21"/>
    <w:rsid w:val="00191705"/>
    <w:rsid w:val="0019340E"/>
    <w:rsid w:val="00195963"/>
    <w:rsid w:val="001A192D"/>
    <w:rsid w:val="001A1F30"/>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1F4DC0"/>
    <w:rsid w:val="00201BD9"/>
    <w:rsid w:val="00202A21"/>
    <w:rsid w:val="002038AE"/>
    <w:rsid w:val="00203A7D"/>
    <w:rsid w:val="00204D80"/>
    <w:rsid w:val="00204DCA"/>
    <w:rsid w:val="00205784"/>
    <w:rsid w:val="00205BD3"/>
    <w:rsid w:val="002126D4"/>
    <w:rsid w:val="0021391C"/>
    <w:rsid w:val="00214AC8"/>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113"/>
    <w:rsid w:val="002608C3"/>
    <w:rsid w:val="00266C91"/>
    <w:rsid w:val="002676B9"/>
    <w:rsid w:val="0027073D"/>
    <w:rsid w:val="00270781"/>
    <w:rsid w:val="0027523A"/>
    <w:rsid w:val="0027556A"/>
    <w:rsid w:val="00275990"/>
    <w:rsid w:val="00283BF0"/>
    <w:rsid w:val="002851FD"/>
    <w:rsid w:val="00290E85"/>
    <w:rsid w:val="002933AC"/>
    <w:rsid w:val="00294F67"/>
    <w:rsid w:val="00294F7E"/>
    <w:rsid w:val="002A07F5"/>
    <w:rsid w:val="002A2F2E"/>
    <w:rsid w:val="002A7369"/>
    <w:rsid w:val="002A79FB"/>
    <w:rsid w:val="002B1937"/>
    <w:rsid w:val="002B2590"/>
    <w:rsid w:val="002B25D8"/>
    <w:rsid w:val="002B5DD0"/>
    <w:rsid w:val="002B6033"/>
    <w:rsid w:val="002B7899"/>
    <w:rsid w:val="002C161B"/>
    <w:rsid w:val="002C172E"/>
    <w:rsid w:val="002C17A2"/>
    <w:rsid w:val="002C2F77"/>
    <w:rsid w:val="002C3D85"/>
    <w:rsid w:val="002C62E3"/>
    <w:rsid w:val="002D2BBC"/>
    <w:rsid w:val="002D37D6"/>
    <w:rsid w:val="002D6F75"/>
    <w:rsid w:val="002E23D1"/>
    <w:rsid w:val="002E5393"/>
    <w:rsid w:val="002E574B"/>
    <w:rsid w:val="002E5A01"/>
    <w:rsid w:val="002E7C19"/>
    <w:rsid w:val="002F2A1B"/>
    <w:rsid w:val="002F6AEA"/>
    <w:rsid w:val="00300223"/>
    <w:rsid w:val="0030437C"/>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5258"/>
    <w:rsid w:val="003258CF"/>
    <w:rsid w:val="00326E0C"/>
    <w:rsid w:val="00327F14"/>
    <w:rsid w:val="00330BA7"/>
    <w:rsid w:val="0033176E"/>
    <w:rsid w:val="00332086"/>
    <w:rsid w:val="0033683A"/>
    <w:rsid w:val="00340EEC"/>
    <w:rsid w:val="0034266A"/>
    <w:rsid w:val="00350752"/>
    <w:rsid w:val="003537C0"/>
    <w:rsid w:val="0035421F"/>
    <w:rsid w:val="00355840"/>
    <w:rsid w:val="00356224"/>
    <w:rsid w:val="00356526"/>
    <w:rsid w:val="003569A9"/>
    <w:rsid w:val="0036330B"/>
    <w:rsid w:val="003642AC"/>
    <w:rsid w:val="00370E69"/>
    <w:rsid w:val="00370EA4"/>
    <w:rsid w:val="0037233F"/>
    <w:rsid w:val="00374DBB"/>
    <w:rsid w:val="00380AAF"/>
    <w:rsid w:val="00390296"/>
    <w:rsid w:val="00391613"/>
    <w:rsid w:val="00393106"/>
    <w:rsid w:val="0039319C"/>
    <w:rsid w:val="003964EA"/>
    <w:rsid w:val="003979FD"/>
    <w:rsid w:val="003A1077"/>
    <w:rsid w:val="003A2B52"/>
    <w:rsid w:val="003A2CE1"/>
    <w:rsid w:val="003A3E76"/>
    <w:rsid w:val="003A42A2"/>
    <w:rsid w:val="003A5353"/>
    <w:rsid w:val="003B1212"/>
    <w:rsid w:val="003B1331"/>
    <w:rsid w:val="003C056D"/>
    <w:rsid w:val="003C28C1"/>
    <w:rsid w:val="003C4EA8"/>
    <w:rsid w:val="003C5FD5"/>
    <w:rsid w:val="003C61FC"/>
    <w:rsid w:val="003D0076"/>
    <w:rsid w:val="003D09A8"/>
    <w:rsid w:val="003D10FB"/>
    <w:rsid w:val="003D11B4"/>
    <w:rsid w:val="003D1FC7"/>
    <w:rsid w:val="003D29D9"/>
    <w:rsid w:val="003D2AA8"/>
    <w:rsid w:val="003D4CD3"/>
    <w:rsid w:val="003D5C64"/>
    <w:rsid w:val="003D625C"/>
    <w:rsid w:val="003E1B5F"/>
    <w:rsid w:val="003E2289"/>
    <w:rsid w:val="003E2CED"/>
    <w:rsid w:val="003E5087"/>
    <w:rsid w:val="003F27D2"/>
    <w:rsid w:val="003F60B9"/>
    <w:rsid w:val="003F66A9"/>
    <w:rsid w:val="00400053"/>
    <w:rsid w:val="004024C8"/>
    <w:rsid w:val="004026C2"/>
    <w:rsid w:val="0040698B"/>
    <w:rsid w:val="00406B01"/>
    <w:rsid w:val="0041055A"/>
    <w:rsid w:val="00413082"/>
    <w:rsid w:val="004131D7"/>
    <w:rsid w:val="004140D8"/>
    <w:rsid w:val="00417669"/>
    <w:rsid w:val="00417F29"/>
    <w:rsid w:val="00420487"/>
    <w:rsid w:val="00420DBF"/>
    <w:rsid w:val="004217EB"/>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183"/>
    <w:rsid w:val="00460141"/>
    <w:rsid w:val="0046741E"/>
    <w:rsid w:val="004732C6"/>
    <w:rsid w:val="00473BB3"/>
    <w:rsid w:val="00473C5D"/>
    <w:rsid w:val="0047512A"/>
    <w:rsid w:val="004839C8"/>
    <w:rsid w:val="00486B69"/>
    <w:rsid w:val="00486F6E"/>
    <w:rsid w:val="004A008B"/>
    <w:rsid w:val="004A39D3"/>
    <w:rsid w:val="004A5301"/>
    <w:rsid w:val="004B32AF"/>
    <w:rsid w:val="004C0E3B"/>
    <w:rsid w:val="004C6512"/>
    <w:rsid w:val="004D230F"/>
    <w:rsid w:val="004D239D"/>
    <w:rsid w:val="004D449D"/>
    <w:rsid w:val="004D4831"/>
    <w:rsid w:val="004D7655"/>
    <w:rsid w:val="004D7CE0"/>
    <w:rsid w:val="004E1FAD"/>
    <w:rsid w:val="004E271C"/>
    <w:rsid w:val="004E5DEA"/>
    <w:rsid w:val="004E6D05"/>
    <w:rsid w:val="004F0B9C"/>
    <w:rsid w:val="004F181A"/>
    <w:rsid w:val="004F2B43"/>
    <w:rsid w:val="004F7184"/>
    <w:rsid w:val="00500313"/>
    <w:rsid w:val="00502AB7"/>
    <w:rsid w:val="005046EE"/>
    <w:rsid w:val="00504F54"/>
    <w:rsid w:val="005051EB"/>
    <w:rsid w:val="0050676C"/>
    <w:rsid w:val="00506FA3"/>
    <w:rsid w:val="00507065"/>
    <w:rsid w:val="0051509A"/>
    <w:rsid w:val="0051542F"/>
    <w:rsid w:val="0051646C"/>
    <w:rsid w:val="00517E75"/>
    <w:rsid w:val="005215FB"/>
    <w:rsid w:val="00521623"/>
    <w:rsid w:val="005220CD"/>
    <w:rsid w:val="00522223"/>
    <w:rsid w:val="005270B5"/>
    <w:rsid w:val="0052784E"/>
    <w:rsid w:val="00527C92"/>
    <w:rsid w:val="00531BC0"/>
    <w:rsid w:val="00540B17"/>
    <w:rsid w:val="00542506"/>
    <w:rsid w:val="0054304B"/>
    <w:rsid w:val="005430C1"/>
    <w:rsid w:val="00543726"/>
    <w:rsid w:val="005449BD"/>
    <w:rsid w:val="00547052"/>
    <w:rsid w:val="005504B7"/>
    <w:rsid w:val="005530CE"/>
    <w:rsid w:val="0055385A"/>
    <w:rsid w:val="00553946"/>
    <w:rsid w:val="00555634"/>
    <w:rsid w:val="00555EF2"/>
    <w:rsid w:val="00556D80"/>
    <w:rsid w:val="0055781E"/>
    <w:rsid w:val="00560CD5"/>
    <w:rsid w:val="00562B4A"/>
    <w:rsid w:val="0056509F"/>
    <w:rsid w:val="00567DFC"/>
    <w:rsid w:val="00570A92"/>
    <w:rsid w:val="0057139B"/>
    <w:rsid w:val="0057293E"/>
    <w:rsid w:val="0057371E"/>
    <w:rsid w:val="005755BA"/>
    <w:rsid w:val="00580675"/>
    <w:rsid w:val="00580CDE"/>
    <w:rsid w:val="005844A2"/>
    <w:rsid w:val="005849E9"/>
    <w:rsid w:val="00591D7B"/>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D14F5"/>
    <w:rsid w:val="005D6617"/>
    <w:rsid w:val="005E3966"/>
    <w:rsid w:val="005E4A1B"/>
    <w:rsid w:val="005E5442"/>
    <w:rsid w:val="005E5D67"/>
    <w:rsid w:val="005E5DA4"/>
    <w:rsid w:val="005E6722"/>
    <w:rsid w:val="005E6DB2"/>
    <w:rsid w:val="005E70CA"/>
    <w:rsid w:val="005E76D6"/>
    <w:rsid w:val="005F42C7"/>
    <w:rsid w:val="005F5BA5"/>
    <w:rsid w:val="005F76EF"/>
    <w:rsid w:val="00603BD9"/>
    <w:rsid w:val="00604DDF"/>
    <w:rsid w:val="0061137B"/>
    <w:rsid w:val="00611A83"/>
    <w:rsid w:val="00612A64"/>
    <w:rsid w:val="006142C8"/>
    <w:rsid w:val="0061684A"/>
    <w:rsid w:val="00616D08"/>
    <w:rsid w:val="00617087"/>
    <w:rsid w:val="006170E1"/>
    <w:rsid w:val="0062034E"/>
    <w:rsid w:val="0062232E"/>
    <w:rsid w:val="006226A8"/>
    <w:rsid w:val="006240DC"/>
    <w:rsid w:val="00624BCF"/>
    <w:rsid w:val="006351C7"/>
    <w:rsid w:val="00642BC8"/>
    <w:rsid w:val="00643E2E"/>
    <w:rsid w:val="00644B99"/>
    <w:rsid w:val="00650F1D"/>
    <w:rsid w:val="006522E4"/>
    <w:rsid w:val="00652934"/>
    <w:rsid w:val="00653017"/>
    <w:rsid w:val="006544F4"/>
    <w:rsid w:val="00662B5E"/>
    <w:rsid w:val="00665E03"/>
    <w:rsid w:val="006677F4"/>
    <w:rsid w:val="00670B60"/>
    <w:rsid w:val="00671FB4"/>
    <w:rsid w:val="00675E85"/>
    <w:rsid w:val="00676BC4"/>
    <w:rsid w:val="006807A4"/>
    <w:rsid w:val="00681C5E"/>
    <w:rsid w:val="0068497A"/>
    <w:rsid w:val="0068529A"/>
    <w:rsid w:val="00691729"/>
    <w:rsid w:val="0069401D"/>
    <w:rsid w:val="00694402"/>
    <w:rsid w:val="00694FCA"/>
    <w:rsid w:val="0069600F"/>
    <w:rsid w:val="00696156"/>
    <w:rsid w:val="00696694"/>
    <w:rsid w:val="00697883"/>
    <w:rsid w:val="00697A82"/>
    <w:rsid w:val="006A0DA2"/>
    <w:rsid w:val="006A2656"/>
    <w:rsid w:val="006A7EED"/>
    <w:rsid w:val="006B275A"/>
    <w:rsid w:val="006B628D"/>
    <w:rsid w:val="006C2054"/>
    <w:rsid w:val="006C31C0"/>
    <w:rsid w:val="006C4730"/>
    <w:rsid w:val="006C5DA2"/>
    <w:rsid w:val="006C6D88"/>
    <w:rsid w:val="006D01A7"/>
    <w:rsid w:val="006D0532"/>
    <w:rsid w:val="006D29BE"/>
    <w:rsid w:val="006D7837"/>
    <w:rsid w:val="006D7C59"/>
    <w:rsid w:val="006E2DB9"/>
    <w:rsid w:val="006E380C"/>
    <w:rsid w:val="006E4654"/>
    <w:rsid w:val="006E5937"/>
    <w:rsid w:val="006F0DC3"/>
    <w:rsid w:val="006F1E82"/>
    <w:rsid w:val="006F480A"/>
    <w:rsid w:val="006F68DA"/>
    <w:rsid w:val="006F6958"/>
    <w:rsid w:val="006F7825"/>
    <w:rsid w:val="0070016E"/>
    <w:rsid w:val="00700961"/>
    <w:rsid w:val="0070223F"/>
    <w:rsid w:val="00704059"/>
    <w:rsid w:val="00715C79"/>
    <w:rsid w:val="00717B88"/>
    <w:rsid w:val="00720044"/>
    <w:rsid w:val="00720CD9"/>
    <w:rsid w:val="00721F69"/>
    <w:rsid w:val="00722CF6"/>
    <w:rsid w:val="00723F60"/>
    <w:rsid w:val="007250A6"/>
    <w:rsid w:val="00731CB0"/>
    <w:rsid w:val="0073441C"/>
    <w:rsid w:val="0074146D"/>
    <w:rsid w:val="0074389B"/>
    <w:rsid w:val="00747135"/>
    <w:rsid w:val="007522AD"/>
    <w:rsid w:val="0075470D"/>
    <w:rsid w:val="00760461"/>
    <w:rsid w:val="0076205C"/>
    <w:rsid w:val="00775863"/>
    <w:rsid w:val="0078389D"/>
    <w:rsid w:val="00784B44"/>
    <w:rsid w:val="007859D0"/>
    <w:rsid w:val="00787947"/>
    <w:rsid w:val="0079652C"/>
    <w:rsid w:val="007A2481"/>
    <w:rsid w:val="007A2817"/>
    <w:rsid w:val="007A6363"/>
    <w:rsid w:val="007A7DF0"/>
    <w:rsid w:val="007B1EEC"/>
    <w:rsid w:val="007B6E17"/>
    <w:rsid w:val="007B7859"/>
    <w:rsid w:val="007C0575"/>
    <w:rsid w:val="007C0D61"/>
    <w:rsid w:val="007C324F"/>
    <w:rsid w:val="007C6A30"/>
    <w:rsid w:val="007D0E14"/>
    <w:rsid w:val="007D2688"/>
    <w:rsid w:val="007D56DE"/>
    <w:rsid w:val="007E0DA0"/>
    <w:rsid w:val="007E39A8"/>
    <w:rsid w:val="007E3D1F"/>
    <w:rsid w:val="007E55AC"/>
    <w:rsid w:val="007F09EA"/>
    <w:rsid w:val="00800F96"/>
    <w:rsid w:val="00801234"/>
    <w:rsid w:val="00801632"/>
    <w:rsid w:val="008031D2"/>
    <w:rsid w:val="00805331"/>
    <w:rsid w:val="008054F7"/>
    <w:rsid w:val="008060C3"/>
    <w:rsid w:val="00806523"/>
    <w:rsid w:val="00810B33"/>
    <w:rsid w:val="00810D3F"/>
    <w:rsid w:val="008135FB"/>
    <w:rsid w:val="00815480"/>
    <w:rsid w:val="00816221"/>
    <w:rsid w:val="00834EF6"/>
    <w:rsid w:val="0083639A"/>
    <w:rsid w:val="0083697E"/>
    <w:rsid w:val="00837670"/>
    <w:rsid w:val="00840D90"/>
    <w:rsid w:val="008439F8"/>
    <w:rsid w:val="00844B47"/>
    <w:rsid w:val="00846699"/>
    <w:rsid w:val="00850136"/>
    <w:rsid w:val="008507DF"/>
    <w:rsid w:val="00856B10"/>
    <w:rsid w:val="008604E2"/>
    <w:rsid w:val="008607AC"/>
    <w:rsid w:val="00860C70"/>
    <w:rsid w:val="008637B9"/>
    <w:rsid w:val="008704AB"/>
    <w:rsid w:val="00871BDC"/>
    <w:rsid w:val="00871FC0"/>
    <w:rsid w:val="0087441B"/>
    <w:rsid w:val="008745C1"/>
    <w:rsid w:val="00874A7B"/>
    <w:rsid w:val="00883D6C"/>
    <w:rsid w:val="00886324"/>
    <w:rsid w:val="008870E7"/>
    <w:rsid w:val="00892594"/>
    <w:rsid w:val="008A1241"/>
    <w:rsid w:val="008A54A0"/>
    <w:rsid w:val="008A6504"/>
    <w:rsid w:val="008B0CA0"/>
    <w:rsid w:val="008B15FA"/>
    <w:rsid w:val="008B5516"/>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13C9"/>
    <w:rsid w:val="00901C88"/>
    <w:rsid w:val="009027CD"/>
    <w:rsid w:val="0090340B"/>
    <w:rsid w:val="009039C4"/>
    <w:rsid w:val="0090454F"/>
    <w:rsid w:val="00905F94"/>
    <w:rsid w:val="00911177"/>
    <w:rsid w:val="0091535B"/>
    <w:rsid w:val="009168C0"/>
    <w:rsid w:val="00916F84"/>
    <w:rsid w:val="009239C5"/>
    <w:rsid w:val="00925FCF"/>
    <w:rsid w:val="00927668"/>
    <w:rsid w:val="009363FF"/>
    <w:rsid w:val="00943074"/>
    <w:rsid w:val="0095123C"/>
    <w:rsid w:val="00952779"/>
    <w:rsid w:val="0095325A"/>
    <w:rsid w:val="0095484B"/>
    <w:rsid w:val="00954C89"/>
    <w:rsid w:val="0096074B"/>
    <w:rsid w:val="00962134"/>
    <w:rsid w:val="00962F80"/>
    <w:rsid w:val="00965A34"/>
    <w:rsid w:val="00971A23"/>
    <w:rsid w:val="00973452"/>
    <w:rsid w:val="00975F79"/>
    <w:rsid w:val="0098285F"/>
    <w:rsid w:val="0098418E"/>
    <w:rsid w:val="0098555A"/>
    <w:rsid w:val="00985F81"/>
    <w:rsid w:val="00987DF0"/>
    <w:rsid w:val="00990F63"/>
    <w:rsid w:val="00991801"/>
    <w:rsid w:val="00993CF2"/>
    <w:rsid w:val="009A15B5"/>
    <w:rsid w:val="009A6B0F"/>
    <w:rsid w:val="009B0122"/>
    <w:rsid w:val="009B0C40"/>
    <w:rsid w:val="009C3331"/>
    <w:rsid w:val="009C36BC"/>
    <w:rsid w:val="009C4AE6"/>
    <w:rsid w:val="009D4733"/>
    <w:rsid w:val="009D4E68"/>
    <w:rsid w:val="009D5AAC"/>
    <w:rsid w:val="009E6B81"/>
    <w:rsid w:val="009E7A56"/>
    <w:rsid w:val="009F1865"/>
    <w:rsid w:val="009F5016"/>
    <w:rsid w:val="009F5A35"/>
    <w:rsid w:val="009F5A95"/>
    <w:rsid w:val="009F7C95"/>
    <w:rsid w:val="00A0525F"/>
    <w:rsid w:val="00A0654A"/>
    <w:rsid w:val="00A12783"/>
    <w:rsid w:val="00A14BAF"/>
    <w:rsid w:val="00A16385"/>
    <w:rsid w:val="00A177A6"/>
    <w:rsid w:val="00A25CDF"/>
    <w:rsid w:val="00A25E43"/>
    <w:rsid w:val="00A3147A"/>
    <w:rsid w:val="00A32590"/>
    <w:rsid w:val="00A355BD"/>
    <w:rsid w:val="00A357F7"/>
    <w:rsid w:val="00A41FA7"/>
    <w:rsid w:val="00A439EB"/>
    <w:rsid w:val="00A47443"/>
    <w:rsid w:val="00A47585"/>
    <w:rsid w:val="00A53F4B"/>
    <w:rsid w:val="00A57E38"/>
    <w:rsid w:val="00A60B63"/>
    <w:rsid w:val="00A62B2C"/>
    <w:rsid w:val="00A632B0"/>
    <w:rsid w:val="00A65AD0"/>
    <w:rsid w:val="00A73DF3"/>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AE2"/>
    <w:rsid w:val="00AB38A0"/>
    <w:rsid w:val="00AB3CBA"/>
    <w:rsid w:val="00AB5182"/>
    <w:rsid w:val="00AB5572"/>
    <w:rsid w:val="00AC5B0E"/>
    <w:rsid w:val="00AD0888"/>
    <w:rsid w:val="00AD210B"/>
    <w:rsid w:val="00AD2252"/>
    <w:rsid w:val="00AE1AB7"/>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56590"/>
    <w:rsid w:val="00B57E2E"/>
    <w:rsid w:val="00B60841"/>
    <w:rsid w:val="00B61490"/>
    <w:rsid w:val="00B623AD"/>
    <w:rsid w:val="00B62EF2"/>
    <w:rsid w:val="00B63D29"/>
    <w:rsid w:val="00B65385"/>
    <w:rsid w:val="00B70998"/>
    <w:rsid w:val="00B774E4"/>
    <w:rsid w:val="00B82186"/>
    <w:rsid w:val="00B841DF"/>
    <w:rsid w:val="00B86B1C"/>
    <w:rsid w:val="00B9303C"/>
    <w:rsid w:val="00B950DF"/>
    <w:rsid w:val="00BA3782"/>
    <w:rsid w:val="00BA4C10"/>
    <w:rsid w:val="00BA5C9C"/>
    <w:rsid w:val="00BB3754"/>
    <w:rsid w:val="00BB3B23"/>
    <w:rsid w:val="00BB64F7"/>
    <w:rsid w:val="00BC02AA"/>
    <w:rsid w:val="00BC27C9"/>
    <w:rsid w:val="00BD41E9"/>
    <w:rsid w:val="00BD4583"/>
    <w:rsid w:val="00BD47A9"/>
    <w:rsid w:val="00BD7DD2"/>
    <w:rsid w:val="00BE097E"/>
    <w:rsid w:val="00BE118E"/>
    <w:rsid w:val="00BE1787"/>
    <w:rsid w:val="00BE18AD"/>
    <w:rsid w:val="00BE20EB"/>
    <w:rsid w:val="00BE4583"/>
    <w:rsid w:val="00BF20C9"/>
    <w:rsid w:val="00BF5975"/>
    <w:rsid w:val="00BF6529"/>
    <w:rsid w:val="00C00B16"/>
    <w:rsid w:val="00C02ABE"/>
    <w:rsid w:val="00C03014"/>
    <w:rsid w:val="00C072D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AEE"/>
    <w:rsid w:val="00C37F41"/>
    <w:rsid w:val="00C412BA"/>
    <w:rsid w:val="00C44808"/>
    <w:rsid w:val="00C45C1D"/>
    <w:rsid w:val="00C47D45"/>
    <w:rsid w:val="00C50357"/>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6FD6"/>
    <w:rsid w:val="00CC74BC"/>
    <w:rsid w:val="00CC79AA"/>
    <w:rsid w:val="00CD01C9"/>
    <w:rsid w:val="00CD4869"/>
    <w:rsid w:val="00CD5F63"/>
    <w:rsid w:val="00CD5F7A"/>
    <w:rsid w:val="00CD65F6"/>
    <w:rsid w:val="00CD73BD"/>
    <w:rsid w:val="00CE281D"/>
    <w:rsid w:val="00CE28AA"/>
    <w:rsid w:val="00CE439F"/>
    <w:rsid w:val="00CE7112"/>
    <w:rsid w:val="00CF1874"/>
    <w:rsid w:val="00CF6917"/>
    <w:rsid w:val="00D022B8"/>
    <w:rsid w:val="00D02D59"/>
    <w:rsid w:val="00D02FD6"/>
    <w:rsid w:val="00D05B0B"/>
    <w:rsid w:val="00D062D7"/>
    <w:rsid w:val="00D06954"/>
    <w:rsid w:val="00D11DAD"/>
    <w:rsid w:val="00D1242D"/>
    <w:rsid w:val="00D15BF2"/>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57104"/>
    <w:rsid w:val="00D6062A"/>
    <w:rsid w:val="00D60976"/>
    <w:rsid w:val="00D62634"/>
    <w:rsid w:val="00D62A9A"/>
    <w:rsid w:val="00D63001"/>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490F"/>
    <w:rsid w:val="00DB5AAE"/>
    <w:rsid w:val="00DB5D99"/>
    <w:rsid w:val="00DB656B"/>
    <w:rsid w:val="00DC08B7"/>
    <w:rsid w:val="00DC1654"/>
    <w:rsid w:val="00DC3EDB"/>
    <w:rsid w:val="00DC70DE"/>
    <w:rsid w:val="00DC73AD"/>
    <w:rsid w:val="00DD017C"/>
    <w:rsid w:val="00DD32A1"/>
    <w:rsid w:val="00DD33B1"/>
    <w:rsid w:val="00DD3C49"/>
    <w:rsid w:val="00DD3C92"/>
    <w:rsid w:val="00DD56FC"/>
    <w:rsid w:val="00DE15EB"/>
    <w:rsid w:val="00DE39CD"/>
    <w:rsid w:val="00DE48D2"/>
    <w:rsid w:val="00DE5B0E"/>
    <w:rsid w:val="00DE7EA5"/>
    <w:rsid w:val="00DF0733"/>
    <w:rsid w:val="00DF2E0B"/>
    <w:rsid w:val="00DF470C"/>
    <w:rsid w:val="00DF7D67"/>
    <w:rsid w:val="00E0006D"/>
    <w:rsid w:val="00E04014"/>
    <w:rsid w:val="00E048B2"/>
    <w:rsid w:val="00E04BB6"/>
    <w:rsid w:val="00E057F1"/>
    <w:rsid w:val="00E06368"/>
    <w:rsid w:val="00E0678E"/>
    <w:rsid w:val="00E068C9"/>
    <w:rsid w:val="00E12326"/>
    <w:rsid w:val="00E12443"/>
    <w:rsid w:val="00E125AE"/>
    <w:rsid w:val="00E12AD1"/>
    <w:rsid w:val="00E17240"/>
    <w:rsid w:val="00E17F17"/>
    <w:rsid w:val="00E200C4"/>
    <w:rsid w:val="00E22381"/>
    <w:rsid w:val="00E22E81"/>
    <w:rsid w:val="00E233AD"/>
    <w:rsid w:val="00E23D22"/>
    <w:rsid w:val="00E278C1"/>
    <w:rsid w:val="00E33EDA"/>
    <w:rsid w:val="00E341D6"/>
    <w:rsid w:val="00E34789"/>
    <w:rsid w:val="00E37401"/>
    <w:rsid w:val="00E3796F"/>
    <w:rsid w:val="00E50141"/>
    <w:rsid w:val="00E50C4D"/>
    <w:rsid w:val="00E50E26"/>
    <w:rsid w:val="00E50FE4"/>
    <w:rsid w:val="00E55FF6"/>
    <w:rsid w:val="00E612BA"/>
    <w:rsid w:val="00E62E00"/>
    <w:rsid w:val="00E62ED9"/>
    <w:rsid w:val="00E62F1D"/>
    <w:rsid w:val="00E67432"/>
    <w:rsid w:val="00E71E45"/>
    <w:rsid w:val="00E75360"/>
    <w:rsid w:val="00E7685A"/>
    <w:rsid w:val="00E81ACD"/>
    <w:rsid w:val="00E83B75"/>
    <w:rsid w:val="00E876F6"/>
    <w:rsid w:val="00E93153"/>
    <w:rsid w:val="00E950A3"/>
    <w:rsid w:val="00EA1413"/>
    <w:rsid w:val="00EA30AE"/>
    <w:rsid w:val="00EA3E1A"/>
    <w:rsid w:val="00EA54F6"/>
    <w:rsid w:val="00EB06BD"/>
    <w:rsid w:val="00EB160E"/>
    <w:rsid w:val="00EB16B9"/>
    <w:rsid w:val="00EB2565"/>
    <w:rsid w:val="00EB27DC"/>
    <w:rsid w:val="00EB450B"/>
    <w:rsid w:val="00EB65C7"/>
    <w:rsid w:val="00EB7DB3"/>
    <w:rsid w:val="00EB7F3C"/>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260C"/>
    <w:rsid w:val="00F261D9"/>
    <w:rsid w:val="00F26211"/>
    <w:rsid w:val="00F27021"/>
    <w:rsid w:val="00F27AD2"/>
    <w:rsid w:val="00F312F9"/>
    <w:rsid w:val="00F32066"/>
    <w:rsid w:val="00F33F24"/>
    <w:rsid w:val="00F3402A"/>
    <w:rsid w:val="00F36433"/>
    <w:rsid w:val="00F4109F"/>
    <w:rsid w:val="00F41E78"/>
    <w:rsid w:val="00F4202D"/>
    <w:rsid w:val="00F42DDB"/>
    <w:rsid w:val="00F430AB"/>
    <w:rsid w:val="00F51600"/>
    <w:rsid w:val="00F5218A"/>
    <w:rsid w:val="00F536DC"/>
    <w:rsid w:val="00F54AF7"/>
    <w:rsid w:val="00F61E78"/>
    <w:rsid w:val="00F6461B"/>
    <w:rsid w:val="00F6582C"/>
    <w:rsid w:val="00F66DC8"/>
    <w:rsid w:val="00F70674"/>
    <w:rsid w:val="00F712ED"/>
    <w:rsid w:val="00F71A07"/>
    <w:rsid w:val="00F750BA"/>
    <w:rsid w:val="00F75DD1"/>
    <w:rsid w:val="00F82D7F"/>
    <w:rsid w:val="00F84638"/>
    <w:rsid w:val="00F847E6"/>
    <w:rsid w:val="00F86417"/>
    <w:rsid w:val="00F879AD"/>
    <w:rsid w:val="00F9138A"/>
    <w:rsid w:val="00F92266"/>
    <w:rsid w:val="00F927DF"/>
    <w:rsid w:val="00F93379"/>
    <w:rsid w:val="00F959AF"/>
    <w:rsid w:val="00F972A6"/>
    <w:rsid w:val="00FA0F8E"/>
    <w:rsid w:val="00FA4B87"/>
    <w:rsid w:val="00FA54A4"/>
    <w:rsid w:val="00FB01BC"/>
    <w:rsid w:val="00FB03A0"/>
    <w:rsid w:val="00FB0817"/>
    <w:rsid w:val="00FB084F"/>
    <w:rsid w:val="00FB1375"/>
    <w:rsid w:val="00FB2696"/>
    <w:rsid w:val="00FB688E"/>
    <w:rsid w:val="00FC5270"/>
    <w:rsid w:val="00FC6D9F"/>
    <w:rsid w:val="00FC7BC5"/>
    <w:rsid w:val="00FD0B45"/>
    <w:rsid w:val="00FD0EF2"/>
    <w:rsid w:val="00FD1302"/>
    <w:rsid w:val="00FD19BB"/>
    <w:rsid w:val="00FD1E53"/>
    <w:rsid w:val="00FD44EE"/>
    <w:rsid w:val="00FD6383"/>
    <w:rsid w:val="00FE1278"/>
    <w:rsid w:val="00FE749C"/>
    <w:rsid w:val="00FF14DB"/>
    <w:rsid w:val="00FF2243"/>
    <w:rsid w:val="023D0249"/>
    <w:rsid w:val="4C343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Times New Roman" w:hAnsi="Times New Roman" w:eastAsia="宋体" w:cs="微软雅黑"/>
      <w:sz w:val="21"/>
      <w:lang w:val="en-GB" w:eastAsia="zh-CN" w:bidi="ar-SA"/>
    </w:rPr>
  </w:style>
  <w:style w:type="paragraph" w:styleId="2">
    <w:name w:val="heading 1"/>
    <w:next w:val="3"/>
    <w:link w:val="48"/>
    <w:autoRedefine/>
    <w:qFormat/>
    <w:uiPriority w:val="9"/>
    <w:pPr>
      <w:keepNext/>
      <w:numPr>
        <w:ilvl w:val="0"/>
        <w:numId w:val="1"/>
      </w:numPr>
      <w:kinsoku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51"/>
    <w:autoRedefine/>
    <w:qFormat/>
    <w:uiPriority w:val="9"/>
    <w:pPr>
      <w:keepNext/>
      <w:numPr>
        <w:ilvl w:val="1"/>
        <w:numId w:val="1"/>
      </w:numPr>
      <w:kinsoku w:val="0"/>
      <w:spacing w:before="240" w:after="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2"/>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3"/>
    <w:autoRedefine/>
    <w:qFormat/>
    <w:uiPriority w:val="9"/>
    <w:pPr>
      <w:keepNext/>
      <w:numPr>
        <w:ilvl w:val="3"/>
        <w:numId w:val="1"/>
      </w:numPr>
      <w:spacing w:before="240" w:after="60"/>
      <w:outlineLvl w:val="3"/>
    </w:pPr>
    <w:rPr>
      <w:b/>
      <w:bCs/>
      <w:szCs w:val="28"/>
    </w:rPr>
  </w:style>
  <w:style w:type="paragraph" w:styleId="7">
    <w:name w:val="heading 5"/>
    <w:basedOn w:val="1"/>
    <w:next w:val="1"/>
    <w:link w:val="54"/>
    <w:autoRedefine/>
    <w:qFormat/>
    <w:uiPriority w:val="9"/>
    <w:pPr>
      <w:numPr>
        <w:ilvl w:val="4"/>
        <w:numId w:val="1"/>
      </w:numPr>
      <w:spacing w:before="240" w:after="60"/>
      <w:outlineLvl w:val="4"/>
    </w:pPr>
    <w:rPr>
      <w:b/>
      <w:bCs/>
      <w:iCs/>
      <w:szCs w:val="26"/>
    </w:rPr>
  </w:style>
  <w:style w:type="paragraph" w:styleId="8">
    <w:name w:val="heading 6"/>
    <w:basedOn w:val="1"/>
    <w:next w:val="1"/>
    <w:link w:val="55"/>
    <w:autoRedefine/>
    <w:qFormat/>
    <w:uiPriority w:val="9"/>
    <w:pPr>
      <w:numPr>
        <w:ilvl w:val="5"/>
        <w:numId w:val="1"/>
      </w:numPr>
      <w:spacing w:before="240" w:after="60"/>
      <w:outlineLvl w:val="5"/>
    </w:pPr>
    <w:rPr>
      <w:b/>
      <w:bCs/>
      <w:szCs w:val="22"/>
    </w:rPr>
  </w:style>
  <w:style w:type="paragraph" w:styleId="9">
    <w:name w:val="heading 7"/>
    <w:basedOn w:val="1"/>
    <w:next w:val="1"/>
    <w:link w:val="56"/>
    <w:autoRedefine/>
    <w:qFormat/>
    <w:uiPriority w:val="9"/>
    <w:pPr>
      <w:numPr>
        <w:ilvl w:val="6"/>
        <w:numId w:val="1"/>
      </w:numPr>
      <w:spacing w:before="240" w:after="60"/>
      <w:outlineLvl w:val="6"/>
    </w:pPr>
    <w:rPr>
      <w:szCs w:val="24"/>
    </w:rPr>
  </w:style>
  <w:style w:type="paragraph" w:styleId="10">
    <w:name w:val="heading 8"/>
    <w:basedOn w:val="1"/>
    <w:next w:val="1"/>
    <w:link w:val="57"/>
    <w:autoRedefine/>
    <w:qFormat/>
    <w:uiPriority w:val="9"/>
    <w:pPr>
      <w:numPr>
        <w:ilvl w:val="7"/>
        <w:numId w:val="1"/>
      </w:numPr>
      <w:spacing w:before="240" w:after="60"/>
      <w:outlineLvl w:val="7"/>
    </w:pPr>
    <w:rPr>
      <w:i/>
      <w:iCs/>
      <w:szCs w:val="24"/>
    </w:rPr>
  </w:style>
  <w:style w:type="paragraph" w:styleId="11">
    <w:name w:val="heading 9"/>
    <w:basedOn w:val="1"/>
    <w:next w:val="1"/>
    <w:link w:val="58"/>
    <w:autoRedefine/>
    <w:qFormat/>
    <w:uiPriority w:val="9"/>
    <w:pPr>
      <w:numPr>
        <w:ilvl w:val="8"/>
        <w:numId w:val="1"/>
      </w:numPr>
      <w:spacing w:before="240" w:after="60"/>
      <w:outlineLvl w:val="8"/>
    </w:pPr>
    <w:rPr>
      <w:rFonts w:ascii="Arial" w:hAnsi="Arial" w:cs="Arial"/>
      <w:sz w:val="22"/>
      <w:szCs w:val="22"/>
    </w:rPr>
  </w:style>
  <w:style w:type="character" w:default="1" w:styleId="31">
    <w:name w:val="Default Paragraph Font"/>
    <w:autoRedefine/>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adjustRightInd w:val="0"/>
      <w:snapToGrid w:val="0"/>
      <w:jc w:val="both"/>
    </w:pPr>
    <w:rPr>
      <w:rFonts w:ascii="Times New Roman" w:hAnsi="Times New Roman" w:eastAsia="宋体" w:cs="微软雅黑"/>
      <w:sz w:val="24"/>
      <w:szCs w:val="21"/>
      <w:lang w:val="en-GB" w:eastAsia="zh-CN" w:bidi="ar-SA"/>
    </w:rPr>
  </w:style>
  <w:style w:type="paragraph" w:styleId="12">
    <w:name w:val="List Number 2"/>
    <w:basedOn w:val="1"/>
    <w:autoRedefine/>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autoRedefine/>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0"/>
    <w:autoRedefine/>
    <w:qFormat/>
    <w:uiPriority w:val="0"/>
    <w:pPr>
      <w:widowControl w:val="0"/>
      <w:spacing w:line="315" w:lineRule="atLeast"/>
      <w:ind w:firstLine="420"/>
      <w:jc w:val="both"/>
      <w:textAlignment w:val="baseline"/>
    </w:pPr>
    <w:rPr>
      <w:rFonts w:ascii="宋体"/>
      <w:lang w:val="en-US"/>
    </w:rPr>
  </w:style>
  <w:style w:type="paragraph" w:styleId="15">
    <w:name w:val="Document Map"/>
    <w:basedOn w:val="1"/>
    <w:autoRedefine/>
    <w:semiHidden/>
    <w:qFormat/>
    <w:uiPriority w:val="0"/>
    <w:pPr>
      <w:shd w:val="clear" w:color="auto" w:fill="000080"/>
    </w:pPr>
  </w:style>
  <w:style w:type="paragraph" w:styleId="16">
    <w:name w:val="annotation text"/>
    <w:basedOn w:val="1"/>
    <w:link w:val="44"/>
    <w:autoRedefine/>
    <w:qFormat/>
    <w:uiPriority w:val="0"/>
  </w:style>
  <w:style w:type="paragraph" w:styleId="17">
    <w:name w:val="Body Text Indent"/>
    <w:basedOn w:val="1"/>
    <w:link w:val="37"/>
    <w:autoRedefine/>
    <w:qFormat/>
    <w:uiPriority w:val="0"/>
    <w:pPr>
      <w:widowControl w:val="0"/>
      <w:spacing w:line="400" w:lineRule="exact"/>
      <w:ind w:firstLine="480" w:firstLineChars="200"/>
      <w:jc w:val="both"/>
    </w:pPr>
    <w:rPr>
      <w:rFonts w:ascii="宋体" w:hAnsi="宋体"/>
      <w:kern w:val="2"/>
      <w:szCs w:val="24"/>
      <w:lang w:val="en-US"/>
    </w:rPr>
  </w:style>
  <w:style w:type="paragraph" w:styleId="18">
    <w:name w:val="List 2"/>
    <w:basedOn w:val="1"/>
    <w:autoRedefine/>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19">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20">
    <w:name w:val="Date"/>
    <w:basedOn w:val="1"/>
    <w:next w:val="1"/>
    <w:link w:val="49"/>
    <w:autoRedefine/>
    <w:qFormat/>
    <w:uiPriority w:val="0"/>
    <w:pPr>
      <w:ind w:left="100" w:leftChars="2500"/>
    </w:pPr>
  </w:style>
  <w:style w:type="paragraph" w:styleId="21">
    <w:name w:val="Balloon Text"/>
    <w:basedOn w:val="1"/>
    <w:link w:val="46"/>
    <w:autoRedefine/>
    <w:qFormat/>
    <w:uiPriority w:val="99"/>
    <w:rPr>
      <w:szCs w:val="18"/>
    </w:rPr>
  </w:style>
  <w:style w:type="paragraph" w:styleId="22">
    <w:name w:val="footer"/>
    <w:basedOn w:val="1"/>
    <w:link w:val="41"/>
    <w:autoRedefine/>
    <w:qFormat/>
    <w:uiPriority w:val="99"/>
    <w:pPr>
      <w:tabs>
        <w:tab w:val="center" w:pos="4153"/>
        <w:tab w:val="right" w:pos="8306"/>
      </w:tabs>
    </w:pPr>
    <w:rPr>
      <w:szCs w:val="18"/>
    </w:rPr>
  </w:style>
  <w:style w:type="paragraph" w:styleId="23">
    <w:name w:val="header"/>
    <w:basedOn w:val="1"/>
    <w:link w:val="60"/>
    <w:autoRedefine/>
    <w:qFormat/>
    <w:uiPriority w:val="99"/>
    <w:pPr>
      <w:pBdr>
        <w:bottom w:val="single" w:color="auto" w:sz="6" w:space="1"/>
      </w:pBdr>
      <w:tabs>
        <w:tab w:val="center" w:pos="4153"/>
        <w:tab w:val="right" w:pos="8306"/>
      </w:tabs>
      <w:jc w:val="center"/>
    </w:pPr>
    <w:rPr>
      <w:szCs w:val="18"/>
    </w:rPr>
  </w:style>
  <w:style w:type="paragraph" w:styleId="24">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5">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6">
    <w:name w:val="Normal (Web)"/>
    <w:basedOn w:val="1"/>
    <w:autoRedefine/>
    <w:unhideWhenUsed/>
    <w:qFormat/>
    <w:uiPriority w:val="99"/>
    <w:pPr>
      <w:spacing w:before="100" w:beforeAutospacing="1" w:after="100" w:afterAutospacing="1"/>
    </w:pPr>
    <w:rPr>
      <w:rFonts w:ascii="宋体" w:hAnsi="宋体" w:cs="宋体"/>
      <w:szCs w:val="24"/>
      <w:lang w:val="en-US"/>
    </w:rPr>
  </w:style>
  <w:style w:type="paragraph" w:styleId="27">
    <w:name w:val="Title"/>
    <w:basedOn w:val="1"/>
    <w:next w:val="1"/>
    <w:link w:val="59"/>
    <w:autoRedefine/>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8">
    <w:name w:val="annotation subject"/>
    <w:basedOn w:val="16"/>
    <w:next w:val="16"/>
    <w:link w:val="45"/>
    <w:autoRedefine/>
    <w:qFormat/>
    <w:uiPriority w:val="0"/>
    <w:rPr>
      <w:b/>
      <w:bCs/>
    </w:rPr>
  </w:style>
  <w:style w:type="table" w:styleId="30">
    <w:name w:val="Table Grid"/>
    <w:basedOn w:val="29"/>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b/>
      <w:bCs/>
    </w:rPr>
  </w:style>
  <w:style w:type="character" w:styleId="33">
    <w:name w:val="page number"/>
    <w:basedOn w:val="31"/>
    <w:autoRedefine/>
    <w:qFormat/>
    <w:uiPriority w:val="0"/>
  </w:style>
  <w:style w:type="character" w:styleId="34">
    <w:name w:val="FollowedHyperlink"/>
    <w:autoRedefine/>
    <w:qFormat/>
    <w:uiPriority w:val="0"/>
    <w:rPr>
      <w:color w:val="800080"/>
      <w:u w:val="single"/>
    </w:rPr>
  </w:style>
  <w:style w:type="character" w:styleId="35">
    <w:name w:val="Hyperlink"/>
    <w:autoRedefine/>
    <w:qFormat/>
    <w:uiPriority w:val="99"/>
    <w:rPr>
      <w:color w:val="0000FF"/>
      <w:u w:val="single"/>
    </w:rPr>
  </w:style>
  <w:style w:type="character" w:styleId="36">
    <w:name w:val="annotation reference"/>
    <w:autoRedefine/>
    <w:qFormat/>
    <w:uiPriority w:val="0"/>
    <w:rPr>
      <w:sz w:val="21"/>
      <w:szCs w:val="21"/>
    </w:rPr>
  </w:style>
  <w:style w:type="character" w:customStyle="1" w:styleId="37">
    <w:name w:val="正文文本缩进 字符"/>
    <w:link w:val="17"/>
    <w:autoRedefine/>
    <w:qFormat/>
    <w:uiPriority w:val="0"/>
    <w:rPr>
      <w:rFonts w:ascii="宋体" w:hAnsi="宋体" w:eastAsia="宋体"/>
      <w:kern w:val="2"/>
      <w:sz w:val="24"/>
      <w:szCs w:val="24"/>
      <w:lang w:val="en-US" w:eastAsia="zh-CN" w:bidi="ar-SA"/>
    </w:rPr>
  </w:style>
  <w:style w:type="paragraph" w:customStyle="1" w:styleId="38">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9">
    <w:name w:val="Char Char2"/>
    <w:autoRedefine/>
    <w:qFormat/>
    <w:locked/>
    <w:uiPriority w:val="0"/>
    <w:rPr>
      <w:rFonts w:ascii="宋体" w:hAnsi="宋体" w:eastAsia="宋体"/>
      <w:kern w:val="2"/>
      <w:sz w:val="24"/>
      <w:szCs w:val="24"/>
      <w:lang w:val="en-US" w:eastAsia="zh-CN" w:bidi="ar-SA"/>
    </w:rPr>
  </w:style>
  <w:style w:type="character" w:customStyle="1" w:styleId="40">
    <w:name w:val="Char Char21"/>
    <w:autoRedefine/>
    <w:qFormat/>
    <w:uiPriority w:val="0"/>
    <w:rPr>
      <w:rFonts w:ascii="宋体" w:hAnsi="宋体" w:eastAsia="宋体" w:cs="Times New Roman"/>
      <w:sz w:val="24"/>
      <w:szCs w:val="24"/>
    </w:rPr>
  </w:style>
  <w:style w:type="character" w:customStyle="1" w:styleId="41">
    <w:name w:val="页脚 字符"/>
    <w:link w:val="22"/>
    <w:autoRedefine/>
    <w:qFormat/>
    <w:uiPriority w:val="99"/>
    <w:rPr>
      <w:rFonts w:eastAsia="宋体"/>
      <w:sz w:val="18"/>
      <w:szCs w:val="18"/>
      <w:lang w:val="en-GB" w:eastAsia="zh-CN" w:bidi="ar-SA"/>
    </w:rPr>
  </w:style>
  <w:style w:type="character" w:customStyle="1" w:styleId="42">
    <w:name w:val="Char Char1"/>
    <w:autoRedefine/>
    <w:qFormat/>
    <w:uiPriority w:val="0"/>
    <w:rPr>
      <w:rFonts w:ascii="宋体" w:hAnsi="宋体" w:eastAsia="宋体"/>
      <w:kern w:val="2"/>
      <w:sz w:val="24"/>
      <w:szCs w:val="24"/>
      <w:lang w:val="en-US" w:eastAsia="zh-CN" w:bidi="ar-SA"/>
    </w:rPr>
  </w:style>
  <w:style w:type="character" w:customStyle="1" w:styleId="43">
    <w:name w:val="Char Char"/>
    <w:autoRedefine/>
    <w:qFormat/>
    <w:locked/>
    <w:uiPriority w:val="0"/>
    <w:rPr>
      <w:rFonts w:ascii="宋体" w:hAnsi="宋体" w:eastAsia="宋体"/>
      <w:kern w:val="2"/>
      <w:sz w:val="24"/>
      <w:szCs w:val="24"/>
      <w:lang w:val="en-US" w:eastAsia="zh-CN" w:bidi="ar-SA"/>
    </w:rPr>
  </w:style>
  <w:style w:type="character" w:customStyle="1" w:styleId="44">
    <w:name w:val="批注文字 字符"/>
    <w:link w:val="16"/>
    <w:autoRedefine/>
    <w:qFormat/>
    <w:uiPriority w:val="0"/>
    <w:rPr>
      <w:sz w:val="18"/>
      <w:lang w:val="en-GB"/>
    </w:rPr>
  </w:style>
  <w:style w:type="character" w:customStyle="1" w:styleId="45">
    <w:name w:val="批注主题 字符"/>
    <w:link w:val="28"/>
    <w:autoRedefine/>
    <w:qFormat/>
    <w:uiPriority w:val="0"/>
    <w:rPr>
      <w:b/>
      <w:bCs/>
      <w:sz w:val="18"/>
      <w:lang w:val="en-GB"/>
    </w:rPr>
  </w:style>
  <w:style w:type="character" w:customStyle="1" w:styleId="46">
    <w:name w:val="批注框文本 字符"/>
    <w:link w:val="21"/>
    <w:autoRedefine/>
    <w:qFormat/>
    <w:uiPriority w:val="99"/>
    <w:rPr>
      <w:sz w:val="18"/>
      <w:szCs w:val="18"/>
      <w:lang w:val="en-GB"/>
    </w:rPr>
  </w:style>
  <w:style w:type="paragraph" w:styleId="47">
    <w:name w:val="List Paragraph"/>
    <w:basedOn w:val="1"/>
    <w:autoRedefine/>
    <w:qFormat/>
    <w:uiPriority w:val="34"/>
    <w:pPr>
      <w:ind w:firstLine="420" w:firstLineChars="200"/>
    </w:pPr>
  </w:style>
  <w:style w:type="character" w:customStyle="1" w:styleId="48">
    <w:name w:val="标题 1 字符"/>
    <w:basedOn w:val="31"/>
    <w:link w:val="2"/>
    <w:autoRedefine/>
    <w:qFormat/>
    <w:uiPriority w:val="9"/>
    <w:rPr>
      <w:rFonts w:ascii="微软雅黑" w:hAnsi="微软雅黑" w:eastAsia="微软雅黑" w:cs="微软雅黑"/>
      <w:b/>
      <w:bCs/>
      <w:kern w:val="32"/>
      <w:sz w:val="28"/>
      <w:szCs w:val="28"/>
    </w:rPr>
  </w:style>
  <w:style w:type="character" w:customStyle="1" w:styleId="49">
    <w:name w:val="日期 字符"/>
    <w:basedOn w:val="31"/>
    <w:link w:val="20"/>
    <w:autoRedefine/>
    <w:qFormat/>
    <w:uiPriority w:val="0"/>
    <w:rPr>
      <w:sz w:val="18"/>
      <w:lang w:val="en-GB"/>
    </w:rPr>
  </w:style>
  <w:style w:type="character" w:customStyle="1" w:styleId="50">
    <w:name w:val="正文缩进 字符"/>
    <w:link w:val="14"/>
    <w:autoRedefine/>
    <w:qFormat/>
    <w:uiPriority w:val="0"/>
    <w:rPr>
      <w:rFonts w:ascii="宋体"/>
      <w:sz w:val="21"/>
    </w:rPr>
  </w:style>
  <w:style w:type="character" w:customStyle="1" w:styleId="51">
    <w:name w:val="标题 2 字符"/>
    <w:basedOn w:val="31"/>
    <w:link w:val="4"/>
    <w:autoRedefine/>
    <w:qFormat/>
    <w:uiPriority w:val="9"/>
    <w:rPr>
      <w:rFonts w:ascii="微软雅黑" w:hAnsi="微软雅黑" w:eastAsia="微软雅黑" w:cs="微软雅黑"/>
      <w:b/>
      <w:bCs/>
      <w:iCs/>
      <w:color w:val="000000"/>
      <w:sz w:val="24"/>
      <w:szCs w:val="24"/>
    </w:rPr>
  </w:style>
  <w:style w:type="character" w:customStyle="1" w:styleId="52">
    <w:name w:val="标题 3 字符"/>
    <w:basedOn w:val="31"/>
    <w:link w:val="5"/>
    <w:autoRedefine/>
    <w:qFormat/>
    <w:uiPriority w:val="9"/>
    <w:rPr>
      <w:rFonts w:ascii="宋体" w:hAnsi="宋体" w:cs="Arial"/>
      <w:b/>
      <w:bCs/>
      <w:sz w:val="21"/>
      <w:szCs w:val="21"/>
    </w:rPr>
  </w:style>
  <w:style w:type="character" w:customStyle="1" w:styleId="53">
    <w:name w:val="标题 4 字符"/>
    <w:basedOn w:val="31"/>
    <w:link w:val="6"/>
    <w:autoRedefine/>
    <w:qFormat/>
    <w:uiPriority w:val="9"/>
    <w:rPr>
      <w:b/>
      <w:bCs/>
      <w:sz w:val="21"/>
      <w:szCs w:val="28"/>
      <w:lang w:val="en-GB"/>
    </w:rPr>
  </w:style>
  <w:style w:type="character" w:customStyle="1" w:styleId="54">
    <w:name w:val="标题 5 字符"/>
    <w:basedOn w:val="31"/>
    <w:link w:val="7"/>
    <w:autoRedefine/>
    <w:qFormat/>
    <w:uiPriority w:val="9"/>
    <w:rPr>
      <w:b/>
      <w:bCs/>
      <w:iCs/>
      <w:sz w:val="21"/>
      <w:szCs w:val="26"/>
      <w:lang w:val="en-GB"/>
    </w:rPr>
  </w:style>
  <w:style w:type="character" w:customStyle="1" w:styleId="55">
    <w:name w:val="标题 6 字符"/>
    <w:basedOn w:val="31"/>
    <w:link w:val="8"/>
    <w:autoRedefine/>
    <w:qFormat/>
    <w:uiPriority w:val="9"/>
    <w:rPr>
      <w:b/>
      <w:bCs/>
      <w:sz w:val="21"/>
      <w:szCs w:val="22"/>
      <w:lang w:val="en-GB"/>
    </w:rPr>
  </w:style>
  <w:style w:type="character" w:customStyle="1" w:styleId="56">
    <w:name w:val="标题 7 字符"/>
    <w:basedOn w:val="31"/>
    <w:link w:val="9"/>
    <w:autoRedefine/>
    <w:qFormat/>
    <w:uiPriority w:val="9"/>
    <w:rPr>
      <w:sz w:val="24"/>
      <w:szCs w:val="24"/>
      <w:lang w:val="en-GB"/>
    </w:rPr>
  </w:style>
  <w:style w:type="character" w:customStyle="1" w:styleId="57">
    <w:name w:val="标题 8 字符"/>
    <w:basedOn w:val="31"/>
    <w:link w:val="10"/>
    <w:autoRedefine/>
    <w:qFormat/>
    <w:uiPriority w:val="9"/>
    <w:rPr>
      <w:i/>
      <w:iCs/>
      <w:sz w:val="24"/>
      <w:szCs w:val="24"/>
      <w:lang w:val="en-GB"/>
    </w:rPr>
  </w:style>
  <w:style w:type="character" w:customStyle="1" w:styleId="58">
    <w:name w:val="标题 9 字符"/>
    <w:basedOn w:val="31"/>
    <w:link w:val="11"/>
    <w:autoRedefine/>
    <w:qFormat/>
    <w:uiPriority w:val="9"/>
    <w:rPr>
      <w:rFonts w:ascii="Arial" w:hAnsi="Arial" w:cs="Arial"/>
      <w:sz w:val="22"/>
      <w:szCs w:val="22"/>
      <w:lang w:val="en-GB"/>
    </w:rPr>
  </w:style>
  <w:style w:type="character" w:customStyle="1" w:styleId="59">
    <w:name w:val="标题 字符"/>
    <w:basedOn w:val="31"/>
    <w:link w:val="27"/>
    <w:autoRedefine/>
    <w:qFormat/>
    <w:uiPriority w:val="10"/>
    <w:rPr>
      <w:rFonts w:asciiTheme="majorHAnsi" w:hAnsiTheme="majorHAnsi" w:cstheme="majorBidi"/>
      <w:b/>
      <w:bCs/>
      <w:kern w:val="2"/>
      <w:sz w:val="32"/>
      <w:szCs w:val="32"/>
    </w:rPr>
  </w:style>
  <w:style w:type="character" w:customStyle="1" w:styleId="60">
    <w:name w:val="页眉 字符"/>
    <w:basedOn w:val="31"/>
    <w:link w:val="23"/>
    <w:autoRedefine/>
    <w:qFormat/>
    <w:uiPriority w:val="99"/>
    <w:rPr>
      <w:sz w:val="18"/>
      <w:szCs w:val="18"/>
      <w:lang w:val="en-GB"/>
    </w:rPr>
  </w:style>
  <w:style w:type="character" w:customStyle="1" w:styleId="61">
    <w:name w:val="seatsp"/>
    <w:basedOn w:val="31"/>
    <w:autoRedefine/>
    <w:qFormat/>
    <w:uiPriority w:val="0"/>
  </w:style>
  <w:style w:type="character" w:customStyle="1" w:styleId="62">
    <w:name w:val="ss3"/>
    <w:basedOn w:val="31"/>
    <w:autoRedefine/>
    <w:qFormat/>
    <w:uiPriority w:val="0"/>
  </w:style>
  <w:style w:type="character" w:customStyle="1" w:styleId="63">
    <w:name w:val="正文格式 Char Char"/>
    <w:link w:val="64"/>
    <w:autoRedefine/>
    <w:qFormat/>
    <w:uiPriority w:val="0"/>
    <w:rPr>
      <w:rFonts w:eastAsia="仿宋_GB2312" w:cs="宋体"/>
      <w:color w:val="000000"/>
      <w:kern w:val="2"/>
      <w:sz w:val="28"/>
    </w:rPr>
  </w:style>
  <w:style w:type="paragraph" w:customStyle="1" w:styleId="64">
    <w:name w:val="正文格式"/>
    <w:basedOn w:val="1"/>
    <w:link w:val="63"/>
    <w:autoRedefine/>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5">
    <w:name w:val="正文缩进 Char"/>
    <w:autoRedefine/>
    <w:qFormat/>
    <w:uiPriority w:val="0"/>
    <w:rPr>
      <w:rFonts w:eastAsia="华文细黑"/>
      <w:kern w:val="2"/>
      <w:sz w:val="24"/>
      <w:lang w:val="zh-CN" w:eastAsia="zh-CN"/>
    </w:rPr>
  </w:style>
  <w:style w:type="character" w:customStyle="1" w:styleId="66">
    <w:name w:val="fontstyle01"/>
    <w:basedOn w:val="31"/>
    <w:autoRedefine/>
    <w:qFormat/>
    <w:uiPriority w:val="0"/>
    <w:rPr>
      <w:rFonts w:hint="eastAsia" w:ascii="黑体" w:hAnsi="黑体" w:eastAsia="黑体"/>
      <w:color w:val="000000"/>
      <w:sz w:val="52"/>
      <w:szCs w:val="5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4.bmp"/><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Y\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43090-5842-43C0-A7C9-CA5A5F14E507}">
  <ds:schemaRefs/>
</ds:datastoreItem>
</file>

<file path=docProps/app.xml><?xml version="1.0" encoding="utf-8"?>
<Properties xmlns="http://schemas.openxmlformats.org/officeDocument/2006/extended-properties" xmlns:vt="http://schemas.openxmlformats.org/officeDocument/2006/docPropsVTypes">
  <Template>tmp2.dotx</Template>
  <Company>云南建投集团</Company>
  <Pages>7</Pages>
  <Words>1698</Words>
  <Characters>2143</Characters>
  <Lines>19</Lines>
  <Paragraphs>5</Paragraphs>
  <TotalTime>0</TotalTime>
  <ScaleCrop>false</ScaleCrop>
  <LinksUpToDate>false</LinksUpToDate>
  <CharactersWithSpaces>2192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2024-03-13T03:22:00Z</dcterms:created>
  <dc:creator>Mr.z</dc:creator>
  <cp:lastModifiedBy>Mr.z</cp:lastModifiedBy>
  <dcterms:modified xsi:type="dcterms:W3CDTF">2024-03-13T03:45:24Z</dcterms:modified>
  <dc:title>光伏发电分析报告</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D946BCC02B1E4FE195BCC6F37B5C5036_11</vt:lpwstr>
  </property>
  <property fmtid="{D5CDD505-2E9C-101B-9397-08002B2CF9AE}" pid="3" name="KSOProductBuildVer">
    <vt:lpwstr>2052-12.1.0.16388</vt:lpwstr>
  </property>
</Properties>
</file>