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一、设计原则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统一性与规范性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：校园建筑安全标识系统的设计应与校园形象系统（UIS）保持一致，符合校园整体形象设计原则。同时，应遵守国家相关标准和规范，确保标识的规范性。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人性化与功能性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：标识的内容要遵循以人为本的原则，确保信息传达清晰、准确，方便师生员工快速理解并采取相应的行动。同时，标识应具有明确的指示功能，能够引导人员迅速到达目标地点。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美观性与协调性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：标识的设计应与校园景观相协调，既要美观大方，又要与校园的文化氛围相融合。同时，标识的样式、色彩等应与校园其他标识保持一致，形成统一的视觉风格。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二、</w:t>
      </w:r>
      <w:r>
        <w:rPr>
          <w:rFonts w:hint="eastAsia" w:cs="宋体"/>
          <w:b/>
          <w:i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val="en-US" w:eastAsia="zh-CN"/>
        </w:rPr>
        <w:t>设置</w:t>
      </w:r>
      <w:r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内容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紧急疏散标识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：在主要出入口、楼梯间、走廊等关键位置设置紧急疏散标识，明确指示疏散路线、集合点等信息。这些标识应采用醒目的颜色（如红色）和易于识别的图形符号，确保在紧急情况下能够迅速引导人员疏散。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消防标识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：在消防设施（如灭火器、消防栓、疏散通道等）附近设置消防标识，明确指示设施的使用方法和注意事项。同时，显著位置设置消防安全提示标识，提醒师生员工注意消防安全。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安全警示标识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在楼梯间、走廊、实验室等可能存在安全隐患的区域设置安全警示标识，如“小心台阶”、“禁止吸烟”、“注意安全”等。这些标识应采用醒目的颜色（如黄色或黑色）和简洁明了的文字，提醒人员注意安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导向标识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：在出入口、楼梯间、走廊等位置设置导向标识，明确指示各功能区的位置和路径。这些标识应采用清晰的文字和图形符号，方便师生员工快速找到目标地点。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三、设置要求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位置合理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：标识的设置位置应合理，确保人员在任何位置都能看到所需的标识。同时，标识应设置在易于观察和识别的位置，避免被遮挡或损坏。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信息准确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：标识上的信息应准确无误，避免误导人员。同时，标识应采用简洁明了的文字和图形符号，确保人员能够快速理解并采取相应的行动。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牢固耐用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：标识应采用耐候性好、抗腐蚀、不易损坏的材料制作，确保标识能够长期保持清晰、完整。同时，标识的安装应牢固可靠，避免脱落或损坏。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定期维护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：定期对标识进行检查和维护，确保其清晰、完整、准确。对于损坏或模糊的标识，应及时更换或修复。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四、实际应用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在出入口、楼梯间、走廊等位置设置紧急疏散标识、消防标识和安全警示标识。同时，在</w:t>
      </w:r>
      <w:r>
        <w:rPr>
          <w:rFonts w:hint="eastAsia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办公楼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门口设置导向标识，明确指示各</w:t>
      </w:r>
      <w:r>
        <w:rPr>
          <w:rFonts w:hint="eastAsia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房间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的位置</w:t>
      </w:r>
      <w:r>
        <w:rPr>
          <w:rFonts w:hint="eastAsia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  <w:lang w:eastAsia="zh-CN"/>
        </w:rPr>
        <w:t>、</w:t>
      </w:r>
      <w:r>
        <w:rPr>
          <w:rFonts w:hint="eastAsia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功能</w:t>
      </w: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在实验室的出入口、设备区、化学品存放区等位置设置紧急疏散标识、消防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6071F"/>
          <w:spacing w:val="0"/>
          <w:sz w:val="24"/>
          <w:szCs w:val="24"/>
          <w:bdr w:val="none" w:color="auto" w:sz="0" w:space="0"/>
          <w:shd w:val="clear" w:fill="FDFDFE"/>
        </w:rPr>
        <w:t>标识和安全警示标识。同时，在实验室门口设置导向标识，明确指示实验室的位置和功能。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A477E"/>
    <w:multiLevelType w:val="singleLevel"/>
    <w:tmpl w:val="80FA47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97262EB"/>
    <w:multiLevelType w:val="singleLevel"/>
    <w:tmpl w:val="D97262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AD18592"/>
    <w:multiLevelType w:val="singleLevel"/>
    <w:tmpl w:val="1AD185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4FE9"/>
    <w:rsid w:val="3D62073D"/>
    <w:rsid w:val="434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2024-04-29T02:35:00Z</dcterms:created>
  <dc:creator>谭诗柳</dc:creator>
  <cp:lastModifiedBy>T。</cp:lastModifiedBy>
  <dcterms:modified xsi:type="dcterms:W3CDTF">2025-02-15T03:23:35Z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