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4DD20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作品名称：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绿绘童梦，碳启新境</w:t>
      </w:r>
    </w:p>
    <w:p w14:paraId="71B1CE0D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参赛院校：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南昌大学工程建设学院</w:t>
      </w:r>
    </w:p>
    <w:p w14:paraId="031934ED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指导老师：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郭兴国、周志仪、陈文华</w:t>
      </w:r>
    </w:p>
    <w:p w14:paraId="3EAF2B06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参赛学员：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杨一成、叶郅卓、田子昂、王晨宇、罗嘉禾</w:t>
      </w:r>
    </w:p>
    <w:p w14:paraId="02875EA8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工程概况：</w:t>
      </w:r>
    </w:p>
    <w:p w14:paraId="14728F6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一、项目背景与概述</w:t>
      </w:r>
    </w:p>
    <w:p w14:paraId="46C505AD">
      <w:pPr>
        <w:spacing w:after="156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bookmarkStart w:id="4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本次大赛</w:t>
      </w:r>
      <w:r>
        <w:rPr>
          <w:rFonts w:hint="eastAsia" w:ascii="宋体" w:hAnsi="宋体" w:eastAsia="宋体" w:cs="宋体"/>
          <w:sz w:val="24"/>
          <w:szCs w:val="24"/>
        </w:rPr>
        <w:t>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是一个</w:t>
      </w:r>
      <w:r>
        <w:rPr>
          <w:rFonts w:hint="eastAsia" w:ascii="宋体" w:hAnsi="宋体" w:eastAsia="宋体" w:cs="宋体"/>
          <w:sz w:val="24"/>
          <w:szCs w:val="24"/>
        </w:rPr>
        <w:t>位于南昌市某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核心</w:t>
      </w:r>
      <w:r>
        <w:rPr>
          <w:rFonts w:hint="eastAsia" w:ascii="宋体" w:hAnsi="宋体" w:eastAsia="宋体" w:cs="宋体"/>
          <w:sz w:val="24"/>
          <w:szCs w:val="24"/>
        </w:rPr>
        <w:t>地段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的幼儿园</w:t>
      </w:r>
      <w:r>
        <w:rPr>
          <w:rFonts w:hint="eastAsia" w:ascii="宋体" w:hAnsi="宋体" w:eastAsia="宋体" w:cs="宋体"/>
          <w:sz w:val="24"/>
          <w:szCs w:val="24"/>
        </w:rPr>
        <w:t>，占地面积适中，周边环境优美，交通便利。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该</w:t>
      </w:r>
      <w:r>
        <w:rPr>
          <w:rFonts w:hint="eastAsia" w:ascii="宋体" w:hAnsi="宋体" w:eastAsia="宋体" w:cs="宋体"/>
          <w:sz w:val="24"/>
          <w:szCs w:val="24"/>
        </w:rPr>
        <w:t>幼儿园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为三层建筑，</w:t>
      </w:r>
      <w:r>
        <w:rPr>
          <w:rFonts w:hint="eastAsia" w:ascii="宋体" w:hAnsi="宋体" w:eastAsia="宋体" w:cs="宋体"/>
          <w:sz w:val="24"/>
          <w:szCs w:val="24"/>
        </w:rPr>
        <w:t>建筑面积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2631.22</w:t>
      </w:r>
      <w:r>
        <w:rPr>
          <w:rFonts w:hint="eastAsia" w:ascii="宋体" w:hAnsi="宋体" w:eastAsia="宋体" w:cs="宋体"/>
          <w:sz w:val="24"/>
          <w:szCs w:val="24"/>
        </w:rPr>
        <w:t>平方米，建筑总高度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11.85</w:t>
      </w:r>
      <w:r>
        <w:rPr>
          <w:rFonts w:hint="eastAsia" w:ascii="宋体" w:hAnsi="宋体" w:eastAsia="宋体" w:cs="宋体"/>
          <w:sz w:val="24"/>
          <w:szCs w:val="24"/>
        </w:rPr>
        <w:t>米。本建筑为一类建筑，使用年限50年，耐火等级为一级，防水等级为二级。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幼儿园周围环境优美、景色宜人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，地势平坦开阔，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交通便利，方便学生就学及家长接送。</w:t>
      </w:r>
    </w:p>
    <w:bookmarkEnd w:id="4"/>
    <w:p w14:paraId="5BBDFA9D"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、改造目标与原则</w:t>
      </w:r>
    </w:p>
    <w:p w14:paraId="21A91E4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本次节能改造的主要目标包括：</w:t>
      </w:r>
    </w:p>
    <w:p w14:paraId="13E4BDC6"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提升幼儿园的保温隔热性能，降低能源消耗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52EADF28">
      <w:pPr>
        <w:numPr>
          <w:ilvl w:val="0"/>
          <w:numId w:val="1"/>
        </w:num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改善室内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环境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与光环境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，提高孩子们的舒适度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0D390E8D">
      <w:pPr>
        <w:numPr>
          <w:ilvl w:val="0"/>
          <w:numId w:val="1"/>
        </w:num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遵循绿色低碳原则，采用环保、可再生的建筑材料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2588969C">
      <w:pPr>
        <w:numPr>
          <w:ilvl w:val="0"/>
          <w:numId w:val="1"/>
        </w:num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优化幼儿园的能源管理系统，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实现智能化控制。</w:t>
      </w:r>
    </w:p>
    <w:p w14:paraId="353473DC">
      <w:pPr>
        <w:numPr>
          <w:ilvl w:val="0"/>
          <w:numId w:val="1"/>
        </w:num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大量使用可再生能源，力求实现建筑零能耗的目标。</w:t>
      </w:r>
    </w:p>
    <w:p w14:paraId="2589E287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31E438F6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在改造过程中，我们坚持以下原则：</w:t>
      </w:r>
    </w:p>
    <w:p w14:paraId="2E8E410D"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一是科学性，即根据南昌的气候特点和幼儿园的实际需求，制定科学合理的改造方案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33436DD7">
      <w:pPr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二是经济性，即在保证改造效果的前提下，尽量降低改造成本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43229BC1">
      <w:pPr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三是可持续性，即采用环保、可再生的建筑材料和技术，减少对环境的影响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05589B0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四是人性化，即注重孩子们的舒适度和体验感，营造一个温馨、和谐的学习氛围。</w:t>
      </w:r>
    </w:p>
    <w:p w14:paraId="122256CF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BFC591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D044ED6">
      <w:pPr>
        <w:numPr>
          <w:ilvl w:val="0"/>
          <w:numId w:val="2"/>
        </w:numP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改造亮点</w:t>
      </w:r>
    </w:p>
    <w:p w14:paraId="69AD761A"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</w:rPr>
        <w:t xml:space="preserve">绿化改造 </w:t>
      </w:r>
    </w:p>
    <w:p w14:paraId="7879E7C7">
      <w:pPr>
        <w:widowControl/>
        <w:ind w:firstLine="420" w:firstLineChars="200"/>
        <w:jc w:val="left"/>
      </w:pPr>
      <w:r>
        <w:rPr>
          <w:rFonts w:hint="eastAsia"/>
        </w:rPr>
        <w:t>绿化改造方面主要包括：原有建筑的屋顶绿化改造和建筑周边场地的绿化改造，旨在响应国家双碳目标，打造良好的</w:t>
      </w:r>
      <w:r>
        <w:rPr>
          <w:rFonts w:hint="eastAsia"/>
          <w:lang w:val="en-US" w:eastAsia="zh-CN"/>
        </w:rPr>
        <w:t>成长</w:t>
      </w:r>
      <w:r>
        <w:rPr>
          <w:rFonts w:hint="eastAsia"/>
        </w:rPr>
        <w:t>环境。，选择固碳量高且易于养护的香樟进行大面积栽培，</w:t>
      </w:r>
      <w:r>
        <w:rPr>
          <w:rFonts w:hint="eastAsia"/>
          <w:lang w:val="en-US" w:eastAsia="zh-CN"/>
        </w:rPr>
        <w:t>同时</w:t>
      </w:r>
      <w:r>
        <w:rPr>
          <w:rFonts w:hint="eastAsia"/>
        </w:rPr>
        <w:t>，在幼儿园的庭院和花园中，规划一条自然观察与学习小径。小径两旁种植着各种本地的植物，孩子们可以沿着这条路径探索自然，了解自然生态系统，培养他们的环保意识和对自然科学的兴趣，同时使幼儿在亲近自然的过程中，更加深入地理解环保的重要性。</w:t>
      </w:r>
    </w:p>
    <w:p w14:paraId="7E059962">
      <w:pPr>
        <w:rPr>
          <w:rFonts w:hint="eastAsia"/>
          <w:b/>
          <w:bCs/>
          <w:lang w:val="en-US" w:eastAsia="zh-CN"/>
        </w:rPr>
      </w:pPr>
    </w:p>
    <w:p w14:paraId="55D08C58">
      <w:pPr>
        <w:rPr>
          <w:rFonts w:hint="eastAsia"/>
          <w:b/>
          <w:bCs/>
          <w:lang w:val="en-US" w:eastAsia="zh-CN"/>
        </w:rPr>
      </w:pPr>
    </w:p>
    <w:p w14:paraId="410D3C85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rFonts w:hint="eastAsia"/>
          <w:b/>
          <w:bCs/>
        </w:rPr>
        <w:t xml:space="preserve">光伏改造 </w:t>
      </w:r>
    </w:p>
    <w:p w14:paraId="64C65B99">
      <w:pPr>
        <w:rPr>
          <w:rFonts w:hint="eastAsia" w:ascii="宋体" w:hAnsi="宋体"/>
        </w:rPr>
        <w:sectPr>
          <w:footerReference r:id="rId3" w:type="default"/>
          <w:pgSz w:w="11906" w:h="16838"/>
          <w:pgMar w:top="1440" w:right="1418" w:bottom="1440" w:left="1418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5E29D72A">
      <w:p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eastAsia="zh-CN"/>
        </w:rPr>
      </w:pPr>
      <w:r>
        <w:rPr>
          <w:rFonts w:hint="eastAsia" w:ascii="宋体" w:hAnsi="宋体"/>
        </w:rPr>
        <w:t>南昌地区的光照充足，太阳能资源较稳定，</w:t>
      </w:r>
      <w:r>
        <w:rPr>
          <w:rFonts w:hint="eastAsia"/>
        </w:rPr>
        <w:t>年太阳能总辐射在 4300MJ/㎡以上，</w:t>
      </w:r>
      <w:r>
        <w:rPr>
          <w:rFonts w:hint="eastAsia" w:ascii="宋体" w:hAnsi="宋体"/>
        </w:rPr>
        <w:t>夏秋季为稳定</w:t>
      </w:r>
      <w:r>
        <w:rPr>
          <w:rFonts w:hint="eastAsia" w:ascii="宋体" w:hAnsi="宋体"/>
          <w:color w:val="auto"/>
        </w:rPr>
        <w:t>季节，有利于太阳能资源的开发。根据辐照分析和倾角分析，光伏方阵的安装</w:t>
      </w:r>
      <w:r>
        <w:rPr>
          <w:rFonts w:hint="eastAsia" w:ascii="宋体" w:hAnsi="宋体"/>
          <w:color w:val="auto"/>
          <w:lang w:val="en-US" w:eastAsia="zh-CN"/>
        </w:rPr>
        <w:t>最佳</w:t>
      </w:r>
      <w:r>
        <w:rPr>
          <w:rFonts w:hint="eastAsia" w:ascii="宋体" w:hAnsi="宋体"/>
          <w:color w:val="auto"/>
        </w:rPr>
        <w:t>方案为：在建筑</w:t>
      </w:r>
      <w:r>
        <w:rPr>
          <w:rFonts w:hint="eastAsia" w:ascii="宋体" w:hAnsi="宋体"/>
          <w:color w:val="auto"/>
          <w:lang w:val="en-US" w:eastAsia="zh-CN"/>
        </w:rPr>
        <w:t>屋</w:t>
      </w:r>
      <w:r>
        <w:rPr>
          <w:rFonts w:hint="eastAsia" w:ascii="宋体" w:hAnsi="宋体"/>
          <w:color w:val="auto"/>
          <w:u w:val="none"/>
          <w:lang w:val="en-US" w:eastAsia="zh-CN"/>
        </w:rPr>
        <w:t>顶及部分连廊顶部</w:t>
      </w:r>
      <w:r>
        <w:rPr>
          <w:rFonts w:hint="eastAsia" w:ascii="宋体" w:hAnsi="宋体"/>
          <w:color w:val="auto"/>
          <w:u w:val="none"/>
        </w:rPr>
        <w:t>的屋顶上安置1</w:t>
      </w:r>
      <w:r>
        <w:rPr>
          <w:rFonts w:hint="eastAsia" w:ascii="宋体" w:hAnsi="宋体"/>
          <w:color w:val="auto"/>
          <w:u w:val="none"/>
          <w:lang w:val="en-US" w:eastAsia="zh-CN"/>
        </w:rPr>
        <w:t>2</w:t>
      </w:r>
      <w:r>
        <w:rPr>
          <w:rFonts w:hint="eastAsia" w:ascii="宋体" w:hAnsi="宋体"/>
          <w:color w:val="auto"/>
          <w:u w:val="none"/>
        </w:rPr>
        <w:t>8块</w:t>
      </w:r>
      <w:r>
        <w:rPr>
          <w:rFonts w:hint="eastAsia" w:ascii="宋体" w:hAnsi="宋体"/>
          <w:color w:val="auto"/>
          <w:u w:val="none"/>
          <w:lang w:val="en-US" w:eastAsia="zh-CN"/>
        </w:rPr>
        <w:t>1650</w:t>
      </w:r>
      <w:r>
        <w:rPr>
          <w:rFonts w:hint="eastAsia" w:ascii="宋体" w:hAnsi="宋体"/>
          <w:color w:val="auto"/>
          <w:szCs w:val="21"/>
          <w:u w:val="none"/>
        </w:rPr>
        <w:t>m</w:t>
      </w:r>
      <w:r>
        <w:rPr>
          <w:rFonts w:hint="eastAsia" w:ascii="宋体" w:hAnsi="宋体"/>
          <w:color w:val="auto"/>
          <w:szCs w:val="21"/>
          <w:u w:val="none"/>
          <w:lang w:val="en-US" w:eastAsia="zh-CN"/>
        </w:rPr>
        <w:t>m×992m</w:t>
      </w:r>
      <w:r>
        <w:rPr>
          <w:rFonts w:hint="eastAsia" w:ascii="宋体" w:hAnsi="宋体"/>
          <w:color w:val="auto"/>
          <w:szCs w:val="21"/>
          <w:u w:val="none"/>
        </w:rPr>
        <w:t>m大小的，</w:t>
      </w:r>
      <w:r>
        <w:rPr>
          <w:rFonts w:hint="eastAsia" w:ascii="宋体" w:hAnsi="宋体"/>
          <w:color w:val="auto"/>
          <w:u w:val="none"/>
        </w:rPr>
        <w:t>倾角为</w:t>
      </w:r>
      <w:r>
        <w:rPr>
          <w:rFonts w:hint="eastAsia" w:ascii="宋体" w:hAnsi="宋体"/>
          <w:color w:val="auto"/>
          <w:u w:val="none"/>
          <w:lang w:val="en-US" w:eastAsia="zh-CN"/>
        </w:rPr>
        <w:t>30°</w:t>
      </w:r>
      <w:r>
        <w:rPr>
          <w:rFonts w:hint="eastAsia" w:ascii="宋体" w:hAnsi="宋体"/>
          <w:color w:val="auto"/>
          <w:u w:val="none"/>
        </w:rPr>
        <w:t>的</w:t>
      </w:r>
      <w:r>
        <w:rPr>
          <w:rFonts w:hint="eastAsia" w:ascii="宋体" w:hAnsi="宋体"/>
          <w:color w:val="auto"/>
          <w:u w:val="none"/>
          <w:lang w:val="en-US" w:eastAsia="zh-CN"/>
        </w:rPr>
        <w:t>单</w:t>
      </w:r>
      <w:r>
        <w:rPr>
          <w:rFonts w:hint="eastAsia" w:ascii="宋体" w:hAnsi="宋体"/>
          <w:color w:val="auto"/>
          <w:u w:val="none"/>
        </w:rPr>
        <w:t>晶硅光伏发电板</w:t>
      </w:r>
      <w:r>
        <w:rPr>
          <w:rFonts w:hint="eastAsia" w:ascii="宋体" w:hAnsi="宋体"/>
          <w:color w:val="auto"/>
          <w:u w:val="none"/>
          <w:lang w:eastAsia="zh-CN"/>
        </w:rPr>
        <w:t>，</w:t>
      </w:r>
      <w:r>
        <w:rPr>
          <w:rFonts w:hint="eastAsia" w:ascii="宋体" w:hAnsi="宋体"/>
          <w:color w:val="auto"/>
          <w:u w:val="none"/>
          <w:lang w:val="en-US" w:eastAsia="zh-CN"/>
        </w:rPr>
        <w:t>首年总发电量约为67.9Mwh，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</w:rPr>
        <w:t>25年预计总发电量</w:t>
      </w:r>
      <w:bookmarkStart w:id="0" w:name="发电量25年"/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</w:rPr>
        <w:t>1496.9</w:t>
      </w:r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</w:rPr>
        <w:t>MWh，投资</w:t>
      </w:r>
      <w:bookmarkStart w:id="1" w:name="总投资"/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</w:rPr>
        <w:t>88</w:t>
      </w:r>
      <w:bookmarkEnd w:id="1"/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</w:rPr>
        <w:t>万，收益</w:t>
      </w:r>
      <w:bookmarkStart w:id="2" w:name="总收益"/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</w:rPr>
        <w:t>149.69</w:t>
      </w:r>
      <w:bookmarkEnd w:id="2"/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</w:rPr>
        <w:t>万元，减排二氧化碳约</w:t>
      </w:r>
      <w:bookmarkStart w:id="3" w:name="二氧化碳减排量"/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</w:rPr>
        <w:t>1239.43</w:t>
      </w:r>
      <w:bookmarkEnd w:id="3"/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</w:rPr>
        <w:t>吨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eastAsia="zh-CN"/>
        </w:rPr>
        <w:t>。</w:t>
      </w:r>
    </w:p>
    <w:p w14:paraId="3198A4D1">
      <w:pPr>
        <w:adjustRightInd/>
        <w:snapToGrid/>
        <w:ind w:firstLine="420" w:firstLineChars="2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</w:rPr>
      </w:pPr>
    </w:p>
    <w:p w14:paraId="54DA8DC3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3.</w:t>
      </w:r>
      <w:r>
        <w:rPr>
          <w:rFonts w:hint="eastAsia"/>
          <w:b/>
          <w:bCs/>
        </w:rPr>
        <w:t>采光改造</w:t>
      </w:r>
    </w:p>
    <w:p w14:paraId="77C1E2D2">
      <w:pPr>
        <w:widowControl/>
        <w:ind w:firstLine="420" w:firstLineChars="200"/>
        <w:jc w:val="left"/>
      </w:pPr>
      <w:r>
        <w:rPr>
          <w:rFonts w:hint="eastAsia"/>
        </w:rPr>
        <w:t>由于</w:t>
      </w:r>
      <w:r>
        <w:rPr>
          <w:rFonts w:hint="eastAsia"/>
          <w:lang w:val="en-US" w:eastAsia="zh-CN"/>
        </w:rPr>
        <w:t>部分房间</w:t>
      </w:r>
      <w:r>
        <w:rPr>
          <w:rFonts w:hint="eastAsia"/>
        </w:rPr>
        <w:t>处于内区，四面均为内墙，无法接受自然光照，因此需要采用导光管</w:t>
      </w:r>
      <w:r>
        <w:rPr>
          <w:rFonts w:hint="eastAsia"/>
          <w:lang w:val="en-US" w:eastAsia="zh-CN"/>
        </w:rPr>
        <w:t>和反光板</w:t>
      </w:r>
      <w:r>
        <w:rPr>
          <w:rFonts w:hint="eastAsia"/>
        </w:rPr>
        <w:t>改善室内照明条件并减少能耗。</w:t>
      </w:r>
      <w:r>
        <w:rPr>
          <w:rFonts w:hint="eastAsia"/>
          <w:lang w:val="en-US" w:eastAsia="zh-CN"/>
        </w:rPr>
        <w:t>而有些房间光照强度过高且光分布极其不均，</w:t>
      </w:r>
      <w:r>
        <w:rPr>
          <w:rFonts w:hint="eastAsia"/>
        </w:rPr>
        <w:t>容易造成炫光。</w:t>
      </w:r>
      <w:r>
        <w:rPr>
          <w:rFonts w:hint="eastAsia"/>
          <w:lang w:val="en-US" w:eastAsia="zh-CN"/>
        </w:rPr>
        <w:t>若</w:t>
      </w:r>
      <w:r>
        <w:rPr>
          <w:rFonts w:hint="eastAsia"/>
        </w:rPr>
        <w:t>使用室内人工采光，</w:t>
      </w:r>
      <w:r>
        <w:rPr>
          <w:rFonts w:hint="eastAsia"/>
          <w:lang w:eastAsia="zh-CN"/>
        </w:rPr>
        <w:t>在</w:t>
      </w:r>
      <w:r>
        <w:rPr>
          <w:rFonts w:hint="eastAsia"/>
        </w:rPr>
        <w:t>增加能耗</w:t>
      </w:r>
      <w:r>
        <w:rPr>
          <w:rFonts w:hint="eastAsia"/>
          <w:lang w:val="en-US" w:eastAsia="zh-CN"/>
        </w:rPr>
        <w:t>的同时</w:t>
      </w:r>
      <w:r>
        <w:rPr>
          <w:rFonts w:hint="eastAsia"/>
        </w:rPr>
        <w:t>容易导致视觉疲劳，对同学们的视觉健康造成危害。</w:t>
      </w:r>
    </w:p>
    <w:p w14:paraId="21D54A0C">
      <w:pPr>
        <w:widowControl/>
        <w:ind w:firstLine="420" w:firstLineChars="200"/>
        <w:jc w:val="left"/>
      </w:pPr>
      <w:r>
        <w:rPr>
          <w:rFonts w:hint="eastAsia"/>
        </w:rPr>
        <w:t>我们采用了以下解决措施： 在</w:t>
      </w:r>
      <w:r>
        <w:rPr>
          <w:rFonts w:hint="eastAsia"/>
          <w:lang w:val="en-US" w:eastAsia="zh-CN"/>
        </w:rPr>
        <w:t>部分房间的</w:t>
      </w:r>
      <w:r>
        <w:rPr>
          <w:rFonts w:hint="eastAsia"/>
        </w:rPr>
        <w:t>较高窗上设计光学级亚克力反光板和导光管，使最终到达室内的光线更加柔和。对于</w:t>
      </w:r>
      <w:r>
        <w:rPr>
          <w:rFonts w:hint="eastAsia"/>
          <w:lang w:val="en-US" w:eastAsia="zh-CN"/>
        </w:rPr>
        <w:t>光照强度过高的房间</w:t>
      </w:r>
      <w:r>
        <w:rPr>
          <w:rFonts w:hint="eastAsia"/>
        </w:rPr>
        <w:t>增设</w:t>
      </w:r>
      <w:r>
        <w:rPr>
          <w:rFonts w:hint="eastAsia"/>
          <w:lang w:val="en-US" w:eastAsia="zh-CN"/>
        </w:rPr>
        <w:t>可</w:t>
      </w:r>
      <w:r>
        <w:rPr>
          <w:rFonts w:hint="eastAsia"/>
        </w:rPr>
        <w:t>活动百叶遮阳措施，以达到减弱光照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提高光均匀度</w:t>
      </w:r>
      <w:r>
        <w:rPr>
          <w:rFonts w:hint="eastAsia"/>
        </w:rPr>
        <w:t>作用。</w:t>
      </w:r>
    </w:p>
    <w:p w14:paraId="4DCFFD76">
      <w:pPr>
        <w:widowControl/>
        <w:jc w:val="left"/>
        <w:rPr>
          <w:rFonts w:hint="eastAsia" w:ascii="宋体" w:hAnsi="宋体" w:cs="宋体"/>
          <w:b/>
          <w:bCs/>
          <w:color w:val="000000"/>
          <w:kern w:val="0"/>
          <w:szCs w:val="20"/>
          <w:lang w:bidi="ar"/>
        </w:rPr>
      </w:pPr>
    </w:p>
    <w:p w14:paraId="393D74AB">
      <w:pPr>
        <w:widowControl/>
        <w:jc w:val="left"/>
        <w:rPr>
          <w:rFonts w:ascii="宋体" w:hAnsi="宋体" w:cs="宋体"/>
          <w:b/>
          <w:bCs/>
          <w:color w:val="000000"/>
          <w:kern w:val="0"/>
          <w:szCs w:val="20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0"/>
          <w:lang w:val="en-US" w:eastAsia="zh-CN" w:bidi="ar"/>
        </w:rPr>
        <w:t>4.</w:t>
      </w:r>
      <w:r>
        <w:rPr>
          <w:rFonts w:hint="eastAsia" w:ascii="宋体" w:hAnsi="宋体" w:cs="宋体"/>
          <w:b/>
          <w:bCs/>
          <w:color w:val="000000"/>
          <w:kern w:val="0"/>
          <w:szCs w:val="20"/>
          <w:lang w:bidi="ar"/>
        </w:rPr>
        <w:t>材料改造</w:t>
      </w:r>
    </w:p>
    <w:p w14:paraId="05F4C44B">
      <w:pPr>
        <w:adjustRightInd/>
        <w:snapToGrid/>
        <w:ind w:firstLine="420" w:firstLineChars="2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/>
        </w:rPr>
        <w:t>在建筑的防水处理方面，采用新型的生物基防水涂料。这种涂料由天然的植物油、淀粉等可再生资源制成，具有良好的防水性能和耐久性。与传统的防水涂料相比，其生产过程中的碳排放更低，而且在使用后可以自然降解，不会对环境造成污染。</w:t>
      </w:r>
    </w:p>
    <w:p w14:paraId="771CC9A3">
      <w:pPr>
        <w:adjustRightInd/>
        <w:snapToGrid/>
        <w:ind w:firstLine="420" w:firstLineChars="2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/>
        </w:rPr>
        <w:t>在室内家具的选择上，推广使用由回收塑料和植物纤维混合制成的复合材料。这种材料可以将废弃的塑料重新利用，减少塑料垃圾的堆积，同时植物纤维的加入使其具有一定的自然质感和环保特性。家具的设计采用模块化和可拆卸的理念，方便在损坏或不需要时进行回收再利用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>。</w:t>
      </w:r>
    </w:p>
    <w:p w14:paraId="77C4CF50">
      <w:pPr>
        <w:adjustRightInd/>
        <w:snapToGrid/>
        <w:ind w:firstLine="420" w:firstLineChars="2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</w:pPr>
    </w:p>
    <w:p w14:paraId="1B44C574">
      <w:pPr>
        <w:adjustRightInd/>
        <w:snapToGrid/>
        <w:ind w:firstLine="420" w:firstLineChars="2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</w:pPr>
    </w:p>
    <w:p w14:paraId="22B9DCE6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四、运行与维护</w:t>
      </w:r>
    </w:p>
    <w:p w14:paraId="260486EF">
      <w:pPr>
        <w:numPr>
          <w:ilvl w:val="0"/>
          <w:numId w:val="3"/>
        </w:num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能源管理</w:t>
      </w:r>
    </w:p>
    <w:p w14:paraId="7A3399B6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1.太阳能光伏板发电系统：通过智能电表对太阳能光伏板的发电量进行实时监测，将产生的电能优先供应幼儿园的照明、电器设备等用电需求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实现能源的有效利用。</w:t>
      </w:r>
    </w:p>
    <w:p w14:paraId="68454F4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.能耗监测与分析：利用物联网技术，对整个幼儿园的能耗情况进行实时监测，通过能耗分析软件，对能耗数据进行分析，找出能源消耗的高峰和低谷时段，制定针对性的节能措施。</w:t>
      </w:r>
    </w:p>
    <w:p w14:paraId="3A0F54DC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57C3735B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建筑结构与外立面维护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管理</w:t>
      </w:r>
    </w:p>
    <w:p w14:paraId="207DE6DB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定期对建筑结构进行检查，特别是钢结构的连接部位和混凝土结构的梁、柱等关键部位。对于发现的结构损伤或安全隐患，及时进行修复或加固。对于屋面种植屋面，定期修剪植物，检查防水系统是否正常，防止屋面漏水。同时，对太阳能光伏板进行清洁和检查，确保其发电效率不受灰尘、树叶等杂物的影响。</w:t>
      </w:r>
    </w:p>
    <w:p w14:paraId="0717D039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 w14:paraId="3B6D90B8"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.给排水与消防系统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管理</w:t>
      </w:r>
    </w:p>
    <w:p w14:paraId="7D7E0893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1.对给排水系统进行定期检查，包括管道是否漏水、水龙头和马桶等卫生器具是否正常使用等。清理雨水收集系统中的杂物，确保雨水能够顺利收集和利用。</w:t>
      </w:r>
    </w:p>
    <w:p w14:paraId="7564E5D9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2.对消防系统进行定期维护，检查消防栓、灭火器等消防设备是否完好有效，消防报警系统是否正常工作。定期组织消防演练，提高全体师生的消防意识和应急能力。</w:t>
      </w:r>
    </w:p>
    <w:p w14:paraId="48BA4023"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 w14:paraId="58E57062"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基于BIM技术的维护管理</w:t>
      </w:r>
    </w:p>
    <w:p w14:paraId="5E17CFC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利用BIM模型建立建筑的维护管理数据库，将建筑的各个部件、设备的信息（如型号、安装位置、维护周期、维修记录等）集成到数据库中。在维护过程中，通过BIM模型快速定位需要维护的部件或设备，查询其相关信息，提高维护效率。</w:t>
      </w:r>
    </w:p>
    <w:p w14:paraId="07A3C59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2.根据BIM模型中的设备运行数据和维护记录，对设备的使用寿命和维护成本进行预测分析，制定合理的设备更新计划，实现建筑的可持续维护与运行。</w:t>
      </w:r>
    </w:p>
    <w:p w14:paraId="5C69B59D">
      <w:pPr>
        <w:numPr>
          <w:ilvl w:val="0"/>
          <w:numId w:val="0"/>
        </w:numPr>
        <w:ind w:left="210" w:leftChars="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 w14:paraId="6DF583BA">
      <w:pPr>
        <w:spacing w:after="156"/>
        <w:ind w:firstLine="480" w:firstLineChars="200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1D6B56F3"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A9E05">
    <w:pPr>
      <w:pStyle w:val="2"/>
      <w:tabs>
        <w:tab w:val="center" w:pos="4535"/>
        <w:tab w:val="right" w:pos="9070"/>
        <w:tab w:val="clear" w:pos="4153"/>
        <w:tab w:val="clear" w:pos="8306"/>
      </w:tabs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F5D29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F5D29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64CE7E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A626E">
    <w:pPr>
      <w:pStyle w:val="2"/>
      <w:tabs>
        <w:tab w:val="center" w:pos="4535"/>
        <w:tab w:val="right" w:pos="9070"/>
        <w:tab w:val="clear" w:pos="4153"/>
        <w:tab w:val="clear" w:pos="8306"/>
      </w:tabs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7885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67885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D96CEB2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43365C"/>
    <w:multiLevelType w:val="singleLevel"/>
    <w:tmpl w:val="0E43365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57FA12"/>
    <w:multiLevelType w:val="singleLevel"/>
    <w:tmpl w:val="2F57FA12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CB247A2"/>
    <w:multiLevelType w:val="singleLevel"/>
    <w:tmpl w:val="4CB247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E1277"/>
    <w:rsid w:val="0AF0679F"/>
    <w:rsid w:val="339553EB"/>
    <w:rsid w:val="48DA2A23"/>
    <w:rsid w:val="538E1277"/>
    <w:rsid w:val="54E6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1982</Words>
  <Characters>2059</Characters>
  <Lines>0</Lines>
  <Paragraphs>0</Paragraphs>
  <TotalTime>313</TotalTime>
  <ScaleCrop>false</ScaleCrop>
  <LinksUpToDate>false</LinksUpToDate>
  <CharactersWithSpaces>2066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2024-12-24T11:08:00Z</dcterms:created>
  <dc:creator>杨一成</dc:creator>
  <cp:lastModifiedBy>杨一成</cp:lastModifiedBy>
  <dcterms:modified xsi:type="dcterms:W3CDTF">2025-03-10T08:10:34Z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4A4708484C794F0492D25C1B964AF969_11</vt:lpwstr>
  </property>
  <property fmtid="{D5CDD505-2E9C-101B-9397-08002B2CF9AE}" pid="4" name="KSOTemplateDocerSaveRecord">
    <vt:lpwstr>eyJoZGlkIjoiYWNkMTVjOGE2MTU4N2I3OWY5ZGZhYjA5MzUzMTA1NDgiLCJ1c2VySWQiOiIxNjE2NzI5NTMyIn0=</vt:lpwstr>
  </property>
</Properties>
</file>