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801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建筑内外标识系统设计及说明</w:t>
      </w:r>
    </w:p>
    <w:p w14:paraId="35B534FF">
      <w:pPr>
        <w:rPr>
          <w:rFonts w:hint="eastAsia"/>
        </w:rPr>
      </w:pPr>
    </w:p>
    <w:p w14:paraId="77C83B32">
      <w:pPr>
        <w:rPr>
          <w:rFonts w:hint="eastAsia"/>
        </w:rPr>
      </w:pPr>
      <w:r>
        <w:rPr>
          <w:rFonts w:hint="eastAsia"/>
          <w:sz w:val="30"/>
          <w:szCs w:val="30"/>
        </w:rPr>
        <w:t xml:space="preserve"> 一、设计原则  </w:t>
      </w:r>
    </w:p>
    <w:p w14:paraId="015BD23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 功能性  </w:t>
      </w:r>
    </w:p>
    <w:p w14:paraId="222BD9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清晰引导：确保标识系统能准确传递空间信息（如出入口、功能分区）。  </w:t>
      </w:r>
    </w:p>
    <w:p w14:paraId="725114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无障碍设计：符合残障人士使用需求（如盲文标识、高对比度色彩）。  </w:t>
      </w:r>
    </w:p>
    <w:p w14:paraId="50416E0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DE33A1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规范性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68A0BB3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符合国家/地方标准。  </w:t>
      </w:r>
    </w:p>
    <w:p w14:paraId="434C0DA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统一字体、色彩、材质风格，避免视觉混乱。  </w:t>
      </w:r>
    </w:p>
    <w:p w14:paraId="1F11DCA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9331A8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 美观性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12772C6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与建筑风格、环境景观协调（采用简约线条，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将景德镇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历史文化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传统元素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融入建筑标识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）。  </w:t>
      </w:r>
    </w:p>
    <w:p w14:paraId="4BCF2A8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C4B2D2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 安全性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7A370D7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材料需防火、耐腐蚀、抗紫外线。  </w:t>
      </w:r>
    </w:p>
    <w:p w14:paraId="2254A9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安装牢固，避免坠落风险。  </w:t>
      </w:r>
    </w:p>
    <w:p w14:paraId="42BE9B0E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575BA3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 可持续性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2669676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优先选用环保材料（再生铝板、亚克力）。  </w:t>
      </w:r>
    </w:p>
    <w:p w14:paraId="6C7FD7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考虑长期维护成本，避免短期更换。  </w:t>
      </w:r>
    </w:p>
    <w:p w14:paraId="7521F3C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87029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二、标识系统分类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1791B97">
      <w:pP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外部标识系统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B67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0BE5B9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类型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78704A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内容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CCCCCC" w:themeFill="dark1" w:themeFillTint="32"/>
            <w:vAlign w:val="center"/>
          </w:tcPr>
          <w:p w14:paraId="1010A3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设计要点</w:t>
            </w:r>
          </w:p>
        </w:tc>
      </w:tr>
      <w:tr w14:paraId="1B67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2840" w:type="dxa"/>
            <w:vAlign w:val="center"/>
          </w:tcPr>
          <w:p w14:paraId="78438FF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建筑名牌</w:t>
            </w:r>
          </w:p>
        </w:tc>
        <w:tc>
          <w:tcPr>
            <w:tcW w:w="2841" w:type="dxa"/>
            <w:vAlign w:val="center"/>
          </w:tcPr>
          <w:p w14:paraId="0CE4157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建筑名称、LOGO、建设单位信息</w:t>
            </w:r>
          </w:p>
        </w:tc>
        <w:tc>
          <w:tcPr>
            <w:tcW w:w="2841" w:type="dxa"/>
            <w:vAlign w:val="center"/>
          </w:tcPr>
          <w:p w14:paraId="24D057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高度醒目，夜间需背光照明；材质耐候性强（不锈钢+LED灯箱）。</w:t>
            </w:r>
          </w:p>
        </w:tc>
      </w:tr>
      <w:tr w14:paraId="5F62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4506A1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导向标识</w:t>
            </w:r>
          </w:p>
        </w:tc>
        <w:tc>
          <w:tcPr>
            <w:tcW w:w="2841" w:type="dxa"/>
            <w:vAlign w:val="center"/>
          </w:tcPr>
          <w:p w14:paraId="73B4634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街道指引、停车场指示、公交站点标牌</w:t>
            </w:r>
          </w:p>
        </w:tc>
        <w:tc>
          <w:tcPr>
            <w:tcW w:w="2841" w:type="dxa"/>
            <w:vAlign w:val="center"/>
          </w:tcPr>
          <w:p w14:paraId="4325C75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使用地图符号与箭头增强方向感；字体清晰易读（字号≥5cm）。</w:t>
            </w:r>
          </w:p>
        </w:tc>
      </w:tr>
      <w:tr w14:paraId="2C3B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DECFB6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安全标识</w:t>
            </w:r>
          </w:p>
        </w:tc>
        <w:tc>
          <w:tcPr>
            <w:tcW w:w="2841" w:type="dxa"/>
            <w:vAlign w:val="center"/>
          </w:tcPr>
          <w:p w14:paraId="5DB33C2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消防通道、紧急出口、禁烟区</w:t>
            </w:r>
          </w:p>
        </w:tc>
        <w:tc>
          <w:tcPr>
            <w:tcW w:w="2841" w:type="dxa"/>
            <w:vAlign w:val="center"/>
          </w:tcPr>
          <w:p w14:paraId="09B0F08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配合红色警示色，图形符号国际通用。</w:t>
            </w:r>
          </w:p>
        </w:tc>
      </w:tr>
    </w:tbl>
    <w:p w14:paraId="6C988F3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6AC0B03">
      <w:pP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内部标识系统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D6F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3BEF06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类型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21E185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内容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CCCCCC" w:themeFill="dark1" w:themeFillTint="32"/>
            <w:vAlign w:val="center"/>
          </w:tcPr>
          <w:p w14:paraId="18A19D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设计要点</w:t>
            </w:r>
          </w:p>
        </w:tc>
      </w:tr>
      <w:tr w14:paraId="437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76CC09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功能分区标识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0D339B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办公区域、会议室、卫生间、消防设备间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C2317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使用图标+文字标注；色彩区分不同功能（如红色标识消防设施）。</w:t>
            </w:r>
          </w:p>
        </w:tc>
      </w:tr>
      <w:tr w14:paraId="642C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2749F3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导向标识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750237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楼层平面图、电梯按钮、楼梯指示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96D62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简化路径，避免信息过载；箭头方向与实际动线一致。</w:t>
            </w:r>
          </w:p>
        </w:tc>
      </w:tr>
      <w:tr w14:paraId="27A6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000000" w:themeColor="dark1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245D94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警示标识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000000" w:themeColor="dark1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1DC844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高电压、易燃易爆物品、防滑提醒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B8C80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图形直观（如表示危险），对比色突出（如黄底黑字）。</w:t>
            </w:r>
          </w:p>
        </w:tc>
      </w:tr>
    </w:tbl>
    <w:p w14:paraId="6D7C93B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9386A0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三、设计内容详解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70CCB16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视觉设计规范  </w:t>
      </w:r>
    </w:p>
    <w:p w14:paraId="13025F5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色彩方案：  </w:t>
      </w:r>
    </w:p>
    <w:p w14:paraId="4DF7F4B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主色调：与建筑主立面协调（如白色+灰色现代建筑）。  </w:t>
      </w:r>
    </w:p>
    <w:p w14:paraId="2D4EE9F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辅助色：用于区分功能（如绿色标识安全出口，蓝色标识卫生间）。  </w:t>
      </w:r>
    </w:p>
    <w:p w14:paraId="24239B5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字体选择：  </w:t>
      </w:r>
    </w:p>
    <w:p w14:paraId="6ACA1B7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标题：无衬线字体（如微软雅黑），字号≥8cm。  </w:t>
      </w:r>
    </w:p>
    <w:p w14:paraId="250875C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正文：易读性字体（如宋体），字号≥4cm。  </w:t>
      </w:r>
    </w:p>
    <w:p w14:paraId="42CBA1B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图形符号：  </w:t>
      </w:r>
    </w:p>
    <w:p w14:paraId="2B497E6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国际通用图标（如ISO标准）+定制化图形（体现建筑特色）。  </w:t>
      </w:r>
    </w:p>
    <w:p w14:paraId="199A54C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457A0B9">
      <w:pPr>
        <w:numPr>
          <w:ilvl w:val="0"/>
          <w:numId w:val="1"/>
        </w:numPr>
        <w:ind w:left="14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材料与工艺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034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5EC02988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材料类型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FFFFFF" w:sz="6" w:space="0"/>
            </w:tcBorders>
            <w:shd w:val="clear" w:color="auto" w:fill="CCCCCC" w:themeFill="dark1" w:themeFillTint="32"/>
            <w:vAlign w:val="center"/>
          </w:tcPr>
          <w:p w14:paraId="2D633803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适用场景</w:t>
            </w:r>
          </w:p>
        </w:tc>
        <w:tc>
          <w:tcPr>
            <w:tcW w:w="2841" w:type="dxa"/>
            <w:tcBorders>
              <w:top w:val="single" w:color="000000" w:themeColor="dark1" w:sz="6" w:space="0"/>
              <w:left w:val="single" w:color="FFFFFF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CCCCCC" w:themeFill="dark1" w:themeFillTint="32"/>
            <w:vAlign w:val="center"/>
          </w:tcPr>
          <w:p w14:paraId="0D03200D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8090C"/>
                <w:sz w:val="28"/>
                <w:szCs w:val="28"/>
              </w:rPr>
              <w:t>优势</w:t>
            </w:r>
          </w:p>
        </w:tc>
      </w:tr>
      <w:tr w14:paraId="22E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3E3725EF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金属材质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2F8D255C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建筑名牌、导向立牌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E399641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耐候性强，质感高端。</w:t>
            </w:r>
          </w:p>
        </w:tc>
      </w:tr>
      <w:tr w14:paraId="1633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19BC8E6D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亚克力/PC板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4E0734FC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室内外标牌、灯箱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32A3F7B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轻量化、透光性好，可制作立体发光效果。</w:t>
            </w:r>
          </w:p>
        </w:tc>
      </w:tr>
      <w:tr w14:paraId="7D74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471A51EF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石材/仿石材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3FEC8503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大型地名牌、景观标识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A8A8A8" w:themeColor="dark1" w:themeTint="5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BF1AFC1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耐磨耐腐蚀，适合长期户外使用。</w:t>
            </w:r>
          </w:p>
        </w:tc>
      </w:tr>
      <w:tr w14:paraId="17E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op w:val="single" w:color="A8A8A8" w:themeColor="dark1" w:themeTint="56" w:sz="6" w:space="0"/>
              <w:left w:val="single" w:color="000000" w:themeColor="dark1" w:sz="6" w:space="0"/>
              <w:bottom w:val="single" w:color="000000" w:themeColor="dark1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584841C5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LED显示屏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000000" w:themeColor="dark1" w:sz="6" w:space="0"/>
              <w:right w:val="single" w:color="A8A8A8" w:themeColor="dark1" w:themeTint="56" w:sz="6" w:space="0"/>
            </w:tcBorders>
            <w:shd w:val="clear" w:color="auto" w:fill="FFFFFF"/>
            <w:vAlign w:val="center"/>
          </w:tcPr>
          <w:p w14:paraId="373C406B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动态信息展示（如商场促销、交通指引）</w:t>
            </w:r>
          </w:p>
        </w:tc>
        <w:tc>
          <w:tcPr>
            <w:tcW w:w="2841" w:type="dxa"/>
            <w:tcBorders>
              <w:top w:val="single" w:color="A8A8A8" w:themeColor="dark1" w:themeTint="56" w:sz="6" w:space="0"/>
              <w:left w:val="single" w:color="A8A8A8" w:themeColor="dark1" w:themeTint="5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C4E6FDB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8"/>
                <w:szCs w:val="28"/>
              </w:rPr>
              <w:t>高亮度、可实时更新内容。</w:t>
            </w:r>
          </w:p>
        </w:tc>
      </w:tr>
    </w:tbl>
    <w:p w14:paraId="404D103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44940C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3. 安装标准  </w:t>
      </w:r>
    </w:p>
    <w:p w14:paraId="4D4131F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外部标识：  </w:t>
      </w:r>
    </w:p>
    <w:p w14:paraId="0BF5015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立地式标识：底部距地面≥1.2m，避免行人碰撞。  </w:t>
      </w:r>
    </w:p>
    <w:p w14:paraId="33C26FE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吊挂式标识：安装牢固，边缘需做防坠落处理。  </w:t>
      </w:r>
    </w:p>
    <w:p w14:paraId="49A2446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内部标识：  </w:t>
      </w:r>
    </w:p>
    <w:p w14:paraId="03B5E7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楼层标识：安装在走廊尽头或电梯口，高度统一（建议1.5~1.8m）。  </w:t>
      </w:r>
    </w:p>
    <w:p w14:paraId="46CA7EE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张贴类标识：使用强力胶或磁吸贴，避免翘边。  </w:t>
      </w:r>
    </w:p>
    <w:p w14:paraId="58BA1CE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E3BF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四、设计说明模板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6E9A4AA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设计背景  </w:t>
      </w:r>
    </w:p>
    <w:p w14:paraId="74C0E1D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简述项目定位（如商业综合体、文化中心）及标识系统设计目标。  </w:t>
      </w:r>
    </w:p>
    <w:p w14:paraId="5D21640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分析场地现状（如人流路线、建筑结构特点）。  </w:t>
      </w:r>
    </w:p>
    <w:p w14:paraId="286342E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F55C77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2. 设计理念  </w:t>
      </w:r>
    </w:p>
    <w:p w14:paraId="773E9B7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结合建筑风格与用户需求，提炼关键词（如“高效”“人文”“生态”）。  </w:t>
      </w:r>
    </w:p>
    <w:p w14:paraId="68E2BC6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示例：  </w:t>
      </w:r>
    </w:p>
    <w:p w14:paraId="29876EA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“本标识系统以‘流动的线条’为设计语言，呼应建筑曲面造型，同时通过色彩模块化区分功能区域。”  </w:t>
      </w:r>
    </w:p>
    <w:p w14:paraId="27EB5A2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894C9C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3. 核心内容  </w:t>
      </w:r>
    </w:p>
    <w:p w14:paraId="3E6C65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功能分区图示、标识点位平面图、3D效果图。  </w:t>
      </w:r>
    </w:p>
    <w:p w14:paraId="455D38A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材料样品展示（如金属质感打样、灯光效果模拟）。  </w:t>
      </w:r>
    </w:p>
    <w:p w14:paraId="76B6319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97572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4. 创新点  </w:t>
      </w:r>
    </w:p>
    <w:p w14:paraId="1AF5E77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技术创新：如AR导览标识、太阳能供电LED灯箱。  </w:t>
      </w:r>
    </w:p>
    <w:p w14:paraId="5CCA9B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文化融合：融入本地文化元素（如景德镇陶瓷纹样）。  </w:t>
      </w:r>
    </w:p>
    <w:p w14:paraId="48637B2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6843C7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五、注意事项  </w:t>
      </w:r>
    </w:p>
    <w:p w14:paraId="262C04F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 无障碍设计：  </w:t>
      </w:r>
    </w:p>
    <w:p w14:paraId="4AEC027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轮椅通道标识需连续，盲文标识间距≤1m。  </w:t>
      </w:r>
    </w:p>
    <w:p w14:paraId="79BF94D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夜间照明：  </w:t>
      </w:r>
    </w:p>
    <w:p w14:paraId="1E72060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外部标识照度≥50lux，内部关键区域（如楼梯口）≥30lux。  </w:t>
      </w:r>
    </w:p>
    <w:p w14:paraId="7B7A71E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 维护管理：  </w:t>
      </w:r>
    </w:p>
    <w:p w14:paraId="51FFBEA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制定定期清洁、检修计划，避免标识褪色或损坏。  </w:t>
      </w:r>
    </w:p>
    <w:p w14:paraId="0A71B9D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0853"/>
    <w:multiLevelType w:val="singleLevel"/>
    <w:tmpl w:val="C9AE0853"/>
    <w:lvl w:ilvl="0" w:tentative="0">
      <w:start w:val="2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1AE1"/>
    <w:rsid w:val="60D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2025-03-03T07:37:01Z</dcterms:created>
  <dc:creator>20031010</dc:creator>
  <cp:lastModifiedBy>WPS_1630027133</cp:lastModifiedBy>
  <dcterms:modified xsi:type="dcterms:W3CDTF">2025-03-03T07:54:30Z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eyJoZGlkIjoiNDAwZWQxNGIwNTY5ZDUzYzlhZjI3MGRhZTIxODMzNTMiLCJ1c2VySWQiOiIxMjU0OTQzMjY0In0=</vt:lpwstr>
  </property>
  <property fmtid="{D5CDD505-2E9C-101B-9397-08002B2CF9AE}" pid="4" name="ICV">
    <vt:lpwstr>F2FD6901A0864C4DA6C2EFD09E24256A_12</vt:lpwstr>
  </property>
</Properties>
</file>