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5498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43745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902B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93C14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2CE2A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2C07AF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FAA06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AA622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E44D27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70B31A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3AF6F" w14:textId="77777777" w:rsidR="00E40C34" w:rsidRPr="00897ADE" w:rsidRDefault="00E40C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DF7A2" w14:textId="77777777" w:rsidR="00E40C34" w:rsidRPr="00897ADE" w:rsidRDefault="00E40C3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1D1F88A" w14:textId="77777777" w:rsidR="00E40C34" w:rsidRPr="00897ADE" w:rsidRDefault="00897ADE" w:rsidP="00022519">
      <w:pPr>
        <w:pStyle w:val="1"/>
        <w:jc w:val="center"/>
        <w:rPr>
          <w:rFonts w:ascii="Times New Roman" w:eastAsiaTheme="minorEastAsia" w:hAnsi="Times New Roman"/>
          <w:sz w:val="36"/>
          <w:szCs w:val="36"/>
          <w:lang w:eastAsia="zh-CN"/>
        </w:rPr>
        <w:sectPr w:rsidR="00E40C34" w:rsidRPr="00897ADE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  <w:r w:rsidRPr="00897ADE">
        <w:rPr>
          <w:rFonts w:ascii="Times New Roman" w:hAnsi="Times New Roman"/>
          <w:sz w:val="36"/>
          <w:szCs w:val="36"/>
          <w:lang w:eastAsia="zh-CN"/>
        </w:rPr>
        <w:t>可变换功能空间采用灵活隔断的比例计算书</w:t>
      </w:r>
    </w:p>
    <w:p w14:paraId="0F38952F" w14:textId="77777777" w:rsidR="00022519" w:rsidRPr="00897ADE" w:rsidRDefault="00022519" w:rsidP="00022519">
      <w:pPr>
        <w:pStyle w:val="1"/>
        <w:rPr>
          <w:rFonts w:ascii="Times New Roman" w:eastAsiaTheme="minorEastAsia" w:hAnsi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 w:hint="eastAsia"/>
          <w:sz w:val="32"/>
          <w:szCs w:val="32"/>
          <w:lang w:eastAsia="zh-CN"/>
        </w:rPr>
        <w:lastRenderedPageBreak/>
        <w:t>1.</w:t>
      </w:r>
      <w:r w:rsidRPr="00897ADE">
        <w:rPr>
          <w:rFonts w:ascii="Times New Roman" w:hAnsi="Times New Roman" w:hint="eastAsia"/>
          <w:sz w:val="32"/>
          <w:szCs w:val="32"/>
          <w:lang w:eastAsia="zh-CN"/>
        </w:rPr>
        <w:t>计算概述</w:t>
      </w:r>
    </w:p>
    <w:p w14:paraId="08BFF7C1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lang w:eastAsia="zh-CN"/>
        </w:rPr>
      </w:pPr>
    </w:p>
    <w:p w14:paraId="47906C1F" w14:textId="4B7D342D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1.1.</w:t>
      </w:r>
      <w:r w:rsidRPr="00897ADE">
        <w:rPr>
          <w:rStyle w:val="a5"/>
          <w:rFonts w:ascii="Times New Roman" w:hAnsi="Times New Roman" w:hint="eastAsia"/>
          <w:sz w:val="28"/>
          <w:szCs w:val="28"/>
          <w:lang w:eastAsia="zh-CN"/>
        </w:rPr>
        <w:t>项目概况</w:t>
      </w:r>
    </w:p>
    <w:p w14:paraId="0A90C645" w14:textId="77777777" w:rsidR="00022519" w:rsidRPr="00897ADE" w:rsidRDefault="00022519" w:rsidP="00022519">
      <w:p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12F2D8" w14:textId="600AF490" w:rsidR="00022519" w:rsidRPr="00F01B04" w:rsidRDefault="00F01B04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F01B04">
        <w:rPr>
          <w:rFonts w:ascii="Times New Roman" w:hAnsi="Times New Roman" w:cs="宋体" w:hint="eastAsia"/>
          <w:sz w:val="21"/>
          <w:szCs w:val="21"/>
          <w:lang w:eastAsia="zh-CN"/>
        </w:rPr>
        <w:t>本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项目选址位于</w:t>
      </w:r>
      <w:r w:rsidRPr="00F01B04">
        <w:rPr>
          <w:rFonts w:ascii="Times New Roman" w:hAnsi="Times New Roman" w:cs="宋体"/>
          <w:sz w:val="21"/>
          <w:szCs w:val="21"/>
          <w:lang w:eastAsia="zh-CN"/>
        </w:rPr>
        <w:t>天津西站西片区（京津冀同城商务区一期）城市更新项目，划定东至复兴路、南至西</w:t>
      </w:r>
      <w:r w:rsidRPr="00F01B04">
        <w:rPr>
          <w:rFonts w:ascii="Times New Roman" w:hAnsi="Times New Roman" w:cs="宋体"/>
          <w:sz w:val="21"/>
          <w:szCs w:val="21"/>
          <w:lang w:eastAsia="zh-CN"/>
        </w:rPr>
        <w:t xml:space="preserve"> </w:t>
      </w:r>
      <w:r w:rsidRPr="00F01B04">
        <w:rPr>
          <w:rFonts w:ascii="Times New Roman" w:hAnsi="Times New Roman" w:cs="宋体"/>
          <w:sz w:val="21"/>
          <w:szCs w:val="21"/>
          <w:lang w:eastAsia="zh-CN"/>
        </w:rPr>
        <w:t>青道、西至咸阳路、北至现状铁路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。整个规划总用地面积接近</w:t>
      </w:r>
      <w:r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8000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平方米，基本呈方形，南北向约</w:t>
      </w:r>
      <w:r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84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米，东西向约</w:t>
      </w:r>
      <w:r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95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米，地块内部较为整体平坦，</w:t>
      </w:r>
      <w:r w:rsidRPr="00F01B04">
        <w:rPr>
          <w:rFonts w:ascii="Times New Roman" w:hAnsi="Times New Roman" w:cs="宋体" w:hint="eastAsia"/>
          <w:sz w:val="21"/>
          <w:szCs w:val="21"/>
          <w:lang w:eastAsia="zh-CN"/>
        </w:rPr>
        <w:t>北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侧略高，</w:t>
      </w:r>
      <w:r w:rsidRPr="00F01B04">
        <w:rPr>
          <w:rFonts w:ascii="Times New Roman" w:hAnsi="Times New Roman" w:cs="宋体" w:hint="eastAsia"/>
          <w:sz w:val="21"/>
          <w:szCs w:val="21"/>
          <w:lang w:eastAsia="zh-CN"/>
        </w:rPr>
        <w:t>南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侧略低，自然地形最高标高为</w:t>
      </w:r>
      <w:r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0.48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，最低标高为</w:t>
      </w:r>
      <w:r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0.46</w:t>
      </w:r>
      <w:r w:rsidR="00022519" w:rsidRPr="00F01B04">
        <w:rPr>
          <w:rFonts w:ascii="Times New Roman" w:hAnsi="Times New Roman" w:cs="宋体" w:hint="eastAsia"/>
          <w:sz w:val="21"/>
          <w:szCs w:val="21"/>
          <w:lang w:eastAsia="zh-CN"/>
        </w:rPr>
        <w:t>。</w:t>
      </w:r>
    </w:p>
    <w:p w14:paraId="44FB47FF" w14:textId="5292C37E" w:rsidR="00E40C34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  <w:r w:rsidRPr="00F01B04">
        <w:rPr>
          <w:rFonts w:ascii="Times New Roman" w:hAnsi="Times New Roman" w:cs="宋体" w:hint="eastAsia"/>
          <w:sz w:val="21"/>
          <w:szCs w:val="21"/>
          <w:lang w:eastAsia="zh-CN"/>
        </w:rPr>
        <w:t>本次建设面积地上为</w:t>
      </w:r>
      <w:r w:rsidR="00F01B04" w:rsidRPr="00F01B04">
        <w:rPr>
          <w:rFonts w:ascii="Times New Roman" w:hAnsi="Times New Roman" w:cs="Times New Roman" w:hint="eastAsia"/>
          <w:sz w:val="21"/>
          <w:szCs w:val="21"/>
          <w:lang w:eastAsia="zh-CN"/>
        </w:rPr>
        <w:t>3532</w:t>
      </w:r>
      <w:r w:rsidRPr="00F01B04">
        <w:rPr>
          <w:rFonts w:ascii="Times New Roman" w:hAnsi="Times New Roman" w:cs="宋体" w:hint="eastAsia"/>
          <w:sz w:val="21"/>
          <w:szCs w:val="21"/>
          <w:lang w:eastAsia="zh-CN"/>
        </w:rPr>
        <w:t>平米，</w:t>
      </w:r>
      <w:r w:rsidR="00F01B04" w:rsidRPr="00F01B04">
        <w:rPr>
          <w:rFonts w:ascii="Times New Roman" w:hAnsi="Times New Roman" w:cs="宋体" w:hint="eastAsia"/>
          <w:sz w:val="21"/>
          <w:szCs w:val="21"/>
          <w:lang w:eastAsia="zh-CN"/>
        </w:rPr>
        <w:t>建筑局部二层，功能包含老年人活动、社区服务及党群展示，属于社区级活动中心。</w:t>
      </w:r>
      <w:r w:rsidR="00F01B04">
        <w:rPr>
          <w:rFonts w:ascii="Times New Roman" w:hAnsi="Times New Roman" w:cs="宋体"/>
          <w:sz w:val="21"/>
          <w:szCs w:val="21"/>
          <w:lang w:eastAsia="zh-CN"/>
        </w:rPr>
        <w:t xml:space="preserve"> </w:t>
      </w:r>
    </w:p>
    <w:p w14:paraId="4B0ECFD6" w14:textId="77777777" w:rsidR="00F01B04" w:rsidRPr="00897ADE" w:rsidRDefault="00F01B04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 w:hint="eastAsia"/>
          <w:sz w:val="21"/>
          <w:szCs w:val="21"/>
          <w:lang w:eastAsia="zh-CN"/>
        </w:rPr>
      </w:pPr>
    </w:p>
    <w:p w14:paraId="37A79EA6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计算目的</w:t>
      </w:r>
    </w:p>
    <w:p w14:paraId="347E0911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22EA4F2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判断本项目是否满足《绿色建筑评价标准》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GB/T50378-2019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="00897ADE"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327AB49A" w14:textId="77777777" w:rsidR="00022519" w:rsidRPr="00897ADE" w:rsidRDefault="00022519" w:rsidP="00022519">
      <w:pPr>
        <w:tabs>
          <w:tab w:val="left" w:pos="290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86F45DF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1.3.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计算依据</w:t>
      </w:r>
    </w:p>
    <w:p w14:paraId="4FD85241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《绿色建筑评价技术细则》</w:t>
      </w:r>
    </w:p>
    <w:p w14:paraId="38D86413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《绿色建筑评价技术细则补充说明》（规划设计部分）</w:t>
      </w:r>
    </w:p>
    <w:p w14:paraId="60840C49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业主提供的建筑设计文件</w:t>
      </w:r>
    </w:p>
    <w:p w14:paraId="44D82F20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3494B9F7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2.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计算分析</w:t>
      </w:r>
    </w:p>
    <w:p w14:paraId="48AEFC51" w14:textId="77777777" w:rsidR="00022519" w:rsidRPr="00897ADE" w:rsidRDefault="00022519" w:rsidP="00022519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7C12831E" w14:textId="77777777" w:rsidR="00022519" w:rsidRPr="00F01B04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2.1.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可变换功能的室内空间</w:t>
      </w:r>
    </w:p>
    <w:p w14:paraId="6D3D11FA" w14:textId="77777777" w:rsidR="00022519" w:rsidRPr="00897ADE" w:rsidRDefault="00022519" w:rsidP="00022519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5AE79C3B" w14:textId="0220B32B" w:rsidR="00022519" w:rsidRPr="00897ADE" w:rsidRDefault="00904905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>
        <w:rPr>
          <w:rFonts w:ascii="Times New Roman" w:hAnsi="Times New Roman" w:cs="宋体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4568C" wp14:editId="4B832B4B">
                <wp:simplePos x="0" y="0"/>
                <wp:positionH relativeFrom="column">
                  <wp:posOffset>94615</wp:posOffset>
                </wp:positionH>
                <wp:positionV relativeFrom="paragraph">
                  <wp:posOffset>520700</wp:posOffset>
                </wp:positionV>
                <wp:extent cx="1356995" cy="161925"/>
                <wp:effectExtent l="8890" t="12065" r="5715" b="6985"/>
                <wp:wrapNone/>
                <wp:docPr id="4041801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8F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45pt;margin-top:41pt;width:106.8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"/>
            </w:pict>
          </mc:Fallback>
        </mc:AlternateContent>
      </w:r>
      <w:r w:rsidR="00022519" w:rsidRPr="00897ADE">
        <w:rPr>
          <w:rFonts w:ascii="Times New Roman" w:hAnsi="Times New Roman" w:cs="宋体"/>
          <w:sz w:val="21"/>
          <w:szCs w:val="21"/>
          <w:lang w:eastAsia="zh-CN"/>
        </w:rPr>
        <w:t>可变换功能的室内空间为总建筑面积减去不可改变功能的室内空间（如走廊、楼梯、电梯井、卫生间、设备用房、公共管井等），本项目此类区域面积如下表。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850"/>
        <w:gridCol w:w="851"/>
        <w:gridCol w:w="708"/>
        <w:gridCol w:w="851"/>
        <w:gridCol w:w="709"/>
      </w:tblGrid>
      <w:tr w:rsidR="00022519" w:rsidRPr="00897ADE" w14:paraId="120B054B" w14:textId="77777777" w:rsidTr="00900B4A">
        <w:trPr>
          <w:jc w:val="center"/>
        </w:trPr>
        <w:tc>
          <w:tcPr>
            <w:tcW w:w="2127" w:type="dxa"/>
            <w:vAlign w:val="center"/>
          </w:tcPr>
          <w:p w14:paraId="02615961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BAE9ED3" w14:textId="5D695675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 w:rsidR="00022519"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250FF486" w14:textId="3DEDA120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="00022519"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9" w:type="dxa"/>
            <w:vAlign w:val="center"/>
          </w:tcPr>
          <w:p w14:paraId="70248A6D" w14:textId="64AC7B6F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4DF57F5" w14:textId="32AE52D5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73E1C42" w14:textId="69D53064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4CEEA0B" w14:textId="50EB3175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0F56837" w14:textId="7D481219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1ABACA4" w14:textId="18E3FC05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022519" w:rsidRPr="00897ADE" w14:paraId="06768DA4" w14:textId="77777777" w:rsidTr="00900B4A">
        <w:trPr>
          <w:jc w:val="center"/>
        </w:trPr>
        <w:tc>
          <w:tcPr>
            <w:tcW w:w="2127" w:type="dxa"/>
            <w:vAlign w:val="center"/>
          </w:tcPr>
          <w:p w14:paraId="4BD6DAE6" w14:textId="77777777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建筑面积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（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0C987C6E" w14:textId="49EBDBBA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1912</w:t>
            </w:r>
          </w:p>
        </w:tc>
        <w:tc>
          <w:tcPr>
            <w:tcW w:w="709" w:type="dxa"/>
            <w:vAlign w:val="center"/>
          </w:tcPr>
          <w:p w14:paraId="50EA3764" w14:textId="5D344EE2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1620</w:t>
            </w:r>
          </w:p>
        </w:tc>
        <w:tc>
          <w:tcPr>
            <w:tcW w:w="709" w:type="dxa"/>
            <w:vAlign w:val="center"/>
          </w:tcPr>
          <w:p w14:paraId="445BD058" w14:textId="51742826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15491B8" w14:textId="30E4B803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466F9D6" w14:textId="2BF6AA01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D8B7736" w14:textId="61E51229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A691ED1" w14:textId="013824B6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DD02DB7" w14:textId="48084B28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022519" w:rsidRPr="00897ADE" w14:paraId="2FDF6C2C" w14:textId="77777777" w:rsidTr="00900B4A">
        <w:trPr>
          <w:jc w:val="center"/>
        </w:trPr>
        <w:tc>
          <w:tcPr>
            <w:tcW w:w="2127" w:type="dxa"/>
            <w:vAlign w:val="center"/>
          </w:tcPr>
          <w:p w14:paraId="0D247CFC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不可变换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4BDB900F" w14:textId="45B6A54E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1282</w:t>
            </w:r>
          </w:p>
        </w:tc>
        <w:tc>
          <w:tcPr>
            <w:tcW w:w="709" w:type="dxa"/>
            <w:vAlign w:val="center"/>
          </w:tcPr>
          <w:p w14:paraId="41327859" w14:textId="32DB5E31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1360</w:t>
            </w:r>
          </w:p>
        </w:tc>
        <w:tc>
          <w:tcPr>
            <w:tcW w:w="709" w:type="dxa"/>
            <w:vAlign w:val="center"/>
          </w:tcPr>
          <w:p w14:paraId="483FD38F" w14:textId="024E4A22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A3FDFF" w14:textId="41F22A51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55412CD" w14:textId="5CC663DE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5622348" w14:textId="50475CF8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0F04EB4" w14:textId="42AF0B0A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E084F84" w14:textId="70352A92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022519" w:rsidRPr="00897ADE" w14:paraId="38D63D04" w14:textId="77777777" w:rsidTr="00900B4A">
        <w:trPr>
          <w:jc w:val="center"/>
        </w:trPr>
        <w:tc>
          <w:tcPr>
            <w:tcW w:w="2127" w:type="dxa"/>
            <w:vAlign w:val="center"/>
          </w:tcPr>
          <w:p w14:paraId="29459912" w14:textId="77777777" w:rsidR="00022519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6E0E0D25" w14:textId="6DFA843E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630</w:t>
            </w:r>
          </w:p>
        </w:tc>
        <w:tc>
          <w:tcPr>
            <w:tcW w:w="709" w:type="dxa"/>
            <w:vAlign w:val="center"/>
          </w:tcPr>
          <w:p w14:paraId="2C1B3AD4" w14:textId="186A70A4" w:rsidR="00022519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709" w:type="dxa"/>
            <w:vAlign w:val="center"/>
          </w:tcPr>
          <w:p w14:paraId="2BACB08E" w14:textId="32777A88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AFE13C0" w14:textId="7AD758D2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0487043" w14:textId="2CB6C604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6078712" w14:textId="36671C55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9D57104" w14:textId="67976769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C5D7820" w14:textId="107EB2A0" w:rsidR="00022519" w:rsidRPr="00897ADE" w:rsidRDefault="00022519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900B4A" w:rsidRPr="00897ADE" w14:paraId="7BAC85B4" w14:textId="77777777" w:rsidTr="00226F16">
        <w:trPr>
          <w:jc w:val="center"/>
        </w:trPr>
        <w:tc>
          <w:tcPr>
            <w:tcW w:w="3545" w:type="dxa"/>
            <w:gridSpan w:val="3"/>
            <w:vAlign w:val="center"/>
          </w:tcPr>
          <w:p w14:paraId="0DEF90AF" w14:textId="77777777" w:rsidR="00900B4A" w:rsidRPr="00897ADE" w:rsidRDefault="00900B4A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可变换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功能空间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总计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14:paraId="3A8E2EF7" w14:textId="1D0CF1BA" w:rsidR="00900B4A" w:rsidRPr="00897ADE" w:rsidRDefault="00F01B04" w:rsidP="00900B4A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890</w:t>
            </w:r>
          </w:p>
        </w:tc>
      </w:tr>
    </w:tbl>
    <w:p w14:paraId="249251A3" w14:textId="77777777" w:rsidR="00022519" w:rsidRPr="00897ADE" w:rsidRDefault="00022519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1C52AED0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2B0917D0" w14:textId="77777777" w:rsidR="00900B4A" w:rsidRPr="00897ADE" w:rsidRDefault="00900B4A" w:rsidP="00022519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16E34D86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2.2.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灵活隔断的室内空间</w:t>
      </w:r>
    </w:p>
    <w:p w14:paraId="2921C1AF" w14:textId="77777777" w:rsidR="00900B4A" w:rsidRPr="00897ADE" w:rsidRDefault="00900B4A" w:rsidP="00900B4A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0F100C4D" w14:textId="77777777" w:rsidR="00900B4A" w:rsidRPr="00897ADE" w:rsidRDefault="00900B4A" w:rsidP="00900B4A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本项目布置了较多的大开间敞开式办公，部分办公室和会议室必须隔断时，采用玻璃隔断。采用灵活隔断的统计面积如下表。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0"/>
        <w:gridCol w:w="702"/>
        <w:gridCol w:w="839"/>
        <w:gridCol w:w="689"/>
        <w:gridCol w:w="690"/>
        <w:gridCol w:w="690"/>
        <w:gridCol w:w="690"/>
        <w:gridCol w:w="689"/>
        <w:gridCol w:w="701"/>
      </w:tblGrid>
      <w:tr w:rsidR="00F01B04" w:rsidRPr="00897ADE" w14:paraId="7A5A6216" w14:textId="77777777" w:rsidTr="00897ADE">
        <w:trPr>
          <w:jc w:val="center"/>
        </w:trPr>
        <w:tc>
          <w:tcPr>
            <w:tcW w:w="2943" w:type="dxa"/>
            <w:vAlign w:val="center"/>
          </w:tcPr>
          <w:p w14:paraId="75B4A283" w14:textId="77777777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lastRenderedPageBreak/>
              <w:t>楼号</w:t>
            </w:r>
          </w:p>
        </w:tc>
        <w:tc>
          <w:tcPr>
            <w:tcW w:w="709" w:type="dxa"/>
            <w:vAlign w:val="center"/>
          </w:tcPr>
          <w:p w14:paraId="2DCB72CD" w14:textId="022A16BD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851" w:type="dxa"/>
            <w:vAlign w:val="center"/>
          </w:tcPr>
          <w:p w14:paraId="70FFFC02" w14:textId="40B3328B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2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708" w:type="dxa"/>
            <w:vAlign w:val="center"/>
          </w:tcPr>
          <w:p w14:paraId="2773DB41" w14:textId="37CFC4F2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2AF1047" w14:textId="324FBB43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1102818" w14:textId="0342BCC0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3DEF251" w14:textId="1A6DD9A1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02DFD9" w14:textId="5B6A5C90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28525A2E" w14:textId="35A6CF45" w:rsidR="00F01B04" w:rsidRPr="00897ADE" w:rsidRDefault="00F01B04" w:rsidP="00F01B04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897ADE" w:rsidRPr="00897ADE" w14:paraId="58FFC434" w14:textId="77777777" w:rsidTr="00897ADE">
        <w:trPr>
          <w:jc w:val="center"/>
        </w:trPr>
        <w:tc>
          <w:tcPr>
            <w:tcW w:w="2943" w:type="dxa"/>
            <w:vAlign w:val="center"/>
          </w:tcPr>
          <w:p w14:paraId="7871DBDA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采用</w:t>
            </w:r>
            <w:r w:rsidRPr="00897ADE">
              <w:rPr>
                <w:rFonts w:ascii="Times New Roman" w:hAnsi="Times New Roman" w:cs="宋体"/>
                <w:sz w:val="21"/>
                <w:szCs w:val="21"/>
                <w:lang w:eastAsia="zh-CN"/>
              </w:rPr>
              <w:t>灵活隔断的面积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430C2FC2" w14:textId="2D0D6691" w:rsidR="00897ADE" w:rsidRPr="00897ADE" w:rsidRDefault="006F4E58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750</w:t>
            </w:r>
          </w:p>
        </w:tc>
        <w:tc>
          <w:tcPr>
            <w:tcW w:w="851" w:type="dxa"/>
            <w:vAlign w:val="center"/>
          </w:tcPr>
          <w:p w14:paraId="4590FF2A" w14:textId="35FA45C9" w:rsidR="00897ADE" w:rsidRPr="00897ADE" w:rsidRDefault="006F4E58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708" w:type="dxa"/>
            <w:vAlign w:val="center"/>
          </w:tcPr>
          <w:p w14:paraId="6699D85B" w14:textId="52D5A6AB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70DFCB1" w14:textId="1618DCA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EA3DFC7" w14:textId="24DB8F65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FCCA816" w14:textId="4CEFC168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959492E" w14:textId="376C3310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015946DA" w14:textId="38C34CF5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</w:p>
        </w:tc>
      </w:tr>
      <w:tr w:rsidR="00897ADE" w:rsidRPr="00897ADE" w14:paraId="39DF0043" w14:textId="77777777" w:rsidTr="00097B39">
        <w:trPr>
          <w:jc w:val="center"/>
        </w:trPr>
        <w:tc>
          <w:tcPr>
            <w:tcW w:w="2943" w:type="dxa"/>
            <w:vAlign w:val="center"/>
          </w:tcPr>
          <w:p w14:paraId="6716E2C5" w14:textId="77777777" w:rsidR="00897ADE" w:rsidRPr="00897ADE" w:rsidRDefault="00897ADE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合计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(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㎡</w:t>
            </w:r>
            <w:r w:rsidRPr="00897ADE"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23" w:type="dxa"/>
            <w:gridSpan w:val="8"/>
            <w:vAlign w:val="center"/>
          </w:tcPr>
          <w:p w14:paraId="740689BD" w14:textId="3ACE02B7" w:rsidR="00897ADE" w:rsidRPr="00897ADE" w:rsidRDefault="006F4E58" w:rsidP="00897ADE">
            <w:pPr>
              <w:tabs>
                <w:tab w:val="left" w:pos="605"/>
              </w:tabs>
              <w:jc w:val="center"/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 w:hint="eastAsia"/>
                <w:sz w:val="21"/>
                <w:szCs w:val="21"/>
                <w:lang w:eastAsia="zh-CN"/>
              </w:rPr>
              <w:t>1090</w:t>
            </w:r>
          </w:p>
        </w:tc>
      </w:tr>
    </w:tbl>
    <w:p w14:paraId="3B19D3B2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68DB26D5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2.3.</w:t>
      </w:r>
      <w:r w:rsidRPr="00897ADE">
        <w:rPr>
          <w:rStyle w:val="a5"/>
          <w:rFonts w:ascii="Times New Roman" w:hAnsi="Times New Roman"/>
          <w:sz w:val="28"/>
          <w:szCs w:val="28"/>
          <w:lang w:eastAsia="zh-CN"/>
        </w:rPr>
        <w:t>灵活隔断的面积比例</w:t>
      </w:r>
    </w:p>
    <w:p w14:paraId="3A6DAB0C" w14:textId="77777777" w:rsidR="00897ADE" w:rsidRPr="00897ADE" w:rsidRDefault="00897ADE" w:rsidP="00897ADE">
      <w:pPr>
        <w:tabs>
          <w:tab w:val="left" w:pos="605"/>
        </w:tabs>
        <w:rPr>
          <w:rStyle w:val="a5"/>
          <w:rFonts w:ascii="Times New Roman" w:hAnsi="Times New Roman"/>
          <w:sz w:val="28"/>
          <w:szCs w:val="28"/>
          <w:lang w:eastAsia="zh-CN"/>
        </w:rPr>
      </w:pPr>
    </w:p>
    <w:p w14:paraId="1C47B3E4" w14:textId="3D688DBE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</w:t>
      </w:r>
      <w:r w:rsidR="006F4E58">
        <w:rPr>
          <w:rFonts w:ascii="Times New Roman" w:hAnsi="Times New Roman" w:cs="宋体" w:hint="eastAsia"/>
          <w:sz w:val="21"/>
          <w:szCs w:val="21"/>
          <w:lang w:eastAsia="zh-CN"/>
        </w:rPr>
        <w:t>1090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/</w:t>
      </w:r>
      <w:r w:rsidR="006F4E58">
        <w:rPr>
          <w:rFonts w:ascii="Times New Roman" w:hAnsi="Times New Roman" w:cs="宋体" w:hint="eastAsia"/>
          <w:sz w:val="21"/>
          <w:szCs w:val="21"/>
          <w:lang w:eastAsia="zh-CN"/>
        </w:rPr>
        <w:t>3532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×100%=</w:t>
      </w:r>
      <w:r w:rsidR="006F4E58">
        <w:rPr>
          <w:rFonts w:ascii="Times New Roman" w:hAnsi="Times New Roman" w:cs="宋体" w:hint="eastAsia"/>
          <w:sz w:val="21"/>
          <w:szCs w:val="21"/>
          <w:lang w:eastAsia="zh-CN"/>
        </w:rPr>
        <w:t>30.9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；</w:t>
      </w:r>
    </w:p>
    <w:p w14:paraId="05CD0514" w14:textId="4655B5BE" w:rsidR="00900B4A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非灵活隔断的面积比例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=1-</w:t>
      </w:r>
      <w:r w:rsidR="006F4E58" w:rsidRPr="00897ADE">
        <w:rPr>
          <w:rFonts w:ascii="Times New Roman" w:hAnsi="Times New Roman" w:cs="宋体"/>
          <w:sz w:val="21"/>
          <w:szCs w:val="21"/>
          <w:lang w:eastAsia="zh-CN"/>
        </w:rPr>
        <w:t>30.9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%=</w:t>
      </w:r>
      <w:r w:rsidR="006F4E58" w:rsidRPr="00897ADE">
        <w:rPr>
          <w:rFonts w:ascii="Times New Roman" w:hAnsi="Times New Roman" w:cs="宋体"/>
          <w:sz w:val="21"/>
          <w:szCs w:val="21"/>
          <w:lang w:eastAsia="zh-CN"/>
        </w:rPr>
        <w:t>69.1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%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</w:t>
      </w:r>
    </w:p>
    <w:p w14:paraId="25487C2D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</w:p>
    <w:p w14:paraId="68D08EC1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897ADE">
        <w:rPr>
          <w:rFonts w:ascii="Times New Roman" w:hAnsi="Times New Roman" w:cs="Times New Roman"/>
          <w:sz w:val="32"/>
          <w:szCs w:val="32"/>
          <w:lang w:eastAsia="zh-CN"/>
        </w:rPr>
        <w:t>3.</w:t>
      </w:r>
      <w:r w:rsidRPr="00897ADE">
        <w:rPr>
          <w:rFonts w:ascii="Times New Roman" w:hAnsi="Times New Roman" w:cs="Times New Roman"/>
          <w:sz w:val="32"/>
          <w:szCs w:val="32"/>
          <w:lang w:eastAsia="zh-CN"/>
        </w:rPr>
        <w:t>结论</w:t>
      </w:r>
    </w:p>
    <w:p w14:paraId="24017C19" w14:textId="77777777" w:rsidR="00897ADE" w:rsidRPr="00897ADE" w:rsidRDefault="00897ADE" w:rsidP="00897ADE">
      <w:pPr>
        <w:pStyle w:val="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680299D4" w14:textId="77777777" w:rsidR="00897ADE" w:rsidRPr="00897ADE" w:rsidRDefault="00897ADE" w:rsidP="00897ADE">
      <w:pPr>
        <w:tabs>
          <w:tab w:val="left" w:pos="605"/>
        </w:tabs>
        <w:spacing w:line="360" w:lineRule="auto"/>
        <w:ind w:firstLineChars="200" w:firstLine="420"/>
        <w:rPr>
          <w:rFonts w:ascii="Times New Roman" w:hAnsi="Times New Roman" w:cs="宋体"/>
          <w:sz w:val="21"/>
          <w:szCs w:val="21"/>
          <w:lang w:eastAsia="zh-CN"/>
        </w:rPr>
      </w:pPr>
      <w:r w:rsidRPr="00897ADE">
        <w:rPr>
          <w:rFonts w:ascii="Times New Roman" w:hAnsi="Times New Roman" w:cs="宋体"/>
          <w:sz w:val="21"/>
          <w:szCs w:val="21"/>
          <w:lang w:eastAsia="zh-CN"/>
        </w:rPr>
        <w:t>针对《绿色建筑评价标准》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GB50378-2019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的第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4.2.6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条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采取提升建筑适变性的措施，评价总分值为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18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 w:hint="eastAsia"/>
          <w:sz w:val="21"/>
          <w:szCs w:val="21"/>
          <w:lang w:eastAsia="zh-CN"/>
        </w:rPr>
        <w:t>，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满足第一点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“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采取通用开放、灵活可变的使用空间设计，或采取建筑使用功能可变措施，得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”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。该评分项可得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7</w:t>
      </w:r>
      <w:r w:rsidRPr="00897ADE">
        <w:rPr>
          <w:rFonts w:ascii="Times New Roman" w:hAnsi="Times New Roman" w:cs="宋体"/>
          <w:sz w:val="21"/>
          <w:szCs w:val="21"/>
          <w:lang w:eastAsia="zh-CN"/>
        </w:rPr>
        <w:t>分。</w:t>
      </w:r>
    </w:p>
    <w:sectPr w:rsidR="00897ADE" w:rsidRPr="00897ADE">
      <w:pgSz w:w="11910" w:h="1685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4"/>
    <w:rsid w:val="00022519"/>
    <w:rsid w:val="0008738B"/>
    <w:rsid w:val="006F4E58"/>
    <w:rsid w:val="00897ADE"/>
    <w:rsid w:val="00900B4A"/>
    <w:rsid w:val="00904905"/>
    <w:rsid w:val="00E40C34"/>
    <w:rsid w:val="00F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64C1"/>
  <w15:docId w15:val="{F00F69ED-2AFA-4A28-A051-A9AA689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20"/>
    </w:pPr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22519"/>
    <w:rPr>
      <w:b/>
      <w:bCs/>
    </w:rPr>
  </w:style>
  <w:style w:type="table" w:styleId="a6">
    <w:name w:val="Table Grid"/>
    <w:basedOn w:val="a1"/>
    <w:uiPriority w:val="39"/>
    <w:rsid w:val="000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3A2E-A9D9-4CEE-89E0-DF0EBB6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金晶</dc:creator>
  <cp:lastModifiedBy>1399754057@qq.com</cp:lastModifiedBy>
  <cp:revision>2</cp:revision>
  <dcterms:created xsi:type="dcterms:W3CDTF">2025-03-03T08:37:00Z</dcterms:created>
  <dcterms:modified xsi:type="dcterms:W3CDTF">2025-03-03T08:37:00Z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2020-01-09T00:00:00Z</vt:filetime>
  </property>
</Properties>
</file>