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CED4F">
      <w:pPr>
        <w:widowControl w:val="0"/>
        <w:spacing w:after="312" w:afterLines="100" w:line="240" w:lineRule="auto"/>
        <w:rPr>
          <w:rFonts w:ascii="宋体" w:hAnsi="宋体"/>
          <w:b/>
          <w:bCs/>
          <w:kern w:val="2"/>
          <w:sz w:val="30"/>
          <w:szCs w:val="24"/>
          <w:lang w:val="en-US"/>
        </w:rPr>
      </w:pPr>
    </w:p>
    <w:p w14:paraId="472B3C8D">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14:paraId="5463AD8A">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达标面积比例报告书</w:t>
      </w:r>
    </w:p>
    <w:p w14:paraId="54442EB1">
      <w:pPr>
        <w:spacing w:line="180" w:lineRule="atLeast"/>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319B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B74F85A">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372F73BD">
            <w:pPr>
              <w:pStyle w:val="17"/>
              <w:tabs>
                <w:tab w:val="clear" w:pos="4153"/>
                <w:tab w:val="clear" w:pos="8306"/>
              </w:tabs>
              <w:snapToGrid/>
              <w:jc w:val="both"/>
              <w:rPr>
                <w:rFonts w:ascii="宋体" w:hAnsi="宋体"/>
                <w:szCs w:val="21"/>
              </w:rPr>
            </w:pPr>
            <w:bookmarkStart w:id="1" w:name="项目名称"/>
            <w:r>
              <w:t>宾馆</w:t>
            </w:r>
            <w:bookmarkEnd w:id="1"/>
          </w:p>
        </w:tc>
      </w:tr>
      <w:tr w14:paraId="7A473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185153B">
            <w:pPr>
              <w:jc w:val="both"/>
              <w:rPr>
                <w:rFonts w:ascii="宋体" w:hAnsi="宋体"/>
                <w:szCs w:val="21"/>
              </w:rPr>
            </w:pPr>
            <w:r>
              <w:rPr>
                <w:rFonts w:hint="eastAsia" w:ascii="宋体" w:hAnsi="宋体"/>
                <w:szCs w:val="21"/>
              </w:rPr>
              <w:t>工程地点</w:t>
            </w:r>
          </w:p>
        </w:tc>
        <w:tc>
          <w:tcPr>
            <w:tcW w:w="3780" w:type="dxa"/>
          </w:tcPr>
          <w:p w14:paraId="3319C1FF">
            <w:pPr>
              <w:jc w:val="both"/>
              <w:rPr>
                <w:rFonts w:ascii="宋体" w:hAnsi="宋体"/>
                <w:szCs w:val="21"/>
              </w:rPr>
            </w:pPr>
            <w:bookmarkStart w:id="2" w:name="项目地点"/>
            <w:r>
              <w:t>哈尔滨</w:t>
            </w:r>
            <w:bookmarkEnd w:id="2"/>
          </w:p>
        </w:tc>
      </w:tr>
      <w:tr w14:paraId="5F448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7E82B26">
            <w:pPr>
              <w:jc w:val="both"/>
              <w:rPr>
                <w:rFonts w:ascii="宋体" w:hAnsi="宋体"/>
                <w:szCs w:val="21"/>
              </w:rPr>
            </w:pPr>
            <w:r>
              <w:rPr>
                <w:rFonts w:hint="eastAsia" w:ascii="宋体" w:hAnsi="宋体"/>
                <w:szCs w:val="21"/>
              </w:rPr>
              <w:t>设计编号</w:t>
            </w:r>
          </w:p>
        </w:tc>
        <w:tc>
          <w:tcPr>
            <w:tcW w:w="3780" w:type="dxa"/>
          </w:tcPr>
          <w:p w14:paraId="43E055A3">
            <w:pPr>
              <w:jc w:val="both"/>
              <w:rPr>
                <w:rFonts w:ascii="宋体" w:hAnsi="宋体"/>
                <w:szCs w:val="21"/>
              </w:rPr>
            </w:pPr>
            <w:bookmarkStart w:id="3" w:name="设计编号"/>
            <w:r>
              <w:t>999</w:t>
            </w:r>
            <w:bookmarkEnd w:id="3"/>
          </w:p>
        </w:tc>
      </w:tr>
      <w:tr w14:paraId="38D92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E1E616D">
            <w:pPr>
              <w:jc w:val="both"/>
              <w:rPr>
                <w:rFonts w:ascii="宋体" w:hAnsi="宋体"/>
                <w:szCs w:val="21"/>
              </w:rPr>
            </w:pPr>
            <w:r>
              <w:rPr>
                <w:rFonts w:hint="eastAsia" w:ascii="宋体" w:hAnsi="宋体"/>
                <w:szCs w:val="21"/>
              </w:rPr>
              <w:t>建设单位</w:t>
            </w:r>
          </w:p>
        </w:tc>
        <w:tc>
          <w:tcPr>
            <w:tcW w:w="3780" w:type="dxa"/>
          </w:tcPr>
          <w:p w14:paraId="6423B8C4">
            <w:pPr>
              <w:rPr>
                <w:rFonts w:ascii="宋体" w:hAnsi="宋体"/>
                <w:szCs w:val="21"/>
              </w:rPr>
            </w:pPr>
            <w:bookmarkStart w:id="4" w:name="建设单位"/>
            <w:r>
              <w:t>小飞侠有限责任公司</w:t>
            </w:r>
            <w:bookmarkEnd w:id="4"/>
          </w:p>
        </w:tc>
      </w:tr>
      <w:tr w14:paraId="1D87A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780D851">
            <w:pPr>
              <w:jc w:val="both"/>
              <w:rPr>
                <w:rFonts w:ascii="宋体" w:hAnsi="宋体"/>
                <w:szCs w:val="21"/>
              </w:rPr>
            </w:pPr>
            <w:r>
              <w:rPr>
                <w:rFonts w:hint="eastAsia" w:ascii="宋体" w:hAnsi="宋体"/>
                <w:szCs w:val="21"/>
              </w:rPr>
              <w:t>设计单位</w:t>
            </w:r>
          </w:p>
        </w:tc>
        <w:tc>
          <w:tcPr>
            <w:tcW w:w="3780" w:type="dxa"/>
          </w:tcPr>
          <w:p w14:paraId="622918EA">
            <w:pPr>
              <w:rPr>
                <w:rFonts w:ascii="宋体" w:hAnsi="宋体"/>
                <w:szCs w:val="21"/>
              </w:rPr>
            </w:pPr>
            <w:bookmarkStart w:id="5" w:name="设计单位"/>
            <w:r>
              <w:t>小飞侠设计院</w:t>
            </w:r>
            <w:bookmarkEnd w:id="5"/>
          </w:p>
        </w:tc>
      </w:tr>
      <w:tr w14:paraId="6D979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B4AA591">
            <w:pPr>
              <w:jc w:val="both"/>
              <w:rPr>
                <w:rFonts w:ascii="宋体" w:hAnsi="宋体"/>
                <w:szCs w:val="21"/>
              </w:rPr>
            </w:pPr>
            <w:r>
              <w:rPr>
                <w:rFonts w:hint="eastAsia" w:ascii="宋体" w:hAnsi="宋体"/>
                <w:szCs w:val="21"/>
              </w:rPr>
              <w:t>设 计 人</w:t>
            </w:r>
          </w:p>
        </w:tc>
        <w:tc>
          <w:tcPr>
            <w:tcW w:w="3780" w:type="dxa"/>
          </w:tcPr>
          <w:p w14:paraId="7A599F8A">
            <w:pPr>
              <w:rPr>
                <w:rFonts w:ascii="宋体" w:hAnsi="宋体"/>
                <w:szCs w:val="21"/>
              </w:rPr>
            </w:pPr>
          </w:p>
        </w:tc>
      </w:tr>
      <w:tr w14:paraId="57026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C591B8B">
            <w:pPr>
              <w:jc w:val="both"/>
              <w:rPr>
                <w:rFonts w:ascii="宋体" w:hAnsi="宋体"/>
                <w:szCs w:val="21"/>
              </w:rPr>
            </w:pPr>
            <w:r>
              <w:rPr>
                <w:rFonts w:hint="eastAsia" w:ascii="宋体" w:hAnsi="宋体"/>
                <w:szCs w:val="21"/>
              </w:rPr>
              <w:t>校 对 人</w:t>
            </w:r>
          </w:p>
        </w:tc>
        <w:tc>
          <w:tcPr>
            <w:tcW w:w="3780" w:type="dxa"/>
          </w:tcPr>
          <w:p w14:paraId="30ACC32D">
            <w:pPr>
              <w:rPr>
                <w:rFonts w:ascii="宋体" w:hAnsi="宋体"/>
                <w:szCs w:val="21"/>
              </w:rPr>
            </w:pPr>
          </w:p>
        </w:tc>
      </w:tr>
      <w:tr w14:paraId="29117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31E26D5">
            <w:pPr>
              <w:jc w:val="both"/>
              <w:rPr>
                <w:rFonts w:ascii="宋体" w:hAnsi="宋体"/>
                <w:szCs w:val="21"/>
              </w:rPr>
            </w:pPr>
            <w:r>
              <w:rPr>
                <w:rFonts w:hint="eastAsia" w:ascii="宋体" w:hAnsi="宋体"/>
                <w:szCs w:val="21"/>
              </w:rPr>
              <w:t>审 核 人</w:t>
            </w:r>
          </w:p>
        </w:tc>
        <w:tc>
          <w:tcPr>
            <w:tcW w:w="3780" w:type="dxa"/>
          </w:tcPr>
          <w:p w14:paraId="38235874">
            <w:pPr>
              <w:rPr>
                <w:rFonts w:ascii="宋体" w:hAnsi="宋体"/>
                <w:szCs w:val="21"/>
              </w:rPr>
            </w:pPr>
          </w:p>
        </w:tc>
      </w:tr>
      <w:tr w14:paraId="586E3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4EEE7E1">
            <w:pPr>
              <w:jc w:val="both"/>
              <w:rPr>
                <w:rFonts w:ascii="宋体" w:hAnsi="宋体"/>
                <w:szCs w:val="21"/>
              </w:rPr>
            </w:pPr>
            <w:r>
              <w:rPr>
                <w:rFonts w:hint="eastAsia" w:ascii="宋体" w:hAnsi="宋体"/>
                <w:szCs w:val="21"/>
              </w:rPr>
              <w:t>审 定 人</w:t>
            </w:r>
          </w:p>
        </w:tc>
        <w:tc>
          <w:tcPr>
            <w:tcW w:w="3780" w:type="dxa"/>
          </w:tcPr>
          <w:p w14:paraId="1EAF27F1">
            <w:pPr>
              <w:rPr>
                <w:rFonts w:ascii="宋体" w:hAnsi="宋体"/>
                <w:szCs w:val="21"/>
              </w:rPr>
            </w:pPr>
          </w:p>
        </w:tc>
      </w:tr>
      <w:tr w14:paraId="603E1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6FBAF49">
            <w:pPr>
              <w:jc w:val="both"/>
              <w:rPr>
                <w:rFonts w:ascii="宋体" w:hAnsi="宋体"/>
                <w:szCs w:val="21"/>
              </w:rPr>
            </w:pPr>
            <w:r>
              <w:rPr>
                <w:rFonts w:hint="eastAsia" w:ascii="宋体" w:hAnsi="宋体"/>
                <w:szCs w:val="21"/>
              </w:rPr>
              <w:t>设计日期</w:t>
            </w:r>
          </w:p>
        </w:tc>
        <w:tc>
          <w:tcPr>
            <w:tcW w:w="3780" w:type="dxa"/>
          </w:tcPr>
          <w:p w14:paraId="25606831">
            <w:pPr>
              <w:rPr>
                <w:rFonts w:ascii="宋体" w:hAnsi="宋体"/>
                <w:szCs w:val="21"/>
              </w:rPr>
            </w:pPr>
            <w:bookmarkStart w:id="6" w:name="报告日期"/>
            <w:r>
              <w:rPr>
                <w:rFonts w:hint="eastAsia" w:ascii="宋体" w:hAnsi="宋体"/>
                <w:szCs w:val="21"/>
              </w:rPr>
              <w:t>2024年12月06日</w:t>
            </w:r>
            <w:bookmarkEnd w:id="6"/>
          </w:p>
        </w:tc>
      </w:tr>
    </w:tbl>
    <w:p w14:paraId="62781EA2">
      <w:pPr>
        <w:spacing w:line="240" w:lineRule="auto"/>
        <w:rPr>
          <w:rFonts w:ascii="宋体" w:hAnsi="宋体"/>
          <w:lang w:val="en-US"/>
        </w:rPr>
      </w:pPr>
    </w:p>
    <w:p w14:paraId="602CE044">
      <w:pPr>
        <w:spacing w:line="240" w:lineRule="auto"/>
        <w:rPr>
          <w:rFonts w:ascii="宋体" w:hAnsi="宋体"/>
          <w:lang w:val="en-US"/>
        </w:rPr>
      </w:pPr>
    </w:p>
    <w:p w14:paraId="6B4C3787">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014CBFBA">
      <w:pPr>
        <w:spacing w:line="240" w:lineRule="auto"/>
        <w:rPr>
          <w:rFonts w:ascii="宋体" w:hAnsi="宋体"/>
          <w:lang w:val="en-US"/>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30347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7452969">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1C29B7C0">
            <w:pPr>
              <w:spacing w:line="240" w:lineRule="atLeast"/>
              <w:jc w:val="both"/>
              <w:rPr>
                <w:rFonts w:ascii="宋体" w:hAnsi="宋体"/>
                <w:szCs w:val="21"/>
              </w:rPr>
            </w:pPr>
            <w:bookmarkStart w:id="8" w:name="采用软件"/>
            <w:r>
              <w:rPr>
                <w:rFonts w:hint="eastAsia" w:ascii="宋体" w:hAnsi="宋体"/>
                <w:szCs w:val="21"/>
              </w:rPr>
              <w:t>室内热舒适评价软件ITES2024</w:t>
            </w:r>
            <w:bookmarkEnd w:id="8"/>
          </w:p>
        </w:tc>
      </w:tr>
      <w:tr w14:paraId="1554B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232C3635">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4BB1148C">
            <w:pPr>
              <w:spacing w:line="240" w:lineRule="atLeast"/>
              <w:jc w:val="both"/>
              <w:rPr>
                <w:rFonts w:ascii="宋体" w:hAnsi="宋体"/>
                <w:szCs w:val="21"/>
              </w:rPr>
            </w:pPr>
            <w:bookmarkStart w:id="9" w:name="软件版本"/>
            <w:r>
              <w:rPr>
                <w:rFonts w:ascii="宋体" w:hAnsi="宋体"/>
                <w:szCs w:val="21"/>
              </w:rPr>
              <w:t>20240430(SP1)</w:t>
            </w:r>
            <w:bookmarkEnd w:id="9"/>
          </w:p>
        </w:tc>
      </w:tr>
      <w:tr w14:paraId="3FEC5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2ECB5A9D">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54DE173F">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631A8D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4C40F169">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6751650E">
            <w:pPr>
              <w:widowControl w:val="0"/>
              <w:spacing w:line="240" w:lineRule="auto"/>
              <w:jc w:val="both"/>
              <w:rPr>
                <w:rFonts w:ascii="宋体" w:hAnsi="宋体" w:eastAsia="等线"/>
                <w:kern w:val="2"/>
                <w:szCs w:val="21"/>
                <w:lang w:val="en-US"/>
              </w:rPr>
            </w:pPr>
            <w:bookmarkStart w:id="10" w:name="加密锁号"/>
            <w:r>
              <w:t>T18847879305</w:t>
            </w:r>
            <w:bookmarkEnd w:id="10"/>
          </w:p>
        </w:tc>
      </w:tr>
    </w:tbl>
    <w:p w14:paraId="4D7F5C54">
      <w:pPr>
        <w:spacing w:line="240" w:lineRule="auto"/>
        <w:jc w:val="center"/>
        <w:rPr>
          <w:rFonts w:ascii="宋体" w:hAnsi="宋体"/>
          <w:b/>
          <w:bCs/>
          <w:sz w:val="30"/>
          <w:szCs w:val="32"/>
        </w:rPr>
      </w:pPr>
    </w:p>
    <w:p w14:paraId="268EB036">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3AB2F439">
      <w:pPr>
        <w:pStyle w:val="19"/>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_Toc31146 </w:instrText>
      </w:r>
      <w:r>
        <w:rPr>
          <w:rFonts w:ascii="宋体" w:hAnsi="宋体"/>
          <w:bCs w:val="0"/>
          <w:caps/>
        </w:rPr>
        <w:fldChar w:fldCharType="separate"/>
      </w:r>
      <w:r>
        <w:rPr>
          <w:rFonts w:hint="eastAsia"/>
        </w:rPr>
        <w:t>1 项目概况</w:t>
      </w:r>
      <w:r>
        <w:tab/>
      </w:r>
      <w:r>
        <w:fldChar w:fldCharType="begin"/>
      </w:r>
      <w:r>
        <w:instrText xml:space="preserve"> PAGEREF _Toc31146 \h </w:instrText>
      </w:r>
      <w:r>
        <w:fldChar w:fldCharType="separate"/>
      </w:r>
      <w:r>
        <w:t>3</w:t>
      </w:r>
      <w:r>
        <w:fldChar w:fldCharType="end"/>
      </w:r>
      <w:r>
        <w:rPr>
          <w:rFonts w:ascii="宋体" w:hAnsi="宋体"/>
          <w:bCs w:val="0"/>
          <w:caps/>
        </w:rPr>
        <w:fldChar w:fldCharType="end"/>
      </w:r>
    </w:p>
    <w:p w14:paraId="31DD8EAB">
      <w:pPr>
        <w:pStyle w:val="20"/>
        <w:tabs>
          <w:tab w:val="right" w:leader="dot" w:pos="8930"/>
          <w:tab w:val="clear" w:pos="540"/>
          <w:tab w:val="clear" w:pos="840"/>
          <w:tab w:val="clear" w:pos="9360"/>
        </w:tabs>
      </w:pPr>
      <w:r>
        <w:fldChar w:fldCharType="begin"/>
      </w:r>
      <w:r>
        <w:instrText xml:space="preserve"> HYPERLINK \l _Toc12811 </w:instrText>
      </w:r>
      <w:r>
        <w:fldChar w:fldCharType="separate"/>
      </w:r>
      <w:r>
        <w:rPr>
          <w:rFonts w:hint="eastAsia"/>
          <w:lang w:val="en-GB"/>
        </w:rPr>
        <w:t xml:space="preserve">1.1 </w:t>
      </w:r>
      <w:r>
        <w:rPr>
          <w:rFonts w:hint="eastAsia"/>
        </w:rPr>
        <w:t>三</w:t>
      </w:r>
      <w:r>
        <w:t>维视图</w:t>
      </w:r>
      <w:r>
        <w:tab/>
      </w:r>
      <w:r>
        <w:fldChar w:fldCharType="begin"/>
      </w:r>
      <w:r>
        <w:instrText xml:space="preserve"> PAGEREF _Toc12811 \h </w:instrText>
      </w:r>
      <w:r>
        <w:fldChar w:fldCharType="separate"/>
      </w:r>
      <w:r>
        <w:t>4</w:t>
      </w:r>
      <w:r>
        <w:fldChar w:fldCharType="end"/>
      </w:r>
      <w:r>
        <w:fldChar w:fldCharType="end"/>
      </w:r>
    </w:p>
    <w:p w14:paraId="29085D35">
      <w:pPr>
        <w:pStyle w:val="19"/>
        <w:tabs>
          <w:tab w:val="right" w:leader="dot" w:pos="8930"/>
          <w:tab w:val="clear" w:pos="180"/>
          <w:tab w:val="clear" w:pos="420"/>
          <w:tab w:val="clear" w:pos="9360"/>
        </w:tabs>
      </w:pPr>
      <w:r>
        <w:fldChar w:fldCharType="begin"/>
      </w:r>
      <w:r>
        <w:instrText xml:space="preserve"> HYPERLINK \l _Toc8634 </w:instrText>
      </w:r>
      <w:r>
        <w:fldChar w:fldCharType="separate"/>
      </w:r>
      <w:r>
        <w:rPr>
          <w:rFonts w:hint="eastAsia"/>
        </w:rPr>
        <w:t>2 计算</w:t>
      </w:r>
      <w:r>
        <w:t>依据</w:t>
      </w:r>
      <w:r>
        <w:tab/>
      </w:r>
      <w:r>
        <w:fldChar w:fldCharType="begin"/>
      </w:r>
      <w:r>
        <w:instrText xml:space="preserve"> PAGEREF _Toc8634 \h </w:instrText>
      </w:r>
      <w:r>
        <w:fldChar w:fldCharType="separate"/>
      </w:r>
      <w:r>
        <w:t>5</w:t>
      </w:r>
      <w:r>
        <w:fldChar w:fldCharType="end"/>
      </w:r>
      <w:r>
        <w:fldChar w:fldCharType="end"/>
      </w:r>
    </w:p>
    <w:p w14:paraId="61A8C59D">
      <w:pPr>
        <w:pStyle w:val="19"/>
        <w:tabs>
          <w:tab w:val="right" w:leader="dot" w:pos="8930"/>
          <w:tab w:val="clear" w:pos="180"/>
          <w:tab w:val="clear" w:pos="420"/>
          <w:tab w:val="clear" w:pos="9360"/>
        </w:tabs>
      </w:pPr>
      <w:r>
        <w:fldChar w:fldCharType="begin"/>
      </w:r>
      <w:r>
        <w:instrText xml:space="preserve"> HYPERLINK \l _Toc23207 </w:instrText>
      </w:r>
      <w:r>
        <w:fldChar w:fldCharType="separate"/>
      </w:r>
      <w:r>
        <w:rPr>
          <w:rFonts w:hint="eastAsia"/>
        </w:rPr>
        <w:t>3 参考</w:t>
      </w:r>
      <w:r>
        <w:t>标准</w:t>
      </w:r>
      <w:r>
        <w:tab/>
      </w:r>
      <w:r>
        <w:fldChar w:fldCharType="begin"/>
      </w:r>
      <w:r>
        <w:instrText xml:space="preserve"> PAGEREF _Toc23207 \h </w:instrText>
      </w:r>
      <w:r>
        <w:fldChar w:fldCharType="separate"/>
      </w:r>
      <w:r>
        <w:t>5</w:t>
      </w:r>
      <w:r>
        <w:fldChar w:fldCharType="end"/>
      </w:r>
      <w:r>
        <w:fldChar w:fldCharType="end"/>
      </w:r>
    </w:p>
    <w:p w14:paraId="6B9D8424">
      <w:pPr>
        <w:pStyle w:val="19"/>
        <w:tabs>
          <w:tab w:val="right" w:leader="dot" w:pos="8930"/>
          <w:tab w:val="clear" w:pos="180"/>
          <w:tab w:val="clear" w:pos="420"/>
          <w:tab w:val="clear" w:pos="9360"/>
        </w:tabs>
      </w:pPr>
      <w:r>
        <w:fldChar w:fldCharType="begin"/>
      </w:r>
      <w:r>
        <w:instrText xml:space="preserve"> HYPERLINK \l _Toc24736 </w:instrText>
      </w:r>
      <w:r>
        <w:fldChar w:fldCharType="separate"/>
      </w:r>
      <w:r>
        <w:rPr>
          <w:rFonts w:hint="eastAsia"/>
        </w:rPr>
        <w:t>4 计算方法</w:t>
      </w:r>
      <w:r>
        <w:tab/>
      </w:r>
      <w:r>
        <w:fldChar w:fldCharType="begin"/>
      </w:r>
      <w:r>
        <w:instrText xml:space="preserve"> PAGEREF _Toc24736 \h </w:instrText>
      </w:r>
      <w:r>
        <w:fldChar w:fldCharType="separate"/>
      </w:r>
      <w:r>
        <w:t>5</w:t>
      </w:r>
      <w:r>
        <w:fldChar w:fldCharType="end"/>
      </w:r>
      <w:r>
        <w:fldChar w:fldCharType="end"/>
      </w:r>
    </w:p>
    <w:p w14:paraId="1191FA48">
      <w:pPr>
        <w:pStyle w:val="20"/>
        <w:tabs>
          <w:tab w:val="right" w:leader="dot" w:pos="8930"/>
          <w:tab w:val="clear" w:pos="540"/>
          <w:tab w:val="clear" w:pos="840"/>
          <w:tab w:val="clear" w:pos="9360"/>
        </w:tabs>
      </w:pPr>
      <w:r>
        <w:fldChar w:fldCharType="begin"/>
      </w:r>
      <w:r>
        <w:instrText xml:space="preserve"> HYPERLINK \l _Toc8804 </w:instrText>
      </w:r>
      <w:r>
        <w:fldChar w:fldCharType="separate"/>
      </w:r>
      <w:r>
        <w:rPr>
          <w:rFonts w:hint="eastAsia"/>
          <w:lang w:val="en-GB"/>
        </w:rPr>
        <w:t xml:space="preserve">4.1 </w:t>
      </w:r>
      <w:r>
        <w:rPr>
          <w:rFonts w:hint="eastAsia"/>
        </w:rPr>
        <w:t>热湿环境评价</w:t>
      </w:r>
      <w:r>
        <w:t>指标</w:t>
      </w:r>
      <w:r>
        <w:rPr>
          <w:rFonts w:hint="eastAsia"/>
        </w:rPr>
        <w:t>计算</w:t>
      </w:r>
      <w:r>
        <w:tab/>
      </w:r>
      <w:r>
        <w:fldChar w:fldCharType="begin"/>
      </w:r>
      <w:r>
        <w:instrText xml:space="preserve"> PAGEREF _Toc8804 \h </w:instrText>
      </w:r>
      <w:r>
        <w:fldChar w:fldCharType="separate"/>
      </w:r>
      <w:r>
        <w:t>5</w:t>
      </w:r>
      <w:r>
        <w:fldChar w:fldCharType="end"/>
      </w:r>
      <w:r>
        <w:fldChar w:fldCharType="end"/>
      </w:r>
    </w:p>
    <w:p w14:paraId="6D226FBE">
      <w:pPr>
        <w:pStyle w:val="15"/>
        <w:tabs>
          <w:tab w:val="right" w:leader="dot" w:pos="8930"/>
          <w:tab w:val="clear" w:pos="900"/>
          <w:tab w:val="clear" w:pos="1260"/>
          <w:tab w:val="clear" w:pos="9360"/>
        </w:tabs>
      </w:pPr>
      <w:r>
        <w:fldChar w:fldCharType="begin"/>
      </w:r>
      <w:r>
        <w:instrText xml:space="preserve"> HYPERLINK \l _Toc28735 </w:instrText>
      </w:r>
      <w:r>
        <w:fldChar w:fldCharType="separate"/>
      </w:r>
      <w:r>
        <w:rPr>
          <w:rFonts w:hint="eastAsia" w:eastAsia="宋体"/>
          <w:szCs w:val="24"/>
          <w:lang w:val="en-GB"/>
        </w:rPr>
        <w:t xml:space="preserve">4.1.1 </w:t>
      </w:r>
      <w:r>
        <w:t>PMV</w:t>
      </w:r>
      <w:r>
        <w:rPr>
          <w:rFonts w:hint="eastAsia"/>
        </w:rPr>
        <w:t>计算公式</w:t>
      </w:r>
      <w:r>
        <w:tab/>
      </w:r>
      <w:r>
        <w:fldChar w:fldCharType="begin"/>
      </w:r>
      <w:r>
        <w:instrText xml:space="preserve"> PAGEREF _Toc28735 \h </w:instrText>
      </w:r>
      <w:r>
        <w:fldChar w:fldCharType="separate"/>
      </w:r>
      <w:r>
        <w:t>6</w:t>
      </w:r>
      <w:r>
        <w:fldChar w:fldCharType="end"/>
      </w:r>
      <w:r>
        <w:fldChar w:fldCharType="end"/>
      </w:r>
    </w:p>
    <w:p w14:paraId="21F2B842">
      <w:pPr>
        <w:pStyle w:val="15"/>
        <w:tabs>
          <w:tab w:val="right" w:leader="dot" w:pos="8930"/>
          <w:tab w:val="clear" w:pos="900"/>
          <w:tab w:val="clear" w:pos="1260"/>
          <w:tab w:val="clear" w:pos="9360"/>
        </w:tabs>
      </w:pPr>
      <w:r>
        <w:fldChar w:fldCharType="begin"/>
      </w:r>
      <w:r>
        <w:instrText xml:space="preserve"> HYPERLINK \l _Toc25259 </w:instrText>
      </w:r>
      <w:r>
        <w:fldChar w:fldCharType="separate"/>
      </w:r>
      <w:r>
        <w:rPr>
          <w:rFonts w:hint="eastAsia" w:eastAsia="宋体"/>
          <w:szCs w:val="24"/>
          <w:lang w:val="en-GB"/>
        </w:rPr>
        <w:t xml:space="preserve">4.1.2 </w:t>
      </w:r>
      <w:r>
        <w:t>PPD</w:t>
      </w:r>
      <w:r>
        <w:rPr>
          <w:rFonts w:hint="eastAsia"/>
        </w:rPr>
        <w:t>计算公式</w:t>
      </w:r>
      <w:r>
        <w:tab/>
      </w:r>
      <w:r>
        <w:fldChar w:fldCharType="begin"/>
      </w:r>
      <w:r>
        <w:instrText xml:space="preserve"> PAGEREF _Toc25259 \h </w:instrText>
      </w:r>
      <w:r>
        <w:fldChar w:fldCharType="separate"/>
      </w:r>
      <w:r>
        <w:t>6</w:t>
      </w:r>
      <w:r>
        <w:fldChar w:fldCharType="end"/>
      </w:r>
      <w:r>
        <w:fldChar w:fldCharType="end"/>
      </w:r>
    </w:p>
    <w:p w14:paraId="2B29BEA3">
      <w:pPr>
        <w:pStyle w:val="15"/>
        <w:tabs>
          <w:tab w:val="right" w:leader="dot" w:pos="8930"/>
          <w:tab w:val="clear" w:pos="900"/>
          <w:tab w:val="clear" w:pos="1260"/>
          <w:tab w:val="clear" w:pos="9360"/>
        </w:tabs>
      </w:pPr>
      <w:r>
        <w:fldChar w:fldCharType="begin"/>
      </w:r>
      <w:r>
        <w:instrText xml:space="preserve"> HYPERLINK \l _Toc30497 </w:instrText>
      </w:r>
      <w:r>
        <w:fldChar w:fldCharType="separate"/>
      </w:r>
      <w:r>
        <w:rPr>
          <w:rFonts w:hint="eastAsia" w:eastAsia="宋体"/>
          <w:szCs w:val="24"/>
          <w:lang w:val="en-GB"/>
        </w:rPr>
        <w:t xml:space="preserve">4.1.3 </w:t>
      </w:r>
      <w:r>
        <w:rPr>
          <w:rFonts w:hint="eastAsia"/>
        </w:rPr>
        <w:t>PMV和PPD达标比例计算</w:t>
      </w:r>
      <w:r>
        <w:tab/>
      </w:r>
      <w:r>
        <w:fldChar w:fldCharType="begin"/>
      </w:r>
      <w:r>
        <w:instrText xml:space="preserve"> PAGEREF _Toc30497 \h </w:instrText>
      </w:r>
      <w:r>
        <w:fldChar w:fldCharType="separate"/>
      </w:r>
      <w:r>
        <w:t>7</w:t>
      </w:r>
      <w:r>
        <w:fldChar w:fldCharType="end"/>
      </w:r>
      <w:r>
        <w:fldChar w:fldCharType="end"/>
      </w:r>
    </w:p>
    <w:p w14:paraId="0ED2F950">
      <w:pPr>
        <w:pStyle w:val="19"/>
        <w:tabs>
          <w:tab w:val="right" w:leader="dot" w:pos="8930"/>
          <w:tab w:val="clear" w:pos="180"/>
          <w:tab w:val="clear" w:pos="420"/>
          <w:tab w:val="clear" w:pos="9360"/>
        </w:tabs>
      </w:pPr>
      <w:r>
        <w:fldChar w:fldCharType="begin"/>
      </w:r>
      <w:r>
        <w:instrText xml:space="preserve"> HYPERLINK \l _Toc14204 </w:instrText>
      </w:r>
      <w:r>
        <w:fldChar w:fldCharType="separate"/>
      </w:r>
      <w:r>
        <w:rPr>
          <w:rFonts w:hint="eastAsia"/>
        </w:rPr>
        <w:t>5 计算参数</w:t>
      </w:r>
      <w:r>
        <w:tab/>
      </w:r>
      <w:r>
        <w:fldChar w:fldCharType="begin"/>
      </w:r>
      <w:r>
        <w:instrText xml:space="preserve"> PAGEREF _Toc14204 \h </w:instrText>
      </w:r>
      <w:r>
        <w:fldChar w:fldCharType="separate"/>
      </w:r>
      <w:r>
        <w:t>7</w:t>
      </w:r>
      <w:r>
        <w:fldChar w:fldCharType="end"/>
      </w:r>
      <w:r>
        <w:fldChar w:fldCharType="end"/>
      </w:r>
    </w:p>
    <w:p w14:paraId="42DCFAC8">
      <w:pPr>
        <w:pStyle w:val="19"/>
        <w:tabs>
          <w:tab w:val="right" w:leader="dot" w:pos="8930"/>
          <w:tab w:val="clear" w:pos="180"/>
          <w:tab w:val="clear" w:pos="420"/>
          <w:tab w:val="clear" w:pos="9360"/>
        </w:tabs>
      </w:pPr>
      <w:r>
        <w:fldChar w:fldCharType="begin"/>
      </w:r>
      <w:r>
        <w:instrText xml:space="preserve"> HYPERLINK \l _Toc31332 </w:instrText>
      </w:r>
      <w:r>
        <w:fldChar w:fldCharType="separate"/>
      </w:r>
      <w:r>
        <w:rPr>
          <w:rFonts w:hint="eastAsia"/>
        </w:rPr>
        <w:t>6 计算结果</w:t>
      </w:r>
      <w:r>
        <w:tab/>
      </w:r>
      <w:r>
        <w:fldChar w:fldCharType="begin"/>
      </w:r>
      <w:r>
        <w:instrText xml:space="preserve"> PAGEREF _Toc31332 \h </w:instrText>
      </w:r>
      <w:r>
        <w:fldChar w:fldCharType="separate"/>
      </w:r>
      <w:r>
        <w:t>7</w:t>
      </w:r>
      <w:r>
        <w:fldChar w:fldCharType="end"/>
      </w:r>
      <w:r>
        <w:fldChar w:fldCharType="end"/>
      </w:r>
    </w:p>
    <w:p w14:paraId="34A7542F">
      <w:pPr>
        <w:pStyle w:val="20"/>
        <w:tabs>
          <w:tab w:val="right" w:leader="dot" w:pos="8930"/>
          <w:tab w:val="clear" w:pos="540"/>
          <w:tab w:val="clear" w:pos="840"/>
          <w:tab w:val="clear" w:pos="9360"/>
        </w:tabs>
      </w:pPr>
      <w:r>
        <w:fldChar w:fldCharType="begin"/>
      </w:r>
      <w:r>
        <w:instrText xml:space="preserve"> HYPERLINK \l _Toc28214 </w:instrText>
      </w:r>
      <w:r>
        <w:fldChar w:fldCharType="separate"/>
      </w:r>
      <w:r>
        <w:rPr>
          <w:rFonts w:hint="eastAsia"/>
          <w:lang w:val="en-GB"/>
        </w:rPr>
        <w:t xml:space="preserve">6.1 </w:t>
      </w:r>
      <w:r>
        <w:rPr>
          <w:rFonts w:hint="eastAsia"/>
        </w:rPr>
        <w:t>PMV-PPD指标</w:t>
      </w:r>
      <w:r>
        <w:tab/>
      </w:r>
      <w:r>
        <w:fldChar w:fldCharType="begin"/>
      </w:r>
      <w:r>
        <w:instrText xml:space="preserve"> PAGEREF _Toc28214 \h </w:instrText>
      </w:r>
      <w:r>
        <w:fldChar w:fldCharType="separate"/>
      </w:r>
      <w:r>
        <w:t>7</w:t>
      </w:r>
      <w:r>
        <w:fldChar w:fldCharType="end"/>
      </w:r>
      <w:r>
        <w:fldChar w:fldCharType="end"/>
      </w:r>
    </w:p>
    <w:p w14:paraId="427E880E">
      <w:pPr>
        <w:pStyle w:val="20"/>
        <w:tabs>
          <w:tab w:val="right" w:leader="dot" w:pos="8930"/>
          <w:tab w:val="clear" w:pos="540"/>
          <w:tab w:val="clear" w:pos="840"/>
          <w:tab w:val="clear" w:pos="9360"/>
        </w:tabs>
      </w:pPr>
      <w:r>
        <w:fldChar w:fldCharType="begin"/>
      </w:r>
      <w:r>
        <w:instrText xml:space="preserve"> HYPERLINK \l _Toc17361 </w:instrText>
      </w:r>
      <w:r>
        <w:fldChar w:fldCharType="separate"/>
      </w:r>
      <w:r>
        <w:rPr>
          <w:rFonts w:hint="eastAsia"/>
          <w:lang w:val="en-GB"/>
        </w:rPr>
        <w:t xml:space="preserve">6.2 </w:t>
      </w:r>
      <w:r>
        <w:rPr>
          <w:rFonts w:hint="eastAsia"/>
        </w:rPr>
        <w:t>达标情况</w:t>
      </w:r>
      <w:r>
        <w:tab/>
      </w:r>
      <w:r>
        <w:fldChar w:fldCharType="begin"/>
      </w:r>
      <w:r>
        <w:instrText xml:space="preserve"> PAGEREF _Toc17361 \h </w:instrText>
      </w:r>
      <w:r>
        <w:fldChar w:fldCharType="separate"/>
      </w:r>
      <w:r>
        <w:t>8</w:t>
      </w:r>
      <w:r>
        <w:fldChar w:fldCharType="end"/>
      </w:r>
      <w:r>
        <w:fldChar w:fldCharType="end"/>
      </w:r>
    </w:p>
    <w:p w14:paraId="00CE2F3B">
      <w:pPr>
        <w:pStyle w:val="19"/>
        <w:tabs>
          <w:tab w:val="right" w:leader="dot" w:pos="8930"/>
          <w:tab w:val="clear" w:pos="180"/>
          <w:tab w:val="clear" w:pos="420"/>
          <w:tab w:val="clear" w:pos="9360"/>
        </w:tabs>
      </w:pPr>
      <w:r>
        <w:fldChar w:fldCharType="begin"/>
      </w:r>
      <w:r>
        <w:instrText xml:space="preserve"> HYPERLINK \l _Toc15289 </w:instrText>
      </w:r>
      <w:r>
        <w:fldChar w:fldCharType="separate"/>
      </w:r>
      <w:r>
        <w:rPr>
          <w:rFonts w:hint="eastAsia"/>
        </w:rPr>
        <w:t>7 结论</w:t>
      </w:r>
      <w:r>
        <w:tab/>
      </w:r>
      <w:r>
        <w:fldChar w:fldCharType="begin"/>
      </w:r>
      <w:r>
        <w:instrText xml:space="preserve"> PAGEREF _Toc15289 \h </w:instrText>
      </w:r>
      <w:r>
        <w:fldChar w:fldCharType="separate"/>
      </w:r>
      <w:r>
        <w:t>8</w:t>
      </w:r>
      <w:r>
        <w:fldChar w:fldCharType="end"/>
      </w:r>
      <w:r>
        <w:fldChar w:fldCharType="end"/>
      </w:r>
    </w:p>
    <w:p w14:paraId="3FEDAA25">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1"/>
    </w:p>
    <w:p w14:paraId="496982D9">
      <w:pPr>
        <w:pStyle w:val="2"/>
      </w:pPr>
      <w:bookmarkStart w:id="12" w:name="_Toc452108759"/>
      <w:bookmarkStart w:id="13" w:name="_Toc44662463"/>
      <w:bookmarkStart w:id="14" w:name="_Toc31146"/>
      <w:r>
        <w:rPr>
          <w:rFonts w:hint="eastAsia"/>
        </w:rPr>
        <w:t>项目概况</w:t>
      </w:r>
      <w:bookmarkEnd w:id="12"/>
      <w:bookmarkEnd w:id="13"/>
      <w:bookmarkEnd w:id="14"/>
    </w:p>
    <w:p w14:paraId="19BC2D61">
      <w:pPr>
        <w:pStyle w:val="3"/>
        <w:ind w:firstLine="420"/>
        <w:rPr>
          <w:lang w:val="en-US"/>
        </w:rPr>
      </w:pPr>
      <w:bookmarkStart w:id="15" w:name="项目概况"/>
      <w:bookmarkEnd w:id="15"/>
    </w:p>
    <w:p w14:paraId="0166A6EF">
      <w:pPr>
        <w:pStyle w:val="3"/>
        <w:ind w:firstLine="420"/>
        <w:rPr>
          <w:lang w:val="en-US"/>
        </w:rPr>
      </w:pPr>
    </w:p>
    <w:p w14:paraId="4B086FC7">
      <w:pPr>
        <w:pStyle w:val="3"/>
        <w:ind w:firstLine="420"/>
        <w:rPr>
          <w:lang w:val="en-US"/>
        </w:rPr>
      </w:pPr>
    </w:p>
    <w:p w14:paraId="7804F75C">
      <w:pPr>
        <w:pStyle w:val="3"/>
        <w:ind w:firstLine="420"/>
        <w:rPr>
          <w:lang w:val="en-US"/>
        </w:rPr>
        <w:sectPr>
          <w:pgSz w:w="11906" w:h="16838"/>
          <w:pgMar w:top="822" w:right="1134" w:bottom="992" w:left="709" w:header="283" w:footer="170" w:gutter="0"/>
          <w:cols w:space="720" w:num="1"/>
          <w:docGrid w:type="linesAndChars" w:linePitch="312" w:charSpace="0"/>
        </w:sectPr>
      </w:pPr>
    </w:p>
    <w:p w14:paraId="7FED7033">
      <w:pPr>
        <w:pStyle w:val="3"/>
        <w:ind w:firstLine="0" w:firstLineChars="0"/>
        <w:jc w:val="center"/>
        <w:rPr>
          <w:lang w:val="en-US"/>
        </w:rPr>
      </w:pPr>
    </w:p>
    <w:p w14:paraId="1E44A1EA">
      <w:pPr>
        <w:pStyle w:val="4"/>
      </w:pPr>
      <w:bookmarkStart w:id="16" w:name="_Toc452108761"/>
      <w:bookmarkStart w:id="17" w:name="_Toc44662464"/>
      <w:bookmarkStart w:id="18" w:name="_Toc12811"/>
      <w:r>
        <w:rPr>
          <w:rFonts w:hint="eastAsia"/>
        </w:rPr>
        <w:t>三</w:t>
      </w:r>
      <w:r>
        <w:t>维视图</w:t>
      </w:r>
      <w:bookmarkEnd w:id="16"/>
      <w:bookmarkEnd w:id="17"/>
      <w:bookmarkEnd w:id="18"/>
    </w:p>
    <w:p w14:paraId="7F176318">
      <w:pPr>
        <w:pStyle w:val="3"/>
        <w:ind w:firstLine="0" w:firstLineChars="0"/>
        <w:jc w:val="center"/>
        <w:rPr>
          <w:lang w:val="en-US"/>
        </w:rPr>
      </w:pPr>
      <w:bookmarkStart w:id="19" w:name="三维视图"/>
      <w:bookmarkStart w:id="20" w:name="模型观察"/>
      <w:r>
        <w:t>请先在【模型观察】命令中保存图片</w:t>
      </w:r>
      <w:bookmarkEnd w:id="19"/>
      <w:bookmarkEnd w:id="20"/>
    </w:p>
    <w:p w14:paraId="491D9F21">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5AEABB65">
      <w:pPr>
        <w:pStyle w:val="2"/>
      </w:pPr>
      <w:bookmarkStart w:id="21" w:name="_Toc452108762"/>
      <w:bookmarkStart w:id="22" w:name="_Toc44662465"/>
      <w:bookmarkStart w:id="23" w:name="TitleFormat"/>
      <w:bookmarkStart w:id="24" w:name="_Toc8634"/>
      <w:r>
        <w:rPr>
          <w:rFonts w:hint="eastAsia"/>
        </w:rPr>
        <w:t>计算</w:t>
      </w:r>
      <w:r>
        <w:t>依据</w:t>
      </w:r>
      <w:bookmarkEnd w:id="21"/>
      <w:bookmarkEnd w:id="22"/>
      <w:bookmarkEnd w:id="23"/>
      <w:bookmarkEnd w:id="24"/>
    </w:p>
    <w:p w14:paraId="35D9B6F0">
      <w:pPr>
        <w:pStyle w:val="3"/>
        <w:ind w:firstLine="199" w:firstLineChars="95"/>
        <w:rPr>
          <w:lang w:val="en-US"/>
        </w:rPr>
      </w:pPr>
      <w:bookmarkStart w:id="25" w:name="_Toc452108763"/>
      <w:r>
        <w:rPr>
          <w:rFonts w:hint="eastAsia"/>
          <w:lang w:val="en-US"/>
        </w:rPr>
        <w:t>本项目主要参照资料为：</w:t>
      </w:r>
    </w:p>
    <w:p w14:paraId="31730238">
      <w:pPr>
        <w:pStyle w:val="3"/>
        <w:numPr>
          <w:ilvl w:val="0"/>
          <w:numId w:val="2"/>
        </w:numPr>
        <w:ind w:left="0" w:firstLine="200" w:firstLineChars="0"/>
        <w:rPr>
          <w:lang w:val="en-US"/>
        </w:rPr>
      </w:pPr>
      <w:bookmarkStart w:id="26" w:name="参考标准名称1"/>
      <w:r>
        <w:rPr>
          <w:rFonts w:hint="eastAsia"/>
          <w:lang w:val="en-US"/>
        </w:rPr>
        <w:t>《绿色建筑评价标准》GB/T 50378</w:t>
      </w:r>
      <w:r>
        <w:rPr>
          <w:lang w:val="en-US"/>
        </w:rPr>
        <w:t>-2019</w:t>
      </w:r>
      <w:bookmarkEnd w:id="26"/>
    </w:p>
    <w:p w14:paraId="1D76A9BB">
      <w:pPr>
        <w:pStyle w:val="3"/>
        <w:numPr>
          <w:ilvl w:val="0"/>
          <w:numId w:val="2"/>
        </w:numPr>
        <w:ind w:left="0" w:firstLine="200" w:firstLineChars="0"/>
        <w:rPr>
          <w:lang w:val="en-US"/>
        </w:rPr>
      </w:pPr>
      <w:r>
        <w:rPr>
          <w:rFonts w:hint="eastAsia"/>
          <w:lang w:val="en-US"/>
        </w:rPr>
        <w:t>《绿色建筑评价技术细则》</w:t>
      </w:r>
    </w:p>
    <w:p w14:paraId="65336CB6">
      <w:pPr>
        <w:pStyle w:val="3"/>
        <w:numPr>
          <w:ilvl w:val="0"/>
          <w:numId w:val="2"/>
        </w:numPr>
        <w:ind w:left="0" w:firstLine="200" w:firstLineChars="0"/>
        <w:rPr>
          <w:lang w:val="en-US"/>
        </w:rPr>
      </w:pPr>
      <w:bookmarkStart w:id="27" w:name="_Hlk13496340"/>
      <w:r>
        <w:rPr>
          <w:rFonts w:hint="eastAsia"/>
          <w:lang w:val="en-US"/>
        </w:rPr>
        <w:t>《民用建筑室内热湿环境评价标准》</w:t>
      </w:r>
      <w:r>
        <w:rPr>
          <w:lang w:val="en-US"/>
        </w:rPr>
        <w:t>GB/T 50785-2012</w:t>
      </w:r>
    </w:p>
    <w:p w14:paraId="07DB3CA2">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7"/>
    <w:p w14:paraId="06169603">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04FC2B56">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8" w:name="_Hlk13516321"/>
    </w:p>
    <w:bookmarkEnd w:id="28"/>
    <w:p w14:paraId="4B4BADA1">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58344626">
      <w:pPr>
        <w:pStyle w:val="3"/>
        <w:numPr>
          <w:ilvl w:val="0"/>
          <w:numId w:val="2"/>
        </w:numPr>
        <w:ind w:left="0" w:firstLine="200" w:firstLineChars="0"/>
        <w:rPr>
          <w:lang w:val="en-US"/>
        </w:rPr>
      </w:pPr>
      <w:r>
        <w:rPr>
          <w:rFonts w:hint="eastAsia"/>
          <w:lang w:val="en-US"/>
        </w:rPr>
        <w:t xml:space="preserve"> 委托方提供的其他相关资料</w:t>
      </w:r>
    </w:p>
    <w:p w14:paraId="4AB098D6">
      <w:pPr>
        <w:pStyle w:val="2"/>
      </w:pPr>
      <w:bookmarkStart w:id="29" w:name="_Toc44662466"/>
      <w:bookmarkStart w:id="30" w:name="_Toc23207"/>
      <w:r>
        <w:rPr>
          <w:rFonts w:hint="eastAsia"/>
        </w:rPr>
        <w:t>参考</w:t>
      </w:r>
      <w:r>
        <w:t>标准</w:t>
      </w:r>
      <w:bookmarkEnd w:id="25"/>
      <w:bookmarkEnd w:id="29"/>
      <w:bookmarkEnd w:id="30"/>
    </w:p>
    <w:p w14:paraId="56BE0013">
      <w:pPr>
        <w:pStyle w:val="3"/>
        <w:ind w:firstLine="420"/>
        <w:rPr>
          <w:lang w:val="en-US"/>
        </w:rPr>
      </w:pPr>
      <w:bookmarkStart w:id="31" w:name="_Toc452108764"/>
      <w:bookmarkStart w:id="32" w:name="_Toc451698935"/>
      <w:r>
        <w:rPr>
          <w:rFonts w:hint="eastAsia"/>
          <w:lang w:val="en-US"/>
        </w:rPr>
        <w:t>室内热湿环境评价的主要依据为</w:t>
      </w:r>
      <w:bookmarkStart w:id="33" w:name="参考标准名称2"/>
      <w:r>
        <w:rPr>
          <w:rFonts w:hint="eastAsia"/>
          <w:lang w:val="en-US"/>
        </w:rPr>
        <w:t>《绿色建筑评价标准》GB/T 50378-2019</w:t>
      </w:r>
      <w:bookmarkEnd w:id="33"/>
      <w:r>
        <w:rPr>
          <w:rFonts w:hint="eastAsia"/>
          <w:lang w:val="en-US"/>
        </w:rPr>
        <w:t>中5.2.9条第2款的要求，具体评分规则如下：</w:t>
      </w:r>
    </w:p>
    <w:p w14:paraId="0817EA42">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级的面积比例，达到60%, 得5分；每再增加10%, 再得1 分，最高得8分。</w:t>
      </w:r>
    </w:p>
    <w:p w14:paraId="74700D49">
      <w:pPr>
        <w:pStyle w:val="2"/>
      </w:pPr>
      <w:bookmarkStart w:id="34" w:name="_Toc44662467"/>
      <w:bookmarkStart w:id="35" w:name="_Toc24736"/>
      <w:r>
        <w:rPr>
          <w:rFonts w:hint="eastAsia"/>
        </w:rPr>
        <w:t>计算</w:t>
      </w:r>
      <w:bookmarkEnd w:id="31"/>
      <w:bookmarkEnd w:id="32"/>
      <w:r>
        <w:rPr>
          <w:rFonts w:hint="eastAsia"/>
        </w:rPr>
        <w:t>方法</w:t>
      </w:r>
      <w:bookmarkEnd w:id="34"/>
      <w:bookmarkEnd w:id="35"/>
    </w:p>
    <w:p w14:paraId="368741BF">
      <w:pPr>
        <w:pStyle w:val="3"/>
        <w:ind w:firstLine="420"/>
        <w:rPr>
          <w:lang w:val="en-US"/>
        </w:rPr>
      </w:pPr>
      <w:r>
        <w:rPr>
          <w:rFonts w:hint="eastAsia"/>
          <w:lang w:val="en-US"/>
        </w:rPr>
        <w:t>本项目首先采用室内热湿环境参数、人体代谢及做功、服装热阻参数计算出室内热湿环境参数相关指标，并进行达标计算。</w:t>
      </w:r>
    </w:p>
    <w:p w14:paraId="1B5FE9BE">
      <w:pPr>
        <w:pStyle w:val="4"/>
      </w:pPr>
      <w:bookmarkStart w:id="36" w:name="_Toc44662472"/>
      <w:bookmarkStart w:id="37" w:name="_Toc8804"/>
      <w:r>
        <w:rPr>
          <w:rFonts w:hint="eastAsia"/>
        </w:rPr>
        <w:t>热湿环境评价</w:t>
      </w:r>
      <w:r>
        <w:t>指标</w:t>
      </w:r>
      <w:r>
        <w:rPr>
          <w:rFonts w:hint="eastAsia"/>
        </w:rPr>
        <w:t>计算</w:t>
      </w:r>
      <w:bookmarkEnd w:id="36"/>
      <w:bookmarkEnd w:id="37"/>
    </w:p>
    <w:p w14:paraId="2B307551">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14:paraId="4172A5FC">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38" w:name="_Hlk13601794"/>
      <w:r>
        <w:rPr>
          <w:rFonts w:hint="eastAsia"/>
          <w:lang w:val="en-US"/>
        </w:rPr>
        <w:t>本项目采用《民用建筑室内热湿环境评价标准》GB/T 50785-2012中所示的计算程序完成上述PMV的计算。</w:t>
      </w:r>
    </w:p>
    <w:p w14:paraId="4229EFF9">
      <w:pPr>
        <w:pStyle w:val="5"/>
      </w:pPr>
      <w:bookmarkStart w:id="39" w:name="_Toc44662473"/>
      <w:bookmarkStart w:id="40" w:name="_Toc28735"/>
      <w:r>
        <w:t>PMV</w:t>
      </w:r>
      <w:r>
        <w:rPr>
          <w:rFonts w:hint="eastAsia"/>
        </w:rPr>
        <w:t>计算公式</w:t>
      </w:r>
      <w:bookmarkEnd w:id="39"/>
      <w:bookmarkEnd w:id="40"/>
    </w:p>
    <w:bookmarkEnd w:id="38"/>
    <w:p w14:paraId="37D6DA6E">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10">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14:paraId="2450B865">
      <w:pPr>
        <w:pStyle w:val="3"/>
        <w:ind w:firstLine="630" w:firstLineChars="300"/>
        <w:rPr>
          <w:lang w:val="en-US"/>
        </w:rPr>
      </w:pPr>
      <w:r>
        <w:rPr>
          <w:rFonts w:hint="eastAsia"/>
          <w:lang w:val="en-US"/>
        </w:rPr>
        <w:t>式中：</w:t>
      </w:r>
    </w:p>
    <w:p w14:paraId="259E95B5">
      <w:pPr>
        <w:pStyle w:val="3"/>
        <w:ind w:firstLine="630" w:firstLineChars="300"/>
        <w:rPr>
          <w:lang w:val="en-US"/>
        </w:rPr>
      </w:pPr>
      <w:r>
        <w:rPr>
          <w:lang w:val="en-US"/>
        </w:rPr>
        <w:t>PMV——</w:t>
      </w:r>
      <w:r>
        <w:rPr>
          <w:rFonts w:hint="eastAsia"/>
          <w:lang w:val="en-US"/>
        </w:rPr>
        <w:t>预计平均热感觉指数；</w:t>
      </w:r>
    </w:p>
    <w:p w14:paraId="1F99FE68">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14:paraId="3FB0C706">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14:paraId="724A907D">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14:paraId="17C426CA">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14:paraId="3F4FF06B">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p>
    <w:p w14:paraId="152ADA28">
      <w:pPr>
        <w:pStyle w:val="3"/>
        <w:ind w:firstLine="630" w:firstLineChars="300"/>
        <w:rPr>
          <w:lang w:val="en-US"/>
        </w:rPr>
      </w:pPr>
      <w:r>
        <w:rPr>
          <w:position w:val="-6"/>
        </w:rPr>
        <w:object>
          <v:shape id="_x0000_i1025" o:spt="75" type="#_x0000_t75" style="height:18.15pt;width:9.7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hint="eastAsia"/>
        </w:rPr>
        <w:t xml:space="preserve">  </w:t>
      </w:r>
      <w:r>
        <w:rPr>
          <w:lang w:val="en-US"/>
        </w:rPr>
        <w:t>——</w:t>
      </w:r>
      <w:r>
        <w:rPr>
          <w:rFonts w:hint="eastAsia"/>
          <w:lang w:val="en-US"/>
        </w:rPr>
        <w:t>平均辐射温度（℃）；</w:t>
      </w:r>
    </w:p>
    <w:p w14:paraId="10CF1A7B">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w:t>
      </w:r>
    </w:p>
    <w:p w14:paraId="4B04A603">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14:paraId="3F6F409A">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14:paraId="4379E177">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14:paraId="253E8A28">
      <w:pPr>
        <w:pStyle w:val="3"/>
        <w:ind w:left="88" w:leftChars="42" w:firstLine="0" w:firstLineChars="0"/>
        <w:rPr>
          <w:lang w:val="en-US"/>
        </w:rPr>
      </w:pPr>
      <w:r>
        <w:rPr>
          <w:rFonts w:hint="eastAsia"/>
          <w:lang w:val="en-US"/>
        </w:rPr>
        <w:t>说明：其中水蒸气分压也可以用空气相对湿度代替作为输入的参数。</w:t>
      </w:r>
    </w:p>
    <w:p w14:paraId="6F7537EC">
      <w:pPr>
        <w:pStyle w:val="5"/>
        <w:tabs>
          <w:tab w:val="left" w:pos="360"/>
        </w:tabs>
        <w:ind w:left="0" w:firstLine="0"/>
      </w:pPr>
      <w:bookmarkStart w:id="41" w:name="_Toc44662474"/>
      <w:bookmarkStart w:id="42" w:name="_Toc25259"/>
      <w:r>
        <w:t>PPD</w:t>
      </w:r>
      <w:r>
        <w:rPr>
          <w:rFonts w:hint="eastAsia"/>
        </w:rPr>
        <w:t>计算公式</w:t>
      </w:r>
      <w:bookmarkEnd w:id="41"/>
      <w:bookmarkEnd w:id="42"/>
    </w:p>
    <w:p w14:paraId="07A42662">
      <w:pPr>
        <w:pStyle w:val="3"/>
        <w:ind w:left="122" w:leftChars="58" w:firstLine="315" w:firstLineChars="15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14:paraId="6DE090BB">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14:paraId="0AC3D3FB">
      <w:pPr>
        <w:pStyle w:val="3"/>
        <w:ind w:firstLine="199" w:firstLineChars="95"/>
        <w:rPr>
          <w:lang w:val="en-US"/>
        </w:rPr>
      </w:pPr>
      <w:r>
        <w:rPr>
          <w:rFonts w:hint="eastAsia"/>
          <w:lang w:val="en-US"/>
        </w:rPr>
        <w:t>式中：PMV为平均热感觉指数；</w:t>
      </w:r>
    </w:p>
    <w:p w14:paraId="3B71E9A3">
      <w:pPr>
        <w:pStyle w:val="3"/>
        <w:ind w:firstLine="630" w:firstLineChars="300"/>
        <w:rPr>
          <w:lang w:val="en-US"/>
        </w:rPr>
      </w:pPr>
      <w:r>
        <w:rPr>
          <w:rFonts w:hint="eastAsia"/>
          <w:lang w:val="en-US"/>
        </w:rPr>
        <w:t xml:space="preserve">  PPD为预计不满意率，%；</w:t>
      </w:r>
    </w:p>
    <w:p w14:paraId="55D39139">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14">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14:paraId="1F5BBB4F">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14:paraId="7117CF74">
      <w:pPr>
        <w:pStyle w:val="5"/>
        <w:tabs>
          <w:tab w:val="left" w:pos="360"/>
        </w:tabs>
        <w:ind w:left="0" w:firstLine="0"/>
      </w:pPr>
      <w:bookmarkStart w:id="43" w:name="_Toc44662475"/>
      <w:bookmarkStart w:id="44" w:name="_Toc30497"/>
      <w:r>
        <w:rPr>
          <w:rFonts w:hint="eastAsia"/>
        </w:rPr>
        <w:t>PMV和PPD达标比例计算</w:t>
      </w:r>
      <w:bookmarkEnd w:id="43"/>
      <w:bookmarkEnd w:id="44"/>
    </w:p>
    <w:p w14:paraId="42930A0A">
      <w:pPr>
        <w:rPr>
          <w:lang w:val="en-US"/>
        </w:rPr>
      </w:pPr>
      <w:r>
        <w:rPr>
          <w:rFonts w:hint="eastAsia"/>
          <w:lang w:val="en-US"/>
        </w:rPr>
        <w:t xml:space="preserve">    先将室内温度、风速、相对湿度等参数输入，再根据PMV和PPD计算公式获取室内PMV和PPD指标，参考《民用建筑室内热湿环境评价标准》GB/T 50785-2012中的评价方法统计PMV和PPD达标面积比例，最后给出评价结果。</w:t>
      </w:r>
    </w:p>
    <w:p w14:paraId="4442F995">
      <w:pPr>
        <w:pStyle w:val="2"/>
        <w:tabs>
          <w:tab w:val="left" w:pos="8931"/>
        </w:tabs>
      </w:pPr>
      <w:bookmarkStart w:id="45" w:name="_Toc14204"/>
      <w:r>
        <w:rPr>
          <w:rFonts w:hint="eastAsia"/>
        </w:rPr>
        <w:t>计算参数</w:t>
      </w:r>
      <w:bookmarkEnd w:id="45"/>
    </w:p>
    <w:p w14:paraId="7A005336">
      <w:pPr>
        <w:pStyle w:val="3"/>
        <w:tabs>
          <w:tab w:val="left" w:pos="8931"/>
        </w:tabs>
        <w:ind w:firstLine="420"/>
        <w:rPr>
          <w:lang w:val="en-US"/>
        </w:rPr>
      </w:pPr>
      <w:r>
        <w:rPr>
          <w:rFonts w:hint="eastAsia"/>
          <w:lang w:val="en-US"/>
        </w:rPr>
        <w:t>本项目为</w:t>
      </w:r>
      <w:bookmarkStart w:id="46" w:name="计算工况"/>
      <w:r>
        <w:rPr>
          <w:rFonts w:hint="eastAsia"/>
          <w:lang w:val="en-US"/>
        </w:rPr>
        <w:t>冬季</w:t>
      </w:r>
      <w:bookmarkEnd w:id="46"/>
      <w:r>
        <w:rPr>
          <w:rFonts w:hint="eastAsia"/>
          <w:lang w:val="en-US"/>
        </w:rPr>
        <w:t>工况，采用</w:t>
      </w:r>
      <w:bookmarkStart w:id="47" w:name="暖通空调形式"/>
      <w:r>
        <w:rPr>
          <w:rFonts w:hint="eastAsia"/>
          <w:lang w:val="en-US"/>
        </w:rPr>
        <w:t>散热器</w:t>
      </w:r>
      <w:bookmarkEnd w:id="47"/>
      <w:r>
        <w:rPr>
          <w:rFonts w:hint="eastAsia"/>
          <w:lang w:val="en-US"/>
        </w:rPr>
        <w:t>方式，该项目所有参评房间均基于</w:t>
      </w:r>
      <w:r>
        <w:rPr>
          <w:lang w:val="en-US"/>
        </w:rPr>
        <w:t>以下参数计算</w:t>
      </w:r>
      <w:r>
        <w:rPr>
          <w:rFonts w:hint="eastAsia"/>
          <w:lang w:val="en-US"/>
        </w:rPr>
        <w:t>室内热湿环境评价指标PMV和PPD：</w:t>
      </w:r>
    </w:p>
    <w:p w14:paraId="4877323D">
      <w:pPr>
        <w:pStyle w:val="3"/>
        <w:tabs>
          <w:tab w:val="left" w:pos="8931"/>
        </w:tabs>
        <w:spacing w:after="156" w:afterLines="50"/>
        <w:ind w:firstLine="0" w:firstLineChars="0"/>
        <w:jc w:val="center"/>
        <w:rPr>
          <w:lang w:val="en-US"/>
        </w:rPr>
      </w:pPr>
      <w:r>
        <w:rPr>
          <w:rFonts w:hint="eastAsia" w:ascii="宋体" w:hAnsi="宋体" w:cs="宋体"/>
          <w:b/>
          <w:bCs/>
          <w:color w:val="333333"/>
          <w:szCs w:val="18"/>
          <w:lang w:val="en-US"/>
        </w:rPr>
        <w:t>表5．1    PMV-PPD计算参数</w:t>
      </w:r>
    </w:p>
    <w:tbl>
      <w:tblPr>
        <w:tblStyle w:val="2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134"/>
        <w:gridCol w:w="1134"/>
        <w:gridCol w:w="1843"/>
        <w:gridCol w:w="1525"/>
        <w:gridCol w:w="1452"/>
        <w:gridCol w:w="1701"/>
      </w:tblGrid>
      <w:tr w14:paraId="59AF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E6E6E6"/>
            <w:vAlign w:val="center"/>
          </w:tcPr>
          <w:p w14:paraId="6DB1F3A6">
            <w:pPr>
              <w:pStyle w:val="3"/>
              <w:spacing w:line="0" w:lineRule="atLeast"/>
              <w:ind w:firstLine="0" w:firstLineChars="0"/>
              <w:jc w:val="center"/>
            </w:pPr>
            <w:bookmarkStart w:id="48" w:name="计算工况表"/>
            <w:r>
              <w:rPr>
                <w:rFonts w:hint="eastAsia"/>
              </w:rPr>
              <w:t>温度</w:t>
            </w:r>
          </w:p>
          <w:p w14:paraId="3398DD15">
            <w:pPr>
              <w:pStyle w:val="3"/>
              <w:spacing w:line="0" w:lineRule="atLeast"/>
              <w:ind w:firstLine="210" w:firstLineChars="100"/>
              <w:jc w:val="center"/>
            </w:pPr>
            <w:r>
              <w:t>(</w:t>
            </w:r>
            <w:r>
              <w:rPr>
                <w:rFonts w:hint="eastAsia"/>
              </w:rPr>
              <w:t>℃</w:t>
            </w:r>
            <w:r>
              <w:t>)</w:t>
            </w:r>
          </w:p>
        </w:tc>
        <w:tc>
          <w:tcPr>
            <w:tcW w:w="1134" w:type="dxa"/>
            <w:shd w:val="clear" w:color="auto" w:fill="E6E6E6"/>
            <w:vAlign w:val="center"/>
          </w:tcPr>
          <w:p w14:paraId="7A38C439">
            <w:pPr>
              <w:pStyle w:val="3"/>
              <w:spacing w:line="0" w:lineRule="atLeast"/>
              <w:ind w:firstLine="210" w:firstLineChars="100"/>
              <w:jc w:val="center"/>
            </w:pPr>
            <w:r>
              <w:rPr>
                <w:rFonts w:hint="eastAsia"/>
              </w:rPr>
              <w:t>风速</w:t>
            </w:r>
          </w:p>
          <w:p w14:paraId="7594F053">
            <w:pPr>
              <w:pStyle w:val="3"/>
              <w:spacing w:line="0" w:lineRule="atLeast"/>
              <w:ind w:firstLine="0" w:firstLineChars="0"/>
              <w:jc w:val="center"/>
            </w:pPr>
            <w:r>
              <w:t>(</w:t>
            </w:r>
            <w:r>
              <w:rPr>
                <w:rFonts w:hint="eastAsia"/>
              </w:rPr>
              <w:t>℃</w:t>
            </w:r>
            <w:r>
              <w:t>)</w:t>
            </w:r>
          </w:p>
        </w:tc>
        <w:tc>
          <w:tcPr>
            <w:tcW w:w="1134" w:type="dxa"/>
            <w:shd w:val="clear" w:color="auto" w:fill="E6E6E6"/>
            <w:vAlign w:val="center"/>
          </w:tcPr>
          <w:p w14:paraId="7401E3A8">
            <w:pPr>
              <w:pStyle w:val="3"/>
              <w:spacing w:line="0" w:lineRule="atLeast"/>
              <w:ind w:firstLine="0" w:firstLineChars="0"/>
              <w:jc w:val="center"/>
            </w:pPr>
            <w:r>
              <w:rPr>
                <w:rFonts w:hint="eastAsia"/>
              </w:rPr>
              <w:t>相对湿度</w:t>
            </w:r>
          </w:p>
          <w:p w14:paraId="685CF6B0">
            <w:pPr>
              <w:pStyle w:val="3"/>
              <w:spacing w:line="0" w:lineRule="atLeast"/>
              <w:ind w:firstLine="0" w:firstLineChars="0"/>
              <w:jc w:val="center"/>
            </w:pPr>
            <w:r>
              <w:t>(</w:t>
            </w:r>
            <w:r>
              <w:rPr>
                <w:rFonts w:hint="eastAsia"/>
              </w:rPr>
              <w:t>%</w:t>
            </w:r>
            <w:r>
              <w:t>)</w:t>
            </w:r>
          </w:p>
        </w:tc>
        <w:tc>
          <w:tcPr>
            <w:tcW w:w="1843" w:type="dxa"/>
            <w:shd w:val="clear" w:color="auto" w:fill="E6E6E6"/>
            <w:vAlign w:val="center"/>
          </w:tcPr>
          <w:p w14:paraId="42AA86B8">
            <w:pPr>
              <w:pStyle w:val="3"/>
              <w:spacing w:line="0" w:lineRule="atLeast"/>
              <w:ind w:firstLine="210" w:firstLineChars="100"/>
            </w:pPr>
            <w:r>
              <w:rPr>
                <w:rFonts w:hint="eastAsia"/>
              </w:rPr>
              <w:t>平均辐射温度</w:t>
            </w:r>
          </w:p>
          <w:p w14:paraId="6651C1FF">
            <w:pPr>
              <w:pStyle w:val="3"/>
              <w:spacing w:line="0" w:lineRule="atLeast"/>
              <w:ind w:firstLine="0" w:firstLineChars="0"/>
              <w:jc w:val="center"/>
            </w:pPr>
            <w:r>
              <w:t>(</w:t>
            </w:r>
            <w:r>
              <w:rPr>
                <w:rFonts w:hint="eastAsia"/>
              </w:rPr>
              <w:t>met</w:t>
            </w:r>
            <w:r>
              <w:t>)</w:t>
            </w:r>
          </w:p>
        </w:tc>
        <w:tc>
          <w:tcPr>
            <w:tcW w:w="1525" w:type="dxa"/>
            <w:shd w:val="clear" w:color="auto" w:fill="E6E6E6"/>
            <w:vAlign w:val="center"/>
          </w:tcPr>
          <w:p w14:paraId="703580D6">
            <w:pPr>
              <w:pStyle w:val="3"/>
              <w:spacing w:line="0" w:lineRule="atLeast"/>
              <w:ind w:firstLine="0" w:firstLineChars="0"/>
              <w:jc w:val="center"/>
            </w:pPr>
            <w:r>
              <w:rPr>
                <w:rFonts w:hint="eastAsia"/>
              </w:rPr>
              <w:t>人体代谢</w:t>
            </w:r>
          </w:p>
          <w:p w14:paraId="510E18CD">
            <w:pPr>
              <w:pStyle w:val="3"/>
              <w:spacing w:line="0" w:lineRule="atLeast"/>
              <w:ind w:firstLine="0" w:firstLineChars="0"/>
              <w:jc w:val="center"/>
            </w:pPr>
            <w:r>
              <w:t>(</w:t>
            </w:r>
            <w:r>
              <w:rPr>
                <w:rFonts w:hint="eastAsia"/>
              </w:rPr>
              <w:t>met</w:t>
            </w:r>
            <w:r>
              <w:t>)</w:t>
            </w:r>
          </w:p>
        </w:tc>
        <w:tc>
          <w:tcPr>
            <w:tcW w:w="1452" w:type="dxa"/>
            <w:shd w:val="clear" w:color="auto" w:fill="E6E6E6"/>
            <w:vAlign w:val="center"/>
          </w:tcPr>
          <w:p w14:paraId="56606F08">
            <w:pPr>
              <w:pStyle w:val="3"/>
              <w:spacing w:line="0" w:lineRule="atLeast"/>
              <w:ind w:firstLine="0" w:firstLineChars="0"/>
              <w:jc w:val="center"/>
            </w:pPr>
            <w:r>
              <w:rPr>
                <w:rFonts w:hint="eastAsia"/>
              </w:rPr>
              <w:t>对外做功</w:t>
            </w:r>
          </w:p>
          <w:p w14:paraId="36CB8E64">
            <w:pPr>
              <w:pStyle w:val="3"/>
              <w:spacing w:line="0" w:lineRule="atLeast"/>
              <w:ind w:firstLine="0" w:firstLineChars="0"/>
              <w:jc w:val="center"/>
            </w:pPr>
            <w:r>
              <w:t>(</w:t>
            </w:r>
            <w:r>
              <w:rPr>
                <w:rFonts w:hint="eastAsia"/>
              </w:rPr>
              <w:t>met</w:t>
            </w:r>
            <w:r>
              <w:t>)</w:t>
            </w:r>
          </w:p>
        </w:tc>
        <w:tc>
          <w:tcPr>
            <w:tcW w:w="1701" w:type="dxa"/>
            <w:shd w:val="clear" w:color="auto" w:fill="E6E6E6"/>
            <w:vAlign w:val="center"/>
          </w:tcPr>
          <w:p w14:paraId="3CACF9EE">
            <w:pPr>
              <w:pStyle w:val="3"/>
              <w:spacing w:line="0" w:lineRule="atLeast"/>
              <w:ind w:firstLine="0" w:firstLineChars="0"/>
              <w:jc w:val="center"/>
            </w:pPr>
            <w:r>
              <w:rPr>
                <w:rFonts w:hint="eastAsia"/>
              </w:rPr>
              <w:t>服装热阻</w:t>
            </w:r>
          </w:p>
          <w:p w14:paraId="7A7F65E9">
            <w:pPr>
              <w:pStyle w:val="3"/>
              <w:spacing w:line="0" w:lineRule="atLeast"/>
              <w:ind w:firstLine="0" w:firstLineChars="0"/>
              <w:jc w:val="center"/>
            </w:pPr>
            <w:r>
              <w:t>(</w:t>
            </w:r>
            <w:r>
              <w:rPr>
                <w:rFonts w:hint="eastAsia"/>
              </w:rPr>
              <w:t>clo</w:t>
            </w:r>
            <w:r>
              <w:t>)</w:t>
            </w:r>
          </w:p>
        </w:tc>
      </w:tr>
      <w:tr w14:paraId="3EA7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66DC0332">
            <w:pPr>
              <w:pStyle w:val="3"/>
              <w:ind w:firstLine="0" w:firstLineChars="0"/>
              <w:jc w:val="center"/>
            </w:pPr>
            <w:bookmarkStart w:id="49" w:name="温度"/>
            <w:r>
              <w:t>22.00</w:t>
            </w:r>
            <w:bookmarkEnd w:id="49"/>
          </w:p>
        </w:tc>
        <w:tc>
          <w:tcPr>
            <w:tcW w:w="1134" w:type="dxa"/>
          </w:tcPr>
          <w:p w14:paraId="14C2C26C">
            <w:pPr>
              <w:pStyle w:val="3"/>
              <w:ind w:firstLine="0" w:firstLineChars="0"/>
              <w:jc w:val="center"/>
            </w:pPr>
            <w:bookmarkStart w:id="50" w:name="风速"/>
            <w:r>
              <w:rPr>
                <w:rFonts w:hint="eastAsia"/>
              </w:rPr>
              <w:t>0.10</w:t>
            </w:r>
            <w:bookmarkEnd w:id="50"/>
          </w:p>
        </w:tc>
        <w:tc>
          <w:tcPr>
            <w:tcW w:w="1134" w:type="dxa"/>
          </w:tcPr>
          <w:p w14:paraId="62D06770">
            <w:pPr>
              <w:pStyle w:val="3"/>
              <w:ind w:left="-733" w:leftChars="-349" w:firstLine="942" w:firstLineChars="449"/>
              <w:jc w:val="center"/>
            </w:pPr>
            <w:bookmarkStart w:id="51" w:name="相对湿度"/>
            <w:r>
              <w:rPr>
                <w:rFonts w:hint="eastAsia"/>
              </w:rPr>
              <w:t>35.0</w:t>
            </w:r>
            <w:bookmarkEnd w:id="51"/>
          </w:p>
        </w:tc>
        <w:tc>
          <w:tcPr>
            <w:tcW w:w="1843" w:type="dxa"/>
          </w:tcPr>
          <w:p w14:paraId="59EA2C4F">
            <w:pPr>
              <w:pStyle w:val="3"/>
              <w:ind w:firstLine="0" w:firstLineChars="0"/>
              <w:jc w:val="center"/>
            </w:pPr>
            <w:bookmarkStart w:id="52" w:name="平均辐射温度"/>
            <w:r>
              <w:t>20.00</w:t>
            </w:r>
            <w:bookmarkEnd w:id="52"/>
          </w:p>
        </w:tc>
        <w:tc>
          <w:tcPr>
            <w:tcW w:w="1525" w:type="dxa"/>
          </w:tcPr>
          <w:p w14:paraId="7AA2EC57">
            <w:pPr>
              <w:pStyle w:val="3"/>
              <w:ind w:firstLine="0" w:firstLineChars="0"/>
              <w:jc w:val="center"/>
            </w:pPr>
            <w:bookmarkStart w:id="53" w:name="人体代谢"/>
            <w:r>
              <w:rPr>
                <w:rFonts w:hint="eastAsia"/>
              </w:rPr>
              <w:t>1.20</w:t>
            </w:r>
            <w:bookmarkEnd w:id="53"/>
          </w:p>
        </w:tc>
        <w:tc>
          <w:tcPr>
            <w:tcW w:w="1452" w:type="dxa"/>
          </w:tcPr>
          <w:p w14:paraId="35766C5C">
            <w:pPr>
              <w:pStyle w:val="3"/>
              <w:ind w:firstLine="0" w:firstLineChars="0"/>
              <w:jc w:val="center"/>
            </w:pPr>
            <w:bookmarkStart w:id="54" w:name="对外做功"/>
            <w:r>
              <w:rPr>
                <w:rFonts w:hint="eastAsia"/>
              </w:rPr>
              <w:t>0.00</w:t>
            </w:r>
            <w:bookmarkEnd w:id="54"/>
          </w:p>
        </w:tc>
        <w:tc>
          <w:tcPr>
            <w:tcW w:w="1701" w:type="dxa"/>
          </w:tcPr>
          <w:p w14:paraId="1777400D">
            <w:pPr>
              <w:pStyle w:val="3"/>
              <w:ind w:firstLine="0" w:firstLineChars="0"/>
              <w:jc w:val="center"/>
            </w:pPr>
            <w:bookmarkStart w:id="55" w:name="服装热阻"/>
            <w:r>
              <w:rPr>
                <w:rFonts w:hint="eastAsia"/>
              </w:rPr>
              <w:t>1.20</w:t>
            </w:r>
            <w:bookmarkEnd w:id="55"/>
          </w:p>
        </w:tc>
      </w:tr>
      <w:bookmarkEnd w:id="48"/>
    </w:tbl>
    <w:p w14:paraId="6AA99A5B">
      <w:pPr>
        <w:pStyle w:val="3"/>
        <w:ind w:firstLine="0" w:firstLineChars="0"/>
      </w:pPr>
    </w:p>
    <w:p w14:paraId="104C66A5">
      <w:pPr>
        <w:pStyle w:val="2"/>
      </w:pPr>
      <w:bookmarkStart w:id="56" w:name="_Toc31332"/>
      <w:r>
        <w:rPr>
          <w:rFonts w:hint="eastAsia"/>
        </w:rPr>
        <w:t>计算结果</w:t>
      </w:r>
      <w:bookmarkEnd w:id="56"/>
    </w:p>
    <w:p w14:paraId="6C9C05E9">
      <w:pPr>
        <w:pStyle w:val="4"/>
      </w:pPr>
      <w:bookmarkStart w:id="57" w:name="_Toc28214"/>
      <w:r>
        <w:rPr>
          <w:rFonts w:hint="eastAsia"/>
        </w:rPr>
        <w:t>PMV-PPD指标</w:t>
      </w:r>
      <w:bookmarkEnd w:id="57"/>
    </w:p>
    <w:p w14:paraId="7DDEBAD2">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14:paraId="08F482A3">
      <w:pPr>
        <w:pStyle w:val="3"/>
        <w:spacing w:after="156" w:afterLines="50"/>
        <w:ind w:firstLine="2260" w:firstLineChars="1072"/>
        <w:rPr>
          <w:rFonts w:ascii="宋体" w:hAnsi="宋体" w:cs="宋体"/>
          <w:b/>
          <w:bCs/>
          <w:color w:val="333333"/>
          <w:szCs w:val="18"/>
          <w:lang w:val="en-US"/>
        </w:rPr>
      </w:pPr>
    </w:p>
    <w:p w14:paraId="2F1563C4">
      <w:pPr>
        <w:pStyle w:val="3"/>
        <w:spacing w:after="156" w:afterLines="50"/>
        <w:ind w:firstLine="2260" w:firstLineChars="1072"/>
        <w:rPr>
          <w:rFonts w:ascii="宋体" w:hAnsi="宋体" w:cs="宋体"/>
          <w:b/>
          <w:bCs/>
          <w:color w:val="333333"/>
          <w:szCs w:val="18"/>
          <w:lang w:val="en-US"/>
        </w:rPr>
      </w:pPr>
    </w:p>
    <w:p w14:paraId="23AFF139">
      <w:pPr>
        <w:pStyle w:val="3"/>
        <w:spacing w:after="156" w:afterLines="50"/>
        <w:ind w:firstLine="198" w:firstLineChars="94"/>
        <w:jc w:val="center"/>
        <w:rPr>
          <w:rFonts w:ascii="宋体" w:hAnsi="宋体" w:cs="宋体"/>
          <w:b/>
          <w:bCs/>
          <w:color w:val="333333"/>
          <w:szCs w:val="18"/>
          <w:lang w:val="en-US"/>
        </w:rPr>
      </w:pPr>
      <w:r>
        <w:rPr>
          <w:rFonts w:hint="eastAsia" w:ascii="宋体" w:hAnsi="宋体" w:cs="宋体"/>
          <w:b/>
          <w:bCs/>
          <w:color w:val="333333"/>
          <w:szCs w:val="18"/>
          <w:lang w:val="en-US"/>
        </w:rPr>
        <w:t>表6．1   PMV-PPD整体评价指标</w:t>
      </w:r>
    </w:p>
    <w:tbl>
      <w:tblPr>
        <w:tblStyle w:val="21"/>
        <w:tblW w:w="10207" w:type="dxa"/>
        <w:tblInd w:w="-34" w:type="dxa"/>
        <w:tblLayout w:type="autofit"/>
        <w:tblCellMar>
          <w:top w:w="0" w:type="dxa"/>
          <w:left w:w="108" w:type="dxa"/>
          <w:bottom w:w="0" w:type="dxa"/>
          <w:right w:w="108" w:type="dxa"/>
        </w:tblCellMar>
      </w:tblPr>
      <w:tblGrid>
        <w:gridCol w:w="1780"/>
        <w:gridCol w:w="2190"/>
        <w:gridCol w:w="6237"/>
      </w:tblGrid>
      <w:tr w14:paraId="356347EE">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12D7B53">
            <w:pPr>
              <w:tabs>
                <w:tab w:val="left" w:pos="0"/>
              </w:tabs>
              <w:spacing w:line="240" w:lineRule="auto"/>
              <w:ind w:left="-817" w:leftChars="-389" w:firstLine="815" w:firstLineChars="453"/>
              <w:jc w:val="center"/>
              <w:rPr>
                <w:sz w:val="18"/>
              </w:rPr>
            </w:pPr>
            <w:r>
              <w:rPr>
                <w:sz w:val="18"/>
              </w:rPr>
              <w:t>等级</w:t>
            </w:r>
          </w:p>
        </w:tc>
        <w:tc>
          <w:tcPr>
            <w:tcW w:w="8427" w:type="dxa"/>
            <w:gridSpan w:val="2"/>
            <w:tcBorders>
              <w:top w:val="single" w:color="auto" w:sz="4" w:space="0"/>
              <w:left w:val="nil"/>
              <w:bottom w:val="single" w:color="auto" w:sz="4" w:space="0"/>
              <w:right w:val="single" w:color="auto" w:sz="4" w:space="0"/>
            </w:tcBorders>
            <w:shd w:val="clear" w:color="auto" w:fill="auto"/>
            <w:vAlign w:val="center"/>
          </w:tcPr>
          <w:p w14:paraId="27078903">
            <w:pPr>
              <w:tabs>
                <w:tab w:val="left" w:pos="0"/>
              </w:tabs>
              <w:spacing w:line="240" w:lineRule="auto"/>
              <w:jc w:val="center"/>
              <w:rPr>
                <w:sz w:val="18"/>
              </w:rPr>
            </w:pPr>
            <w:r>
              <w:rPr>
                <w:sz w:val="18"/>
              </w:rPr>
              <w:t>整体评价指标</w:t>
            </w:r>
          </w:p>
        </w:tc>
      </w:tr>
      <w:tr w14:paraId="7EB2671C">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72760298">
            <w:pPr>
              <w:tabs>
                <w:tab w:val="left" w:pos="-817"/>
              </w:tabs>
              <w:spacing w:line="240" w:lineRule="auto"/>
              <w:ind w:left="-817" w:leftChars="-389" w:firstLine="816" w:firstLineChars="371"/>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6FB0F074">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6237" w:type="dxa"/>
            <w:tcBorders>
              <w:top w:val="nil"/>
              <w:left w:val="nil"/>
              <w:bottom w:val="single" w:color="auto" w:sz="4" w:space="0"/>
              <w:right w:val="single" w:color="auto" w:sz="4" w:space="0"/>
            </w:tcBorders>
            <w:shd w:val="clear" w:color="auto" w:fill="auto"/>
            <w:vAlign w:val="center"/>
          </w:tcPr>
          <w:p w14:paraId="345F6BE6">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14:paraId="3C8754A3">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2F004AA3">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595FAD77">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6237" w:type="dxa"/>
            <w:tcBorders>
              <w:top w:val="nil"/>
              <w:left w:val="nil"/>
              <w:bottom w:val="single" w:color="auto" w:sz="4" w:space="0"/>
              <w:right w:val="single" w:color="auto" w:sz="4" w:space="0"/>
            </w:tcBorders>
            <w:shd w:val="clear" w:color="auto" w:fill="auto"/>
            <w:vAlign w:val="center"/>
          </w:tcPr>
          <w:p w14:paraId="73F98789">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14:paraId="12D0FDD0">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52BE18CB">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7FE59D5E">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6237" w:type="dxa"/>
            <w:tcBorders>
              <w:top w:val="nil"/>
              <w:left w:val="nil"/>
              <w:bottom w:val="single" w:color="auto" w:sz="4" w:space="0"/>
              <w:right w:val="single" w:color="auto" w:sz="4" w:space="0"/>
            </w:tcBorders>
            <w:shd w:val="clear" w:color="auto" w:fill="auto"/>
            <w:vAlign w:val="center"/>
          </w:tcPr>
          <w:p w14:paraId="6E494A40">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14:paraId="01C167FF">
      <w:pPr>
        <w:pStyle w:val="3"/>
        <w:ind w:firstLine="0" w:firstLineChars="0"/>
        <w:rPr>
          <w:color w:val="FF0000"/>
          <w:lang w:val="en-US"/>
        </w:rPr>
      </w:pPr>
    </w:p>
    <w:p w14:paraId="519FF06C">
      <w:pPr>
        <w:pStyle w:val="4"/>
      </w:pPr>
      <w:bookmarkStart w:id="58" w:name="达标统计表"/>
      <w:bookmarkEnd w:id="58"/>
      <w:bookmarkStart w:id="59" w:name="_Toc17361"/>
      <w:r>
        <w:rPr>
          <w:rFonts w:hint="eastAsia"/>
        </w:rPr>
        <w:t>达标情况</w:t>
      </w:r>
      <w:bookmarkEnd w:id="59"/>
    </w:p>
    <w:p w14:paraId="46AF9FB1">
      <w:pPr>
        <w:pStyle w:val="3"/>
        <w:ind w:left="143" w:leftChars="68" w:firstLine="420"/>
        <w:rPr>
          <w:lang w:val="en-US"/>
        </w:rPr>
      </w:pPr>
      <w:r>
        <w:rPr>
          <w:rFonts w:hint="eastAsia"/>
          <w:lang w:val="en-US"/>
        </w:rPr>
        <w:t>本项目结合前述计算参数对所有参评房间进行了PMV-PPD计算， PMV为</w:t>
      </w:r>
      <w:bookmarkStart w:id="60" w:name="PMV"/>
      <w:r>
        <w:rPr>
          <w:rFonts w:hint="eastAsia"/>
          <w:lang w:val="en-US"/>
        </w:rPr>
        <w:t>0.02</w:t>
      </w:r>
      <w:bookmarkEnd w:id="60"/>
      <w:r>
        <w:rPr>
          <w:rFonts w:hint="eastAsia"/>
          <w:lang w:val="en-US"/>
        </w:rPr>
        <w:t>，PPD为</w:t>
      </w:r>
      <w:bookmarkStart w:id="61" w:name="PPD"/>
      <w:r>
        <w:rPr>
          <w:rFonts w:hint="eastAsia"/>
          <w:lang w:val="en-US"/>
        </w:rPr>
        <w:t>5.01</w:t>
      </w:r>
      <w:bookmarkEnd w:id="61"/>
      <w:r>
        <w:rPr>
          <w:rFonts w:hint="eastAsia"/>
          <w:lang w:val="en-US"/>
        </w:rPr>
        <w:t>%，本项目房间内热湿环境参数分布均匀，因此达标面积比例为100%。</w:t>
      </w:r>
    </w:p>
    <w:p w14:paraId="23D392E4">
      <w:pPr>
        <w:spacing w:line="360" w:lineRule="exact"/>
        <w:ind w:firstLine="213" w:firstLineChars="97"/>
        <w:rPr>
          <w:sz w:val="22"/>
          <w:szCs w:val="24"/>
        </w:rPr>
      </w:pPr>
    </w:p>
    <w:p w14:paraId="2D2A2E45">
      <w:pPr>
        <w:spacing w:line="360" w:lineRule="exact"/>
        <w:ind w:firstLine="213" w:firstLineChars="97"/>
        <w:rPr>
          <w:sz w:val="32"/>
          <w:szCs w:val="32"/>
        </w:rPr>
      </w:pPr>
      <w:r>
        <w:rPr>
          <w:rFonts w:hint="eastAsia" w:ascii="黑体" w:hAnsi="黑体" w:eastAsia="黑体"/>
          <w:sz w:val="22"/>
          <w:szCs w:val="24"/>
        </w:rPr>
        <w:t>说明：建筑整体的PMV-PPD达标面积比例按照建筑各主要功能房间的计算值进行面积加权平均得出</w:t>
      </w:r>
      <w:r>
        <w:rPr>
          <w:rFonts w:hint="eastAsia"/>
          <w:sz w:val="22"/>
          <w:szCs w:val="24"/>
        </w:rPr>
        <w:t>。</w:t>
      </w:r>
    </w:p>
    <w:p w14:paraId="17F914BA">
      <w:pPr>
        <w:pStyle w:val="2"/>
      </w:pPr>
      <w:bookmarkStart w:id="62" w:name="_Toc44662482"/>
      <w:bookmarkStart w:id="63" w:name="_Toc15289"/>
      <w:bookmarkStart w:id="66" w:name="_GoBack"/>
      <w:bookmarkEnd w:id="66"/>
      <w:r>
        <w:rPr>
          <w:rFonts w:hint="eastAsia"/>
        </w:rPr>
        <w:t>结论</w:t>
      </w:r>
      <w:bookmarkEnd w:id="62"/>
      <w:bookmarkEnd w:id="63"/>
    </w:p>
    <w:p w14:paraId="46B94066">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级的面积比例为</w:t>
      </w:r>
      <w:bookmarkStart w:id="64" w:name="达标百分比"/>
      <w:r>
        <w:rPr>
          <w:rFonts w:hint="eastAsia"/>
          <w:lang w:val="en-US"/>
        </w:rPr>
        <w:t>100.00%</w:t>
      </w:r>
      <w:bookmarkEnd w:id="64"/>
      <w:r>
        <w:rPr>
          <w:rFonts w:hint="eastAsia"/>
          <w:lang w:val="en-US"/>
        </w:rPr>
        <w:t>，根据绿标5.2.9，应得</w:t>
      </w:r>
      <w:bookmarkStart w:id="65" w:name="得分"/>
      <w:r>
        <w:rPr>
          <w:rFonts w:hint="eastAsia"/>
          <w:lang w:val="en-US"/>
        </w:rPr>
        <w:t>8</w:t>
      </w:r>
      <w:bookmarkEnd w:id="65"/>
      <w:r>
        <w:rPr>
          <w:rFonts w:hint="eastAsia"/>
          <w:lang w:val="en-US"/>
        </w:rPr>
        <w:t>分。</w:t>
      </w:r>
    </w:p>
    <w:p w14:paraId="4019E36E">
      <w:pPr>
        <w:pStyle w:val="3"/>
        <w:ind w:firstLine="0" w:firstLineChars="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A00002EF" w:usb1="4000004B" w:usb2="00000000" w:usb3="00000000" w:csb0="2000009F" w:csb1="00000000"/>
  </w:font>
  <w:font w:name="Calibri Light">
    <w:altName w:val="RomanS"/>
    <w:panose1 w:val="020F0302020204030204"/>
    <w:charset w:val="00"/>
    <w:family w:val="swiss"/>
    <w:pitch w:val="default"/>
    <w:sig w:usb0="00000000" w:usb1="00000000" w:usb2="00000009"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AMGD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RomanS">
    <w:panose1 w:val="02000400000000000000"/>
    <w:charset w:val="00"/>
    <w:family w:val="auto"/>
    <w:pitch w:val="default"/>
    <w:sig w:usb0="00000207" w:usb1="00000000" w:usb2="00000000" w:usb3="00000000" w:csb0="000001FF" w:csb1="00000000"/>
  </w:font>
  <w:font w:name="Arial Unicode MS">
    <w:panose1 w:val="020B0604020202020204"/>
    <w:charset w:val="86"/>
    <w:family w:val="auto"/>
    <w:pitch w:val="default"/>
    <w:sig w:usb0="FFFFFFFF" w:usb1="E9FFFFFF" w:usb2="0000003F" w:usb3="00000000" w:csb0="603F01FF" w:csb1="FFFF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14:paraId="2C4EC9CB">
      <w:tblPrEx>
        <w:tblCellMar>
          <w:top w:w="0" w:type="dxa"/>
          <w:left w:w="108" w:type="dxa"/>
          <w:bottom w:w="0" w:type="dxa"/>
          <w:right w:w="108" w:type="dxa"/>
        </w:tblCellMar>
      </w:tblPrEx>
      <w:tc>
        <w:tcPr>
          <w:tcW w:w="3020" w:type="dxa"/>
          <w:shd w:val="clear" w:color="auto" w:fill="auto"/>
        </w:tcPr>
        <w:p w14:paraId="0D23203D">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14:paraId="5EFB0638">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7</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8</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798C1681">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5584DBA4">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FA9BE">
    <w:pPr>
      <w:pStyle w:val="17"/>
      <w:jc w:val="center"/>
      <w:rPr>
        <w:rFonts w:ascii="宋体" w:hAnsi="宋体"/>
        <w:szCs w:val="21"/>
      </w:rPr>
    </w:pPr>
  </w:p>
  <w:p w14:paraId="340357DA">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82CAC">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D5CB7"/>
    <w:rsid w:val="00000112"/>
    <w:rsid w:val="00005045"/>
    <w:rsid w:val="0000578F"/>
    <w:rsid w:val="0002001E"/>
    <w:rsid w:val="000219DF"/>
    <w:rsid w:val="00026604"/>
    <w:rsid w:val="00037A4C"/>
    <w:rsid w:val="00051007"/>
    <w:rsid w:val="00061E8B"/>
    <w:rsid w:val="000678A8"/>
    <w:rsid w:val="00067FD6"/>
    <w:rsid w:val="00070047"/>
    <w:rsid w:val="00073958"/>
    <w:rsid w:val="00081A16"/>
    <w:rsid w:val="000C1855"/>
    <w:rsid w:val="000C291D"/>
    <w:rsid w:val="000C3B77"/>
    <w:rsid w:val="000D0892"/>
    <w:rsid w:val="000D16B8"/>
    <w:rsid w:val="000D7A8A"/>
    <w:rsid w:val="000F14F7"/>
    <w:rsid w:val="000F63BF"/>
    <w:rsid w:val="000F7EF2"/>
    <w:rsid w:val="0010102D"/>
    <w:rsid w:val="00101EBF"/>
    <w:rsid w:val="00106871"/>
    <w:rsid w:val="001105DA"/>
    <w:rsid w:val="00111EDF"/>
    <w:rsid w:val="00112118"/>
    <w:rsid w:val="00112DC5"/>
    <w:rsid w:val="00117E84"/>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2AE4"/>
    <w:rsid w:val="001737F9"/>
    <w:rsid w:val="00176F98"/>
    <w:rsid w:val="001773DA"/>
    <w:rsid w:val="00184656"/>
    <w:rsid w:val="00186918"/>
    <w:rsid w:val="001A12A0"/>
    <w:rsid w:val="001A4175"/>
    <w:rsid w:val="001A7C37"/>
    <w:rsid w:val="001B04CB"/>
    <w:rsid w:val="001B44A0"/>
    <w:rsid w:val="001B453D"/>
    <w:rsid w:val="001B7C87"/>
    <w:rsid w:val="001C1C39"/>
    <w:rsid w:val="001D062E"/>
    <w:rsid w:val="001D3071"/>
    <w:rsid w:val="001D3BB9"/>
    <w:rsid w:val="001D7BE2"/>
    <w:rsid w:val="001E133A"/>
    <w:rsid w:val="00200587"/>
    <w:rsid w:val="00201812"/>
    <w:rsid w:val="00203163"/>
    <w:rsid w:val="00203A7D"/>
    <w:rsid w:val="00215EBC"/>
    <w:rsid w:val="00217F09"/>
    <w:rsid w:val="0022597C"/>
    <w:rsid w:val="00236D2F"/>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0E30"/>
    <w:rsid w:val="002E62F6"/>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630EE"/>
    <w:rsid w:val="0037000B"/>
    <w:rsid w:val="003747B9"/>
    <w:rsid w:val="0038554A"/>
    <w:rsid w:val="003857DF"/>
    <w:rsid w:val="003A50E3"/>
    <w:rsid w:val="003A6A7F"/>
    <w:rsid w:val="003B2E2C"/>
    <w:rsid w:val="003C04E5"/>
    <w:rsid w:val="003C51B9"/>
    <w:rsid w:val="003C5E51"/>
    <w:rsid w:val="003C5F3A"/>
    <w:rsid w:val="003D123E"/>
    <w:rsid w:val="003D3100"/>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75B5C"/>
    <w:rsid w:val="00481D85"/>
    <w:rsid w:val="00483193"/>
    <w:rsid w:val="00494ADE"/>
    <w:rsid w:val="0049520E"/>
    <w:rsid w:val="004A0D3B"/>
    <w:rsid w:val="004C7D33"/>
    <w:rsid w:val="004D230F"/>
    <w:rsid w:val="004D3820"/>
    <w:rsid w:val="004D449D"/>
    <w:rsid w:val="004D7AD4"/>
    <w:rsid w:val="004E2AEB"/>
    <w:rsid w:val="004E3413"/>
    <w:rsid w:val="004F0639"/>
    <w:rsid w:val="0050569B"/>
    <w:rsid w:val="005073D3"/>
    <w:rsid w:val="00511D13"/>
    <w:rsid w:val="00512B1A"/>
    <w:rsid w:val="005215FB"/>
    <w:rsid w:val="00530402"/>
    <w:rsid w:val="00535C7A"/>
    <w:rsid w:val="00537E4B"/>
    <w:rsid w:val="00540765"/>
    <w:rsid w:val="00547D69"/>
    <w:rsid w:val="00562403"/>
    <w:rsid w:val="005725E0"/>
    <w:rsid w:val="005755BA"/>
    <w:rsid w:val="0057764F"/>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D065D"/>
    <w:rsid w:val="005E2482"/>
    <w:rsid w:val="005F4F73"/>
    <w:rsid w:val="006105F7"/>
    <w:rsid w:val="0061226D"/>
    <w:rsid w:val="00612E00"/>
    <w:rsid w:val="006156D5"/>
    <w:rsid w:val="0062338D"/>
    <w:rsid w:val="006254D5"/>
    <w:rsid w:val="0062614A"/>
    <w:rsid w:val="00634E08"/>
    <w:rsid w:val="0064005D"/>
    <w:rsid w:val="00642309"/>
    <w:rsid w:val="00651F86"/>
    <w:rsid w:val="00653B24"/>
    <w:rsid w:val="00654C63"/>
    <w:rsid w:val="00656119"/>
    <w:rsid w:val="00656F67"/>
    <w:rsid w:val="00661405"/>
    <w:rsid w:val="00662EF0"/>
    <w:rsid w:val="006645DE"/>
    <w:rsid w:val="00670E9B"/>
    <w:rsid w:val="00672C75"/>
    <w:rsid w:val="0067336D"/>
    <w:rsid w:val="00674121"/>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4B7C"/>
    <w:rsid w:val="006E5E4E"/>
    <w:rsid w:val="006F0AC9"/>
    <w:rsid w:val="006F289F"/>
    <w:rsid w:val="006F3036"/>
    <w:rsid w:val="007064C5"/>
    <w:rsid w:val="007072BC"/>
    <w:rsid w:val="0071348B"/>
    <w:rsid w:val="0072222E"/>
    <w:rsid w:val="00726FC0"/>
    <w:rsid w:val="007278A4"/>
    <w:rsid w:val="00741470"/>
    <w:rsid w:val="007446D1"/>
    <w:rsid w:val="0074750E"/>
    <w:rsid w:val="0075153F"/>
    <w:rsid w:val="00751D7B"/>
    <w:rsid w:val="00754FB6"/>
    <w:rsid w:val="00757189"/>
    <w:rsid w:val="0076163C"/>
    <w:rsid w:val="00762314"/>
    <w:rsid w:val="007628A1"/>
    <w:rsid w:val="00782889"/>
    <w:rsid w:val="007868A7"/>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3CD7"/>
    <w:rsid w:val="00823E9B"/>
    <w:rsid w:val="00824BFB"/>
    <w:rsid w:val="00834E88"/>
    <w:rsid w:val="0083614F"/>
    <w:rsid w:val="00836F34"/>
    <w:rsid w:val="0084742B"/>
    <w:rsid w:val="00851CA4"/>
    <w:rsid w:val="0085605A"/>
    <w:rsid w:val="00856B3E"/>
    <w:rsid w:val="008659A5"/>
    <w:rsid w:val="00865A08"/>
    <w:rsid w:val="0086632A"/>
    <w:rsid w:val="0087011E"/>
    <w:rsid w:val="00876531"/>
    <w:rsid w:val="00880A06"/>
    <w:rsid w:val="00881C23"/>
    <w:rsid w:val="00883D6C"/>
    <w:rsid w:val="00886207"/>
    <w:rsid w:val="008870D0"/>
    <w:rsid w:val="00890F0D"/>
    <w:rsid w:val="008A48E6"/>
    <w:rsid w:val="008B115C"/>
    <w:rsid w:val="008B49CE"/>
    <w:rsid w:val="008B5F22"/>
    <w:rsid w:val="008C231A"/>
    <w:rsid w:val="008D7355"/>
    <w:rsid w:val="008E2A42"/>
    <w:rsid w:val="008E5E54"/>
    <w:rsid w:val="008F4DDA"/>
    <w:rsid w:val="00902A4F"/>
    <w:rsid w:val="00911402"/>
    <w:rsid w:val="0091222D"/>
    <w:rsid w:val="00920203"/>
    <w:rsid w:val="0092087D"/>
    <w:rsid w:val="00920FEB"/>
    <w:rsid w:val="00940C22"/>
    <w:rsid w:val="009471C2"/>
    <w:rsid w:val="00962A2D"/>
    <w:rsid w:val="00966AA0"/>
    <w:rsid w:val="009671F5"/>
    <w:rsid w:val="00972F40"/>
    <w:rsid w:val="00974ECB"/>
    <w:rsid w:val="00975F76"/>
    <w:rsid w:val="009812A9"/>
    <w:rsid w:val="009904E5"/>
    <w:rsid w:val="009962A4"/>
    <w:rsid w:val="00997AA2"/>
    <w:rsid w:val="009A2274"/>
    <w:rsid w:val="009A31E4"/>
    <w:rsid w:val="009A4F1F"/>
    <w:rsid w:val="009C1CEB"/>
    <w:rsid w:val="009C4238"/>
    <w:rsid w:val="009C4AB3"/>
    <w:rsid w:val="009E1A0E"/>
    <w:rsid w:val="009E2DE9"/>
    <w:rsid w:val="009F2CAC"/>
    <w:rsid w:val="00A11D6B"/>
    <w:rsid w:val="00A2117D"/>
    <w:rsid w:val="00A23D26"/>
    <w:rsid w:val="00A273C5"/>
    <w:rsid w:val="00A306C2"/>
    <w:rsid w:val="00A32590"/>
    <w:rsid w:val="00A327ED"/>
    <w:rsid w:val="00A352C9"/>
    <w:rsid w:val="00A355BD"/>
    <w:rsid w:val="00A35718"/>
    <w:rsid w:val="00A37A08"/>
    <w:rsid w:val="00A41C1F"/>
    <w:rsid w:val="00A4318E"/>
    <w:rsid w:val="00A566CB"/>
    <w:rsid w:val="00A67355"/>
    <w:rsid w:val="00A7462A"/>
    <w:rsid w:val="00A8181B"/>
    <w:rsid w:val="00A8393F"/>
    <w:rsid w:val="00A968A5"/>
    <w:rsid w:val="00AA0A05"/>
    <w:rsid w:val="00AA26C7"/>
    <w:rsid w:val="00AA47FE"/>
    <w:rsid w:val="00AB00F6"/>
    <w:rsid w:val="00AB3E6E"/>
    <w:rsid w:val="00AB5C98"/>
    <w:rsid w:val="00AC7C9E"/>
    <w:rsid w:val="00AC7EEF"/>
    <w:rsid w:val="00AD1722"/>
    <w:rsid w:val="00AD239C"/>
    <w:rsid w:val="00AD7F50"/>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4D39"/>
    <w:rsid w:val="00B754F3"/>
    <w:rsid w:val="00BA2C3C"/>
    <w:rsid w:val="00BB525F"/>
    <w:rsid w:val="00BB5BCC"/>
    <w:rsid w:val="00BB6E3E"/>
    <w:rsid w:val="00BD0C1B"/>
    <w:rsid w:val="00BE0E75"/>
    <w:rsid w:val="00BE1983"/>
    <w:rsid w:val="00BE4681"/>
    <w:rsid w:val="00BE75B4"/>
    <w:rsid w:val="00BE7E24"/>
    <w:rsid w:val="00BF173E"/>
    <w:rsid w:val="00BF7629"/>
    <w:rsid w:val="00C02F71"/>
    <w:rsid w:val="00C03066"/>
    <w:rsid w:val="00C04780"/>
    <w:rsid w:val="00C15B1A"/>
    <w:rsid w:val="00C3112C"/>
    <w:rsid w:val="00C35502"/>
    <w:rsid w:val="00C37EFB"/>
    <w:rsid w:val="00C50BDB"/>
    <w:rsid w:val="00C57197"/>
    <w:rsid w:val="00C63237"/>
    <w:rsid w:val="00C67778"/>
    <w:rsid w:val="00C72E58"/>
    <w:rsid w:val="00C86FAA"/>
    <w:rsid w:val="00C878DA"/>
    <w:rsid w:val="00C87AC6"/>
    <w:rsid w:val="00C976BE"/>
    <w:rsid w:val="00C97E25"/>
    <w:rsid w:val="00C97F88"/>
    <w:rsid w:val="00CA1378"/>
    <w:rsid w:val="00CA7B21"/>
    <w:rsid w:val="00CB0266"/>
    <w:rsid w:val="00CB0F5E"/>
    <w:rsid w:val="00CB2732"/>
    <w:rsid w:val="00CE1A11"/>
    <w:rsid w:val="00CE28AA"/>
    <w:rsid w:val="00CE6B55"/>
    <w:rsid w:val="00CF109A"/>
    <w:rsid w:val="00CF421E"/>
    <w:rsid w:val="00CF6330"/>
    <w:rsid w:val="00D13ABE"/>
    <w:rsid w:val="00D16A1C"/>
    <w:rsid w:val="00D23B17"/>
    <w:rsid w:val="00D24B83"/>
    <w:rsid w:val="00D24F54"/>
    <w:rsid w:val="00D256CB"/>
    <w:rsid w:val="00D32543"/>
    <w:rsid w:val="00D40158"/>
    <w:rsid w:val="00D408D4"/>
    <w:rsid w:val="00D433C1"/>
    <w:rsid w:val="00D43C46"/>
    <w:rsid w:val="00D45229"/>
    <w:rsid w:val="00D45C26"/>
    <w:rsid w:val="00D45D1C"/>
    <w:rsid w:val="00D471DD"/>
    <w:rsid w:val="00D5111E"/>
    <w:rsid w:val="00D51770"/>
    <w:rsid w:val="00D56084"/>
    <w:rsid w:val="00D5677E"/>
    <w:rsid w:val="00D57354"/>
    <w:rsid w:val="00D62A9A"/>
    <w:rsid w:val="00D65239"/>
    <w:rsid w:val="00D65980"/>
    <w:rsid w:val="00D75C7F"/>
    <w:rsid w:val="00D9645E"/>
    <w:rsid w:val="00DA0532"/>
    <w:rsid w:val="00DA4173"/>
    <w:rsid w:val="00DA66B2"/>
    <w:rsid w:val="00DB09A4"/>
    <w:rsid w:val="00DC23A4"/>
    <w:rsid w:val="00DC5E38"/>
    <w:rsid w:val="00DC62E7"/>
    <w:rsid w:val="00DC73AD"/>
    <w:rsid w:val="00DD16C4"/>
    <w:rsid w:val="00DD2870"/>
    <w:rsid w:val="00DE45C9"/>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556AF"/>
    <w:rsid w:val="00E60BFC"/>
    <w:rsid w:val="00E660D6"/>
    <w:rsid w:val="00E70F7F"/>
    <w:rsid w:val="00E71579"/>
    <w:rsid w:val="00E81ACD"/>
    <w:rsid w:val="00E872A7"/>
    <w:rsid w:val="00E90F14"/>
    <w:rsid w:val="00EA58C9"/>
    <w:rsid w:val="00EA5DEE"/>
    <w:rsid w:val="00EB07D7"/>
    <w:rsid w:val="00EB1BD1"/>
    <w:rsid w:val="00EB6181"/>
    <w:rsid w:val="00EB67C0"/>
    <w:rsid w:val="00EC43F8"/>
    <w:rsid w:val="00EC749D"/>
    <w:rsid w:val="00ED6BB7"/>
    <w:rsid w:val="00EE1BA7"/>
    <w:rsid w:val="00EE4137"/>
    <w:rsid w:val="00EE68A9"/>
    <w:rsid w:val="00EE7411"/>
    <w:rsid w:val="00EF3DA5"/>
    <w:rsid w:val="00EF60A9"/>
    <w:rsid w:val="00EF7114"/>
    <w:rsid w:val="00EF7501"/>
    <w:rsid w:val="00F0656F"/>
    <w:rsid w:val="00F30C12"/>
    <w:rsid w:val="00F418EC"/>
    <w:rsid w:val="00F5023B"/>
    <w:rsid w:val="00F56160"/>
    <w:rsid w:val="00F663D7"/>
    <w:rsid w:val="00F676B0"/>
    <w:rsid w:val="00F67DF1"/>
    <w:rsid w:val="00F7520A"/>
    <w:rsid w:val="00F75DD1"/>
    <w:rsid w:val="00F94B8E"/>
    <w:rsid w:val="00F97363"/>
    <w:rsid w:val="00FA4B87"/>
    <w:rsid w:val="00FA58D9"/>
    <w:rsid w:val="00FA692C"/>
    <w:rsid w:val="00FB28FF"/>
    <w:rsid w:val="00FC7756"/>
    <w:rsid w:val="00FE46F3"/>
    <w:rsid w:val="00FE4CC4"/>
    <w:rsid w:val="00FE79B9"/>
    <w:rsid w:val="00FF2243"/>
    <w:rsid w:val="00FF7345"/>
    <w:rsid w:val="185D5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字符"/>
    <w:link w:val="2"/>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uiPriority w:val="0"/>
    <w:rPr>
      <w:rFonts w:ascii="宋体" w:hAnsi="宋体" w:cs="Arial"/>
      <w:b/>
      <w:bCs/>
      <w:sz w:val="21"/>
      <w:szCs w:val="21"/>
    </w:rPr>
  </w:style>
  <w:style w:type="character" w:customStyle="1" w:styleId="34">
    <w:name w:val="批注框文本 字符"/>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 w:type="paragraph" w:customStyle="1" w:styleId="45">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7705-9357-42DC-986F-D6FADA7026C2}">
  <ds:schemaRefs/>
</ds:datastoreItem>
</file>

<file path=docProps/app.xml><?xml version="1.0" encoding="utf-8"?>
<Properties xmlns="http://schemas.openxmlformats.org/officeDocument/2006/extended-properties" xmlns:vt="http://schemas.openxmlformats.org/officeDocument/2006/docPropsVTypes">
  <Template>tmp8.dotx</Template>
  <Pages>8</Pages>
  <Words>1727</Words>
  <Characters>2178</Characters>
  <Lines>23</Lines>
  <Paragraphs>6</Paragraphs>
  <TotalTime>0</TotalTime>
  <ScaleCrop>false</ScaleCrop>
  <LinksUpToDate>false</LinksUpToDate>
  <CharactersWithSpaces>3170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2024-12-06T08:33:00Z</dcterms:created>
  <dc:creator>Administrator</dc:creator>
  <cp:lastModifiedBy>Administrator</cp:lastModifiedBy>
  <dcterms:modified xsi:type="dcterms:W3CDTF">2024-12-06T08:34:43Z</dcterms:modified>
  <dc:title>室内热湿环境预计达标比例报告书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3DDC17DC3BBC4CFAA5878FF9D961F4B7_11</vt:lpwstr>
  </property>
  <property fmtid="{D5CDD505-2E9C-101B-9397-08002B2CF9AE}" pid="3" name="KSOProductBuildVer">
    <vt:lpwstr>2052-12.1.0.18912</vt:lpwstr>
  </property>
</Properties>
</file>