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063763">
      <w:pPr>
        <w:pStyle w:val="2"/>
        <w:jc w:val="center"/>
        <w:rPr>
          <w:rFonts w:hint="eastAsia" w:ascii="宋体" w:hAnsi="宋体" w:eastAsia="宋体" w:cs="宋体"/>
        </w:rPr>
      </w:pPr>
      <w:bookmarkStart w:id="0" w:name="_Hlk155018024"/>
      <w:bookmarkEnd w:id="0"/>
      <w:r>
        <w:rPr>
          <w:rFonts w:hint="eastAsia" w:ascii="宋体" w:hAnsi="宋体" w:eastAsia="宋体" w:cs="宋体"/>
        </w:rPr>
        <w:t>建筑通风改造说明</w:t>
      </w:r>
    </w:p>
    <w:p w14:paraId="1996BB8C">
      <w:pPr>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一、项目背景与概述</w:t>
      </w:r>
    </w:p>
    <w:p w14:paraId="73670A64">
      <w:pPr>
        <w:rPr>
          <w:rFonts w:hint="eastAsia" w:asciiTheme="minorEastAsia" w:hAnsiTheme="minorEastAsia" w:eastAsiaTheme="minorEastAsia" w:cstheme="minorEastAsia"/>
          <w:sz w:val="28"/>
          <w:szCs w:val="28"/>
        </w:rPr>
      </w:pPr>
    </w:p>
    <w:p w14:paraId="6A37D500">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南昌市这座历史悠久而又充满活力的城市中，幼儿教育作为社会发展的重要组成部分，一直备受关注。然而，随着时代的进步和人们对生活品质要求的提高，传统幼儿园建筑在节能、环保、舒适度等方面已难以满足现代教育的需求。因此，我们决定对南昌市某幼儿园进行节能改造，旨在通过一系列科学、合理的设计措施，提升幼儿园的能效水平，为孩子们创造一个更加健康、舒适、绿色的学习生活环境。</w:t>
      </w:r>
    </w:p>
    <w:p w14:paraId="14728F65">
      <w:pPr>
        <w:rPr>
          <w:rFonts w:hint="eastAsia" w:asciiTheme="minorEastAsia" w:hAnsiTheme="minorEastAsia" w:eastAsiaTheme="minorEastAsia" w:cstheme="minorEastAsia"/>
          <w:sz w:val="24"/>
          <w:szCs w:val="24"/>
        </w:rPr>
      </w:pPr>
    </w:p>
    <w:p w14:paraId="46C505AD">
      <w:pPr>
        <w:spacing w:after="156"/>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本次大赛</w:t>
      </w:r>
      <w:r>
        <w:rPr>
          <w:rFonts w:hint="eastAsia" w:ascii="宋体" w:hAnsi="宋体" w:eastAsia="宋体" w:cs="宋体"/>
          <w:sz w:val="24"/>
          <w:szCs w:val="24"/>
        </w:rPr>
        <w:t>项目</w:t>
      </w:r>
      <w:r>
        <w:rPr>
          <w:rFonts w:hint="eastAsia" w:ascii="宋体" w:hAnsi="宋体" w:eastAsia="宋体" w:cs="宋体"/>
          <w:sz w:val="24"/>
          <w:szCs w:val="24"/>
          <w:lang w:val="en-US" w:eastAsia="zh-CN"/>
        </w:rPr>
        <w:t>是一个</w:t>
      </w:r>
      <w:r>
        <w:rPr>
          <w:rFonts w:hint="eastAsia" w:ascii="宋体" w:hAnsi="宋体" w:eastAsia="宋体" w:cs="宋体"/>
          <w:sz w:val="24"/>
          <w:szCs w:val="24"/>
        </w:rPr>
        <w:t>位于南昌市某</w:t>
      </w:r>
      <w:r>
        <w:rPr>
          <w:rFonts w:hint="eastAsia" w:ascii="宋体" w:hAnsi="宋体" w:eastAsia="宋体" w:cs="宋体"/>
          <w:sz w:val="24"/>
          <w:szCs w:val="24"/>
          <w:lang w:val="en-US" w:eastAsia="zh-CN"/>
        </w:rPr>
        <w:t>核心</w:t>
      </w:r>
      <w:r>
        <w:rPr>
          <w:rFonts w:hint="eastAsia" w:ascii="宋体" w:hAnsi="宋体" w:eastAsia="宋体" w:cs="宋体"/>
          <w:sz w:val="24"/>
          <w:szCs w:val="24"/>
        </w:rPr>
        <w:t>地段</w:t>
      </w:r>
      <w:r>
        <w:rPr>
          <w:rFonts w:hint="eastAsia" w:ascii="宋体" w:hAnsi="宋体" w:eastAsia="宋体" w:cs="宋体"/>
          <w:sz w:val="24"/>
          <w:szCs w:val="24"/>
          <w:lang w:val="en-US" w:eastAsia="zh-CN"/>
        </w:rPr>
        <w:t>的幼儿园</w:t>
      </w:r>
      <w:r>
        <w:rPr>
          <w:rFonts w:hint="eastAsia" w:ascii="宋体" w:hAnsi="宋体" w:eastAsia="宋体" w:cs="宋体"/>
          <w:sz w:val="24"/>
          <w:szCs w:val="24"/>
        </w:rPr>
        <w:t>，占地面积适中，周边环境优美，交通便利。</w:t>
      </w:r>
      <w:r>
        <w:rPr>
          <w:rFonts w:hint="eastAsia" w:ascii="宋体" w:hAnsi="宋体" w:eastAsia="宋体" w:cs="宋体"/>
          <w:sz w:val="24"/>
          <w:szCs w:val="24"/>
          <w:lang w:val="en-US" w:eastAsia="zh-CN"/>
        </w:rPr>
        <w:t>该</w:t>
      </w:r>
      <w:r>
        <w:rPr>
          <w:rFonts w:hint="eastAsia" w:ascii="宋体" w:hAnsi="宋体" w:eastAsia="宋体" w:cs="宋体"/>
          <w:sz w:val="24"/>
          <w:szCs w:val="24"/>
        </w:rPr>
        <w:t>幼儿园</w:t>
      </w:r>
      <w:r>
        <w:rPr>
          <w:rFonts w:hint="eastAsia" w:ascii="宋体" w:hAnsi="宋体" w:eastAsia="宋体" w:cs="宋体"/>
          <w:sz w:val="24"/>
          <w:szCs w:val="24"/>
          <w:lang w:val="en-US" w:eastAsia="zh-CN"/>
        </w:rPr>
        <w:t>为三层建筑，</w:t>
      </w:r>
      <w:r>
        <w:rPr>
          <w:rFonts w:hint="eastAsia" w:ascii="宋体" w:hAnsi="宋体" w:eastAsia="宋体" w:cs="宋体"/>
          <w:sz w:val="24"/>
          <w:szCs w:val="24"/>
        </w:rPr>
        <w:t>建筑面积</w:t>
      </w:r>
      <w:r>
        <w:rPr>
          <w:rFonts w:hint="eastAsia" w:ascii="宋体" w:hAnsi="宋体" w:eastAsia="宋体" w:cs="宋体"/>
          <w:sz w:val="24"/>
          <w:szCs w:val="24"/>
          <w:lang w:val="en-US" w:eastAsia="zh-CN"/>
        </w:rPr>
        <w:t>2631.22</w:t>
      </w:r>
      <w:r>
        <w:rPr>
          <w:rFonts w:hint="eastAsia" w:ascii="宋体" w:hAnsi="宋体" w:eastAsia="宋体" w:cs="宋体"/>
          <w:sz w:val="24"/>
          <w:szCs w:val="24"/>
        </w:rPr>
        <w:t>平方米，建筑总高度</w:t>
      </w:r>
      <w:r>
        <w:rPr>
          <w:rFonts w:hint="eastAsia" w:ascii="宋体" w:hAnsi="宋体" w:eastAsia="宋体" w:cs="宋体"/>
          <w:sz w:val="24"/>
          <w:szCs w:val="24"/>
          <w:lang w:val="en-US" w:eastAsia="zh-CN"/>
        </w:rPr>
        <w:t>11.85</w:t>
      </w:r>
      <w:r>
        <w:rPr>
          <w:rFonts w:hint="eastAsia" w:ascii="宋体" w:hAnsi="宋体" w:eastAsia="宋体" w:cs="宋体"/>
          <w:sz w:val="24"/>
          <w:szCs w:val="24"/>
        </w:rPr>
        <w:t>米。本建筑为一类建筑，使用年限50年，耐火等级为一级，防水等级为二级。建筑物室内外高差为300，绝对高程由施工现场确定。</w:t>
      </w:r>
      <w:r>
        <w:rPr>
          <w:rFonts w:hint="eastAsia" w:ascii="宋体" w:hAnsi="宋体" w:eastAsia="宋体" w:cs="宋体"/>
          <w:sz w:val="24"/>
          <w:szCs w:val="24"/>
          <w:lang w:val="en-US" w:eastAsia="zh-CN"/>
        </w:rPr>
        <w:t>据实地调研们了解该幼儿园</w:t>
      </w:r>
      <w:r>
        <w:rPr>
          <w:rFonts w:hint="eastAsia" w:ascii="宋体" w:hAnsi="宋体" w:eastAsia="宋体" w:cs="宋体"/>
          <w:sz w:val="24"/>
          <w:szCs w:val="24"/>
        </w:rPr>
        <w:t>相关设计已滞后于当前的技术标准。改造前，幼儿园在能使用上存在诸多问题，如通风不畅等，这些问题不仅影响了孩子们的舒适度，还增加了幼儿园的运营成本。因此，我们决定对其进行全面的改造，以提升其</w:t>
      </w:r>
      <w:r>
        <w:rPr>
          <w:rFonts w:hint="eastAsia" w:ascii="宋体" w:hAnsi="宋体" w:eastAsia="宋体" w:cs="宋体"/>
          <w:sz w:val="24"/>
          <w:szCs w:val="24"/>
          <w:lang w:val="en-US" w:eastAsia="zh-CN"/>
        </w:rPr>
        <w:t>通风效果</w:t>
      </w:r>
      <w:r>
        <w:rPr>
          <w:rFonts w:hint="eastAsia" w:ascii="宋体" w:hAnsi="宋体" w:eastAsia="宋体" w:cs="宋体"/>
          <w:sz w:val="24"/>
          <w:szCs w:val="24"/>
        </w:rPr>
        <w:t>，实现绿色低碳的发展目标。</w:t>
      </w:r>
    </w:p>
    <w:p w14:paraId="6479DD65">
      <w:pPr>
        <w:rPr>
          <w:rFonts w:hint="eastAsia" w:ascii="宋体" w:hAnsi="宋体" w:eastAsia="宋体" w:cs="宋体"/>
          <w:b/>
          <w:bCs/>
          <w:sz w:val="28"/>
          <w:szCs w:val="28"/>
        </w:rPr>
      </w:pPr>
      <w:r>
        <w:rPr>
          <w:rFonts w:hint="eastAsia" w:ascii="宋体" w:hAnsi="宋体" w:eastAsia="宋体" w:cs="宋体"/>
          <w:b/>
          <w:bCs/>
          <w:sz w:val="28"/>
          <w:szCs w:val="28"/>
        </w:rPr>
        <w:t>二、现状分析</w:t>
      </w:r>
    </w:p>
    <w:p w14:paraId="2A9A80D6">
      <w:pPr>
        <w:spacing w:after="156"/>
        <w:ind w:firstLine="480" w:firstLineChars="200"/>
        <w:rPr>
          <w:rFonts w:hint="eastAsia" w:ascii="宋体" w:hAnsi="宋体" w:eastAsia="宋体" w:cs="宋体"/>
          <w:sz w:val="24"/>
          <w:szCs w:val="24"/>
        </w:rPr>
      </w:pPr>
    </w:p>
    <w:p w14:paraId="5CEE2353">
      <w:pPr>
        <w:rPr>
          <w:rFonts w:hint="eastAsia" w:ascii="宋体" w:hAnsi="宋体" w:eastAsia="宋体" w:cs="宋体"/>
          <w:sz w:val="24"/>
          <w:szCs w:val="24"/>
        </w:rPr>
      </w:pPr>
      <w:r>
        <w:rPr>
          <w:rFonts w:hint="eastAsia" w:ascii="宋体" w:hAnsi="宋体" w:eastAsia="宋体" w:cs="宋体"/>
          <w:sz w:val="24"/>
          <w:szCs w:val="24"/>
        </w:rPr>
        <w:t>1. 自然通风不足：部分教室和活动室的窗户面积较小，且分布不合理，导致自然通风不畅，空气流通受阻，室内空气易变得沉闷、污浊。</w:t>
      </w:r>
    </w:p>
    <w:p w14:paraId="04A77965">
      <w:pPr>
        <w:rPr>
          <w:rFonts w:hint="eastAsia" w:ascii="宋体" w:hAnsi="宋体" w:eastAsia="宋体" w:cs="宋体"/>
          <w:sz w:val="24"/>
          <w:szCs w:val="24"/>
        </w:rPr>
      </w:pPr>
      <w:r>
        <w:rPr>
          <w:rFonts w:hint="eastAsia" w:ascii="宋体" w:hAnsi="宋体" w:eastAsia="宋体" w:cs="宋体"/>
          <w:sz w:val="24"/>
          <w:szCs w:val="24"/>
        </w:rPr>
        <w:t>2. 机械通风系统老化：原有的通风设备运行多年，性能下降，送风量不足，换气效率低，无法有效排出室内的污浊空气和湿气，且噪音较大，影响幼儿的学习和休息。</w:t>
      </w:r>
    </w:p>
    <w:p w14:paraId="2C5E4AA6">
      <w:pPr>
        <w:rPr>
          <w:rFonts w:hint="eastAsia" w:ascii="宋体" w:hAnsi="宋体" w:eastAsia="宋体" w:cs="宋体"/>
          <w:sz w:val="24"/>
          <w:szCs w:val="24"/>
        </w:rPr>
      </w:pPr>
      <w:r>
        <w:rPr>
          <w:rFonts w:hint="eastAsia" w:ascii="宋体" w:hAnsi="宋体" w:eastAsia="宋体" w:cs="宋体"/>
          <w:sz w:val="24"/>
          <w:szCs w:val="24"/>
        </w:rPr>
        <w:t>3. 通风布局不合理：建筑内部的通风管道布局存在缺陷，部分区域存在通风死角，新鲜空气无法均匀送达各个角落，导致室内空气质量差异较大。</w:t>
      </w:r>
    </w:p>
    <w:p w14:paraId="7756426C">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  在幼儿园的部分儿童活动区域在冬天会出现风速大于2m/s的情况</w:t>
      </w:r>
    </w:p>
    <w:p w14:paraId="46F04EE8">
      <w:pPr>
        <w:spacing w:after="156"/>
        <w:rPr>
          <w:rFonts w:hint="eastAsia" w:ascii="宋体" w:hAnsi="宋体" w:eastAsia="宋体" w:cs="宋体"/>
          <w:sz w:val="24"/>
          <w:szCs w:val="24"/>
        </w:rPr>
      </w:pPr>
      <w:r>
        <w:rPr>
          <w:rFonts w:hint="eastAsia" w:ascii="宋体" w:hAnsi="宋体" w:eastAsia="宋体" w:cs="宋体"/>
          <w:lang w:val="en-US" w:eastAsia="zh-CN"/>
        </w:rPr>
        <w:t xml:space="preserve">5.  </w:t>
      </w:r>
      <w:r>
        <w:rPr>
          <w:rFonts w:hint="eastAsia" w:ascii="宋体" w:hAnsi="宋体" w:eastAsia="宋体" w:cs="宋体"/>
          <w:sz w:val="24"/>
          <w:szCs w:val="24"/>
        </w:rPr>
        <w:t>南昌市位于江西省中北部，地处亚热带季风气候区，四季分明，雨量充沛，光照充足。</w:t>
      </w:r>
      <w:r>
        <w:rPr>
          <w:rFonts w:hint="eastAsia" w:ascii="宋体" w:hAnsi="宋体" w:eastAsia="宋体" w:cs="宋体"/>
          <w:sz w:val="24"/>
          <w:szCs w:val="24"/>
          <w:lang w:val="en-US" w:eastAsia="zh-CN"/>
        </w:rPr>
        <w:t>热</w:t>
      </w:r>
      <w:r>
        <w:rPr>
          <w:rFonts w:hint="eastAsia" w:ascii="宋体" w:hAnsi="宋体" w:eastAsia="宋体" w:cs="宋体"/>
          <w:sz w:val="24"/>
          <w:szCs w:val="24"/>
        </w:rPr>
        <w:t>工分区为夏热冬冷地区，最冷月平均温度为0。89℃，最热月平均温度为29.52℃，日平均温度≤5℃的天数为50天，日平均温度≥25℃的天数为93天；南昌冬季室外平均风速3.4m/s，多为北风，其冬季室外最多风向的平均风速为4.8m/s；夏季室外平均风速2.3m/s，多为南风；年最多风向为北北东方向。</w:t>
      </w:r>
      <w:r>
        <w:rPr>
          <w:rFonts w:hint="eastAsia" w:ascii="宋体" w:hAnsi="宋体" w:eastAsia="宋体" w:cs="宋体"/>
          <w:sz w:val="24"/>
          <w:szCs w:val="24"/>
          <w:lang w:val="en-US" w:eastAsia="zh-CN"/>
        </w:rPr>
        <w:t>南昌</w:t>
      </w:r>
      <w:r>
        <w:rPr>
          <w:rFonts w:hint="eastAsia" w:ascii="宋体" w:hAnsi="宋体" w:eastAsia="宋体" w:cs="宋体"/>
          <w:sz w:val="24"/>
          <w:szCs w:val="24"/>
        </w:rPr>
        <w:t>夏季高温炎热，冬季湿冷多风，这些都对幼儿园的</w:t>
      </w:r>
      <w:r>
        <w:rPr>
          <w:rFonts w:hint="eastAsia" w:ascii="宋体" w:hAnsi="宋体" w:eastAsia="宋体" w:cs="宋体"/>
          <w:sz w:val="24"/>
          <w:szCs w:val="24"/>
          <w:lang w:val="en-US" w:eastAsia="zh-CN"/>
        </w:rPr>
        <w:t>通风</w:t>
      </w:r>
      <w:r>
        <w:rPr>
          <w:rFonts w:hint="eastAsia" w:ascii="宋体" w:hAnsi="宋体" w:eastAsia="宋体" w:cs="宋体"/>
          <w:sz w:val="24"/>
          <w:szCs w:val="24"/>
        </w:rPr>
        <w:t>设计提出了较高的求。</w:t>
      </w:r>
    </w:p>
    <w:p w14:paraId="61AFCD66">
      <w:pPr>
        <w:spacing w:after="156"/>
        <w:rPr>
          <w:rFonts w:hint="eastAsia" w:ascii="宋体" w:hAnsi="宋体" w:eastAsia="宋体" w:cs="宋体"/>
          <w:sz w:val="24"/>
          <w:szCs w:val="24"/>
        </w:rPr>
      </w:pPr>
    </w:p>
    <w:p w14:paraId="4DD900F8">
      <w:pPr>
        <w:spacing w:after="156"/>
        <w:rPr>
          <w:rFonts w:hint="eastAsia" w:ascii="宋体" w:hAnsi="宋体" w:eastAsia="宋体" w:cs="宋体"/>
          <w:b/>
          <w:bCs/>
          <w:sz w:val="28"/>
          <w:szCs w:val="28"/>
        </w:rPr>
      </w:pPr>
      <w:r>
        <w:rPr>
          <w:rFonts w:hint="eastAsia" w:ascii="宋体" w:hAnsi="宋体" w:eastAsia="宋体" w:cs="宋体"/>
          <w:b/>
          <w:bCs/>
          <w:sz w:val="28"/>
          <w:szCs w:val="28"/>
        </w:rPr>
        <w:t>三、改造目标</w:t>
      </w:r>
    </w:p>
    <w:p w14:paraId="157C6389">
      <w:pPr>
        <w:spacing w:after="156"/>
        <w:rPr>
          <w:rFonts w:hint="eastAsia" w:ascii="宋体" w:hAnsi="宋体" w:eastAsia="宋体" w:cs="宋体"/>
          <w:sz w:val="24"/>
          <w:szCs w:val="24"/>
        </w:rPr>
      </w:pPr>
      <w:r>
        <w:rPr>
          <w:rFonts w:hint="eastAsia" w:ascii="宋体" w:hAnsi="宋体" w:eastAsia="宋体" w:cs="宋体"/>
          <w:sz w:val="24"/>
          <w:szCs w:val="24"/>
        </w:rPr>
        <w:t xml:space="preserve"> </w:t>
      </w:r>
    </w:p>
    <w:p w14:paraId="6FF99500">
      <w:pPr>
        <w:spacing w:after="156"/>
        <w:rPr>
          <w:rFonts w:hint="eastAsia" w:ascii="宋体" w:hAnsi="宋体" w:eastAsia="宋体" w:cs="宋体"/>
          <w:sz w:val="24"/>
          <w:szCs w:val="24"/>
        </w:rPr>
      </w:pPr>
      <w:r>
        <w:rPr>
          <w:rFonts w:hint="eastAsia" w:ascii="宋体" w:hAnsi="宋体" w:eastAsia="宋体" w:cs="宋体"/>
          <w:sz w:val="24"/>
          <w:szCs w:val="24"/>
        </w:rPr>
        <w:t>1. 显著改善室内空气质量，使室内空气的</w:t>
      </w:r>
      <w:r>
        <w:rPr>
          <w:rFonts w:hint="eastAsia" w:ascii="宋体" w:hAnsi="宋体" w:eastAsia="宋体" w:cs="宋体"/>
          <w:sz w:val="24"/>
          <w:szCs w:val="24"/>
          <w:lang w:val="en-US" w:eastAsia="zh-CN"/>
        </w:rPr>
        <w:t>有机物，颗粒物</w:t>
      </w:r>
      <w:r>
        <w:rPr>
          <w:rFonts w:hint="eastAsia" w:ascii="宋体" w:hAnsi="宋体" w:eastAsia="宋体" w:cs="宋体"/>
          <w:sz w:val="24"/>
          <w:szCs w:val="24"/>
        </w:rPr>
        <w:t>含量等指标符合国家相关标准，确保幼儿能够呼吸到清新、健康的空气。</w:t>
      </w:r>
    </w:p>
    <w:p w14:paraId="7A0CDF40">
      <w:pPr>
        <w:spacing w:after="156"/>
        <w:rPr>
          <w:rFonts w:hint="eastAsia" w:ascii="宋体" w:hAnsi="宋体" w:eastAsia="宋体" w:cs="宋体"/>
          <w:sz w:val="24"/>
          <w:szCs w:val="24"/>
        </w:rPr>
      </w:pPr>
      <w:r>
        <w:rPr>
          <w:rFonts w:hint="eastAsia" w:ascii="宋体" w:hAnsi="宋体" w:eastAsia="宋体" w:cs="宋体"/>
          <w:sz w:val="24"/>
          <w:szCs w:val="24"/>
        </w:rPr>
        <w:t>2. 优化通风系统的运行效率，提高通风量和换气次数，增强空气流通，有效降低室内湿度，减少细菌滋生和异味产生的可能性。</w:t>
      </w:r>
    </w:p>
    <w:p w14:paraId="548E0FC5">
      <w:pPr>
        <w:spacing w:after="156"/>
        <w:rPr>
          <w:rFonts w:hint="eastAsia" w:ascii="宋体" w:hAnsi="宋体" w:eastAsia="宋体" w:cs="宋体"/>
          <w:sz w:val="24"/>
          <w:szCs w:val="24"/>
        </w:rPr>
      </w:pPr>
      <w:r>
        <w:rPr>
          <w:rFonts w:hint="eastAsia" w:ascii="宋体" w:hAnsi="宋体" w:eastAsia="宋体" w:cs="宋体"/>
          <w:sz w:val="24"/>
          <w:szCs w:val="24"/>
        </w:rPr>
        <w:t>3. 降低通风系统的噪音，为幼儿营造安静、舒适的学习和生活环境，避免噪音对幼儿身心健康的不良影响。</w:t>
      </w:r>
    </w:p>
    <w:p w14:paraId="7DD3F51F">
      <w:pPr>
        <w:spacing w:after="156"/>
        <w:rPr>
          <w:rFonts w:hint="eastAsia" w:ascii="宋体" w:hAnsi="宋体" w:eastAsia="宋体" w:cs="宋体"/>
          <w:sz w:val="24"/>
          <w:szCs w:val="24"/>
        </w:rPr>
      </w:pPr>
      <w:r>
        <w:rPr>
          <w:rFonts w:hint="eastAsia" w:ascii="宋体" w:hAnsi="宋体" w:eastAsia="宋体" w:cs="宋体"/>
          <w:b/>
          <w:bCs/>
          <w:sz w:val="28"/>
          <w:szCs w:val="28"/>
        </w:rPr>
        <w:t>四、改造方案</w:t>
      </w:r>
    </w:p>
    <w:p w14:paraId="10062634">
      <w:pPr>
        <w:numPr>
          <w:ilvl w:val="0"/>
          <w:numId w:val="1"/>
        </w:numPr>
        <w:spacing w:after="156"/>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室外风场改善</w:t>
      </w:r>
    </w:p>
    <w:p w14:paraId="0D3B68B2">
      <w:pPr>
        <w:numPr>
          <w:ilvl w:val="0"/>
          <w:numId w:val="0"/>
        </w:numPr>
        <w:spacing w:after="156"/>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在幼儿园风速过大的地方及其周边种植高大乔木树，并且增加围墙来降低幼儿园中儿童活动区域的风速以满足儿童活动的要求，提高儿童活动安全性。</w:t>
      </w:r>
    </w:p>
    <w:p w14:paraId="3E0BD234">
      <w:pPr>
        <w:spacing w:after="156"/>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自然通风优化</w:t>
      </w:r>
    </w:p>
    <w:p w14:paraId="2FF31320">
      <w:pPr>
        <w:spacing w:after="156"/>
        <w:ind w:firstLine="480" w:firstLineChars="200"/>
        <w:rPr>
          <w:rFonts w:hint="eastAsia" w:ascii="宋体" w:hAnsi="宋体" w:eastAsia="宋体" w:cs="宋体"/>
          <w:sz w:val="24"/>
          <w:szCs w:val="24"/>
        </w:rPr>
      </w:pPr>
      <w:r>
        <w:rPr>
          <w:rFonts w:hint="eastAsia" w:ascii="宋体" w:hAnsi="宋体" w:eastAsia="宋体" w:cs="宋体"/>
          <w:sz w:val="24"/>
          <w:szCs w:val="24"/>
        </w:rPr>
        <w:t>通风口增设与布局调整：在教室、活动室及寝室等空间的外墙合适位置增设通风口，并安装通风百叶，促进空气的对流循环。同时，规划通风口的高度和位置</w:t>
      </w:r>
      <w:r>
        <w:rPr>
          <w:rFonts w:hint="eastAsia" w:ascii="宋体" w:hAnsi="宋体" w:eastAsia="宋体" w:cs="宋体"/>
          <w:sz w:val="24"/>
          <w:szCs w:val="24"/>
          <w:lang w:val="en-US" w:eastAsia="zh-CN"/>
        </w:rPr>
        <w:t>使其布局更加合理</w:t>
      </w:r>
      <w:r>
        <w:rPr>
          <w:rFonts w:hint="eastAsia" w:ascii="宋体" w:hAnsi="宋体" w:eastAsia="宋体" w:cs="宋体"/>
          <w:sz w:val="24"/>
          <w:szCs w:val="24"/>
        </w:rPr>
        <w:t>，形成良好的通风路径，避免通风短路现象。</w:t>
      </w:r>
    </w:p>
    <w:p w14:paraId="6F5DBD76">
      <w:pPr>
        <w:spacing w:after="156"/>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 机械通风系统升级</w:t>
      </w:r>
    </w:p>
    <w:p w14:paraId="450335A4">
      <w:pPr>
        <w:spacing w:after="156"/>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将原有的柜式空调和挂式空调更换为水源热泵的中央空调系统，改善幼儿园机械通风的同时也达到了降低了能耗的目的。</w:t>
      </w:r>
    </w:p>
    <w:p w14:paraId="1C08CF65">
      <w:pPr>
        <w:numPr>
          <w:ilvl w:val="0"/>
          <w:numId w:val="2"/>
        </w:numPr>
        <w:spacing w:after="156"/>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改造结果</w:t>
      </w:r>
    </w:p>
    <w:p w14:paraId="04826260">
      <w:pPr>
        <w:numPr>
          <w:ilvl w:val="0"/>
          <w:numId w:val="0"/>
        </w:numPr>
        <w:spacing w:after="156"/>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1.室外模拟结果</w:t>
      </w:r>
    </w:p>
    <w:p w14:paraId="476AD497">
      <w:pPr>
        <w:numPr>
          <w:ilvl w:val="0"/>
          <w:numId w:val="0"/>
        </w:numPr>
        <w:spacing w:after="156"/>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w:t>
      </w:r>
      <w:r>
        <w:rPr>
          <w:rFonts w:hint="default" w:ascii="宋体" w:hAnsi="宋体" w:eastAsia="宋体" w:cs="宋体"/>
          <w:b w:val="0"/>
          <w:bCs w:val="0"/>
          <w:sz w:val="24"/>
          <w:szCs w:val="24"/>
          <w:lang w:val="en-US" w:eastAsia="zh-CN"/>
        </w:rPr>
        <w:drawing>
          <wp:inline distT="0" distB="0" distL="114300" distR="114300">
            <wp:extent cx="4728845" cy="2520950"/>
            <wp:effectExtent l="0" t="0" r="10795" b="889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4"/>
                  </pic:blipFill>
                  <pic:spPr>
                    <a:xfrm>
                      <a:off x="0" y="0"/>
                      <a:ext cx="4728845" cy="2520950"/>
                    </a:xfrm>
                    <a:prstGeom prst="rect">
                      <a:avLst/>
                    </a:prstGeom>
                  </pic:spPr>
                </pic:pic>
              </a:graphicData>
            </a:graphic>
          </wp:inline>
        </w:drawing>
      </w:r>
    </w:p>
    <w:p w14:paraId="3CDF6D0C">
      <w:pPr>
        <w:numPr>
          <w:ilvl w:val="0"/>
          <w:numId w:val="0"/>
        </w:numPr>
        <w:spacing w:after="156"/>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冬季风速放大系数云图</w:t>
      </w:r>
    </w:p>
    <w:p w14:paraId="2B9A4842">
      <w:pPr>
        <w:numPr>
          <w:ilvl w:val="0"/>
          <w:numId w:val="0"/>
        </w:numPr>
        <w:spacing w:after="156"/>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w:t>
      </w:r>
      <w:r>
        <w:rPr>
          <w:rFonts w:hint="default" w:ascii="宋体" w:hAnsi="宋体" w:eastAsia="宋体" w:cs="宋体"/>
          <w:b w:val="0"/>
          <w:bCs w:val="0"/>
          <w:sz w:val="24"/>
          <w:szCs w:val="24"/>
          <w:lang w:val="en-US" w:eastAsia="zh-CN"/>
        </w:rPr>
        <w:drawing>
          <wp:inline distT="0" distB="0" distL="114300" distR="114300">
            <wp:extent cx="4756785" cy="2726690"/>
            <wp:effectExtent l="0" t="0" r="13335" b="127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5"/>
                  </pic:blipFill>
                  <pic:spPr>
                    <a:xfrm>
                      <a:off x="0" y="0"/>
                      <a:ext cx="4756785" cy="2726690"/>
                    </a:xfrm>
                    <a:prstGeom prst="rect">
                      <a:avLst/>
                    </a:prstGeom>
                  </pic:spPr>
                </pic:pic>
              </a:graphicData>
            </a:graphic>
          </wp:inline>
        </w:drawing>
      </w:r>
    </w:p>
    <w:p w14:paraId="155A37BB">
      <w:pPr>
        <w:numPr>
          <w:ilvl w:val="0"/>
          <w:numId w:val="0"/>
        </w:numPr>
        <w:spacing w:after="156"/>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冬季速度矢量图</w:t>
      </w:r>
    </w:p>
    <w:p w14:paraId="057C8E64">
      <w:pPr>
        <w:numPr>
          <w:ilvl w:val="0"/>
          <w:numId w:val="0"/>
        </w:numPr>
        <w:spacing w:after="156"/>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w:t>
      </w:r>
      <w:r>
        <w:rPr>
          <w:rFonts w:hint="default" w:ascii="宋体" w:hAnsi="宋体" w:eastAsia="宋体" w:cs="宋体"/>
          <w:b w:val="0"/>
          <w:bCs w:val="0"/>
          <w:sz w:val="24"/>
          <w:szCs w:val="24"/>
          <w:lang w:val="en-US" w:eastAsia="zh-CN"/>
        </w:rPr>
        <w:drawing>
          <wp:inline distT="0" distB="0" distL="114300" distR="114300">
            <wp:extent cx="4704715" cy="2555240"/>
            <wp:effectExtent l="0" t="0" r="4445" b="508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6"/>
                  </pic:blipFill>
                  <pic:spPr>
                    <a:xfrm>
                      <a:off x="0" y="0"/>
                      <a:ext cx="4704715" cy="2555240"/>
                    </a:xfrm>
                    <a:prstGeom prst="rect">
                      <a:avLst/>
                    </a:prstGeom>
                  </pic:spPr>
                </pic:pic>
              </a:graphicData>
            </a:graphic>
          </wp:inline>
        </w:drawing>
      </w:r>
    </w:p>
    <w:p w14:paraId="628C62BE">
      <w:pPr>
        <w:numPr>
          <w:ilvl w:val="0"/>
          <w:numId w:val="0"/>
        </w:numPr>
        <w:spacing w:after="156"/>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冬季速度云图</w:t>
      </w:r>
    </w:p>
    <w:p w14:paraId="18B4A512">
      <w:pPr>
        <w:numPr>
          <w:ilvl w:val="0"/>
          <w:numId w:val="0"/>
        </w:numPr>
        <w:spacing w:after="156"/>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w:t>
      </w:r>
      <w:r>
        <w:rPr>
          <w:rFonts w:hint="default" w:ascii="宋体" w:hAnsi="宋体" w:eastAsia="宋体" w:cs="宋体"/>
          <w:b w:val="0"/>
          <w:bCs w:val="0"/>
          <w:sz w:val="24"/>
          <w:szCs w:val="24"/>
          <w:lang w:val="en-US" w:eastAsia="zh-CN"/>
        </w:rPr>
        <w:drawing>
          <wp:inline distT="0" distB="0" distL="114300" distR="114300">
            <wp:extent cx="4961255" cy="2806700"/>
            <wp:effectExtent l="0" t="0" r="6985" b="1270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7"/>
                  </pic:blipFill>
                  <pic:spPr>
                    <a:xfrm>
                      <a:off x="0" y="0"/>
                      <a:ext cx="4961255" cy="2806700"/>
                    </a:xfrm>
                    <a:prstGeom prst="rect">
                      <a:avLst/>
                    </a:prstGeom>
                  </pic:spPr>
                </pic:pic>
              </a:graphicData>
            </a:graphic>
          </wp:inline>
        </w:drawing>
      </w:r>
    </w:p>
    <w:p w14:paraId="085BCBAF">
      <w:pPr>
        <w:numPr>
          <w:ilvl w:val="0"/>
          <w:numId w:val="0"/>
        </w:numPr>
        <w:spacing w:after="156"/>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过渡季风速放大系数云图</w:t>
      </w:r>
    </w:p>
    <w:p w14:paraId="0DD2DBE4">
      <w:pPr>
        <w:numPr>
          <w:ilvl w:val="0"/>
          <w:numId w:val="0"/>
        </w:numPr>
        <w:spacing w:after="156"/>
        <w:rPr>
          <w:rFonts w:hint="default" w:ascii="宋体" w:hAnsi="宋体" w:eastAsia="宋体" w:cs="宋体"/>
          <w:b w:val="0"/>
          <w:bCs w:val="0"/>
          <w:sz w:val="24"/>
          <w:szCs w:val="24"/>
          <w:lang w:val="en-US" w:eastAsia="zh-CN"/>
        </w:rPr>
      </w:pPr>
    </w:p>
    <w:p w14:paraId="498BD71C">
      <w:pPr>
        <w:numPr>
          <w:ilvl w:val="0"/>
          <w:numId w:val="0"/>
        </w:numPr>
        <w:spacing w:after="156"/>
        <w:jc w:val="center"/>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drawing>
          <wp:inline distT="0" distB="0" distL="114300" distR="114300">
            <wp:extent cx="4857115" cy="2712085"/>
            <wp:effectExtent l="0" t="0" r="4445" b="635"/>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8"/>
                  </pic:blipFill>
                  <pic:spPr>
                    <a:xfrm>
                      <a:off x="0" y="0"/>
                      <a:ext cx="4857115" cy="2712085"/>
                    </a:xfrm>
                    <a:prstGeom prst="rect">
                      <a:avLst/>
                    </a:prstGeom>
                  </pic:spPr>
                </pic:pic>
              </a:graphicData>
            </a:graphic>
          </wp:inline>
        </w:drawing>
      </w:r>
    </w:p>
    <w:p w14:paraId="3A763D38">
      <w:pPr>
        <w:numPr>
          <w:ilvl w:val="0"/>
          <w:numId w:val="0"/>
        </w:numPr>
        <w:spacing w:after="156"/>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过渡季速度矢量图</w:t>
      </w:r>
    </w:p>
    <w:p w14:paraId="7EEC554A">
      <w:pPr>
        <w:numPr>
          <w:ilvl w:val="0"/>
          <w:numId w:val="0"/>
        </w:numPr>
        <w:spacing w:after="156"/>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w:t>
      </w:r>
      <w:r>
        <w:rPr>
          <w:rFonts w:hint="default" w:ascii="宋体" w:hAnsi="宋体" w:eastAsia="宋体" w:cs="宋体"/>
          <w:b w:val="0"/>
          <w:bCs w:val="0"/>
          <w:sz w:val="24"/>
          <w:szCs w:val="24"/>
          <w:lang w:val="en-US" w:eastAsia="zh-CN"/>
        </w:rPr>
        <w:drawing>
          <wp:inline distT="0" distB="0" distL="114300" distR="114300">
            <wp:extent cx="4962525" cy="2754630"/>
            <wp:effectExtent l="0" t="0" r="5715" b="381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pic:blipFill>
                  <pic:spPr>
                    <a:xfrm>
                      <a:off x="0" y="0"/>
                      <a:ext cx="4962525" cy="2754630"/>
                    </a:xfrm>
                    <a:prstGeom prst="rect">
                      <a:avLst/>
                    </a:prstGeom>
                  </pic:spPr>
                </pic:pic>
              </a:graphicData>
            </a:graphic>
          </wp:inline>
        </w:drawing>
      </w:r>
    </w:p>
    <w:p w14:paraId="3290D3CD">
      <w:pPr>
        <w:spacing w:after="156"/>
        <w:rPr>
          <w:rFonts w:hint="eastAsia" w:ascii="宋体" w:hAnsi="宋体" w:eastAsia="宋体" w:cs="宋体"/>
          <w:sz w:val="24"/>
          <w:szCs w:val="24"/>
        </w:rPr>
      </w:pPr>
    </w:p>
    <w:p w14:paraId="293A1918">
      <w:pPr>
        <w:numPr>
          <w:ilvl w:val="0"/>
          <w:numId w:val="0"/>
        </w:numPr>
        <w:spacing w:after="156"/>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过渡季速度云图</w:t>
      </w:r>
    </w:p>
    <w:p w14:paraId="36630800">
      <w:pPr>
        <w:numPr>
          <w:ilvl w:val="0"/>
          <w:numId w:val="0"/>
        </w:numPr>
        <w:spacing w:after="156"/>
        <w:jc w:val="center"/>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drawing>
          <wp:inline distT="0" distB="0" distL="114300" distR="114300">
            <wp:extent cx="4794885" cy="2593340"/>
            <wp:effectExtent l="0" t="0" r="5715" b="12700"/>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pic:blipFill>
                  <pic:spPr>
                    <a:xfrm>
                      <a:off x="0" y="0"/>
                      <a:ext cx="4794885" cy="2593340"/>
                    </a:xfrm>
                    <a:prstGeom prst="rect">
                      <a:avLst/>
                    </a:prstGeom>
                  </pic:spPr>
                </pic:pic>
              </a:graphicData>
            </a:graphic>
          </wp:inline>
        </w:drawing>
      </w:r>
    </w:p>
    <w:p w14:paraId="08F0AE5A">
      <w:pPr>
        <w:numPr>
          <w:ilvl w:val="0"/>
          <w:numId w:val="0"/>
        </w:numPr>
        <w:spacing w:after="156"/>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夏季风速放大系数云图</w:t>
      </w:r>
    </w:p>
    <w:p w14:paraId="550EC648">
      <w:pPr>
        <w:numPr>
          <w:ilvl w:val="0"/>
          <w:numId w:val="0"/>
        </w:numPr>
        <w:spacing w:after="156"/>
        <w:rPr>
          <w:rFonts w:hint="default" w:ascii="宋体" w:hAnsi="宋体" w:eastAsia="宋体" w:cs="宋体"/>
          <w:b w:val="0"/>
          <w:bCs w:val="0"/>
          <w:sz w:val="24"/>
          <w:szCs w:val="24"/>
          <w:lang w:val="en-US" w:eastAsia="zh-CN"/>
        </w:rPr>
      </w:pPr>
    </w:p>
    <w:p w14:paraId="1E213251">
      <w:pPr>
        <w:numPr>
          <w:ilvl w:val="0"/>
          <w:numId w:val="0"/>
        </w:numPr>
        <w:spacing w:after="156"/>
        <w:jc w:val="center"/>
        <w:rPr>
          <w:rFonts w:hint="eastAsia" w:ascii="宋体" w:hAnsi="宋体" w:eastAsia="宋体" w:cs="宋体"/>
          <w:b w:val="0"/>
          <w:bCs w:val="0"/>
          <w:sz w:val="24"/>
          <w:szCs w:val="24"/>
          <w:lang w:val="en-US" w:eastAsia="zh-CN"/>
        </w:rPr>
      </w:pPr>
    </w:p>
    <w:p w14:paraId="2E1E5ED8">
      <w:pPr>
        <w:numPr>
          <w:ilvl w:val="0"/>
          <w:numId w:val="0"/>
        </w:numPr>
        <w:spacing w:after="156"/>
        <w:jc w:val="center"/>
        <w:rPr>
          <w:rFonts w:hint="eastAsia" w:ascii="宋体" w:hAnsi="宋体" w:eastAsia="宋体" w:cs="宋体"/>
          <w:b w:val="0"/>
          <w:bCs w:val="0"/>
          <w:sz w:val="24"/>
          <w:szCs w:val="24"/>
          <w:lang w:val="en-US" w:eastAsia="zh-CN"/>
        </w:rPr>
      </w:pPr>
    </w:p>
    <w:p w14:paraId="77A70F63">
      <w:pPr>
        <w:numPr>
          <w:ilvl w:val="0"/>
          <w:numId w:val="0"/>
        </w:numPr>
        <w:spacing w:after="156"/>
        <w:jc w:val="center"/>
        <w:rPr>
          <w:rFonts w:hint="eastAsia" w:ascii="宋体" w:hAnsi="宋体" w:eastAsia="宋体" w:cs="宋体"/>
          <w:b w:val="0"/>
          <w:bCs w:val="0"/>
          <w:sz w:val="24"/>
          <w:szCs w:val="24"/>
          <w:lang w:val="en-US" w:eastAsia="zh-CN"/>
        </w:rPr>
      </w:pPr>
    </w:p>
    <w:p w14:paraId="2DC871B4">
      <w:pPr>
        <w:numPr>
          <w:ilvl w:val="0"/>
          <w:numId w:val="0"/>
        </w:numPr>
        <w:spacing w:after="156"/>
        <w:jc w:val="center"/>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drawing>
          <wp:inline distT="0" distB="0" distL="114300" distR="114300">
            <wp:extent cx="4761865" cy="2626360"/>
            <wp:effectExtent l="0" t="0" r="8255" b="1016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pic:blipFill>
                  <pic:spPr>
                    <a:xfrm>
                      <a:off x="0" y="0"/>
                      <a:ext cx="4761865" cy="2626360"/>
                    </a:xfrm>
                    <a:prstGeom prst="rect">
                      <a:avLst/>
                    </a:prstGeom>
                  </pic:spPr>
                </pic:pic>
              </a:graphicData>
            </a:graphic>
          </wp:inline>
        </w:drawing>
      </w:r>
    </w:p>
    <w:p w14:paraId="0D2C81ED">
      <w:pPr>
        <w:numPr>
          <w:ilvl w:val="0"/>
          <w:numId w:val="0"/>
        </w:numPr>
        <w:spacing w:after="156"/>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夏季速度矢量图</w:t>
      </w:r>
    </w:p>
    <w:p w14:paraId="6CE8AC20">
      <w:pPr>
        <w:numPr>
          <w:ilvl w:val="0"/>
          <w:numId w:val="0"/>
        </w:numPr>
        <w:spacing w:after="156"/>
        <w:jc w:val="center"/>
        <w:rPr>
          <w:rFonts w:hint="default" w:ascii="宋体" w:hAnsi="宋体" w:eastAsia="宋体" w:cs="宋体"/>
          <w:b w:val="0"/>
          <w:bCs w:val="0"/>
          <w:sz w:val="24"/>
          <w:szCs w:val="24"/>
          <w:lang w:val="en-US" w:eastAsia="zh-CN"/>
        </w:rPr>
      </w:pPr>
    </w:p>
    <w:p w14:paraId="73A06827">
      <w:pPr>
        <w:numPr>
          <w:ilvl w:val="0"/>
          <w:numId w:val="0"/>
        </w:numPr>
        <w:spacing w:after="156"/>
        <w:jc w:val="center"/>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drawing>
          <wp:inline distT="0" distB="0" distL="114300" distR="114300">
            <wp:extent cx="4775835" cy="2688590"/>
            <wp:effectExtent l="0" t="0" r="9525" b="8890"/>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1"/>
                  </pic:blipFill>
                  <pic:spPr>
                    <a:xfrm>
                      <a:off x="0" y="0"/>
                      <a:ext cx="4775835" cy="2688590"/>
                    </a:xfrm>
                    <a:prstGeom prst="rect">
                      <a:avLst/>
                    </a:prstGeom>
                  </pic:spPr>
                </pic:pic>
              </a:graphicData>
            </a:graphic>
          </wp:inline>
        </w:drawing>
      </w:r>
    </w:p>
    <w:p w14:paraId="2115E236">
      <w:pPr>
        <w:numPr>
          <w:ilvl w:val="0"/>
          <w:numId w:val="0"/>
        </w:numPr>
        <w:spacing w:after="156"/>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夏季速度云图</w:t>
      </w:r>
    </w:p>
    <w:p w14:paraId="45FC6A32">
      <w:pPr>
        <w:numPr>
          <w:numId w:val="0"/>
        </w:numPr>
        <w:spacing w:after="156"/>
        <w:ind w:leftChars="0"/>
        <w:jc w:val="both"/>
        <w:rPr>
          <w:rFonts w:hint="eastAsia" w:ascii="宋体" w:hAnsi="宋体" w:eastAsia="宋体" w:cs="宋体"/>
          <w:b w:val="0"/>
          <w:bCs w:val="0"/>
          <w:sz w:val="24"/>
          <w:szCs w:val="24"/>
          <w:lang w:val="en-US" w:eastAsia="zh-CN"/>
        </w:rPr>
      </w:pPr>
    </w:p>
    <w:p w14:paraId="7AB0B456">
      <w:pPr>
        <w:numPr>
          <w:numId w:val="0"/>
        </w:numPr>
        <w:spacing w:after="156"/>
        <w:ind w:leftChars="0"/>
        <w:jc w:val="both"/>
        <w:rPr>
          <w:rFonts w:hint="eastAsia" w:ascii="宋体" w:hAnsi="宋体" w:eastAsia="宋体" w:cs="宋体"/>
          <w:b w:val="0"/>
          <w:bCs w:val="0"/>
          <w:sz w:val="24"/>
          <w:szCs w:val="24"/>
          <w:lang w:val="en-US" w:eastAsia="zh-CN"/>
        </w:rPr>
      </w:pPr>
    </w:p>
    <w:p w14:paraId="781FBF67">
      <w:pPr>
        <w:numPr>
          <w:numId w:val="0"/>
        </w:numPr>
        <w:spacing w:after="156"/>
        <w:ind w:leftChars="0"/>
        <w:jc w:val="both"/>
        <w:rPr>
          <w:rFonts w:hint="eastAsia" w:ascii="宋体" w:hAnsi="宋体" w:eastAsia="宋体" w:cs="宋体"/>
          <w:b w:val="0"/>
          <w:bCs w:val="0"/>
          <w:sz w:val="24"/>
          <w:szCs w:val="24"/>
          <w:lang w:val="en-US" w:eastAsia="zh-CN"/>
        </w:rPr>
      </w:pPr>
    </w:p>
    <w:p w14:paraId="05DF56E7">
      <w:pPr>
        <w:numPr>
          <w:numId w:val="0"/>
        </w:numPr>
        <w:spacing w:after="156"/>
        <w:ind w:leftChars="0"/>
        <w:jc w:val="both"/>
        <w:rPr>
          <w:rFonts w:hint="eastAsia" w:ascii="宋体" w:hAnsi="宋体" w:eastAsia="宋体" w:cs="宋体"/>
          <w:b w:val="0"/>
          <w:bCs w:val="0"/>
          <w:sz w:val="24"/>
          <w:szCs w:val="24"/>
          <w:lang w:val="en-US" w:eastAsia="zh-CN"/>
        </w:rPr>
      </w:pPr>
    </w:p>
    <w:p w14:paraId="68F92D71">
      <w:pPr>
        <w:numPr>
          <w:numId w:val="0"/>
        </w:numPr>
        <w:spacing w:after="156"/>
        <w:ind w:leftChars="0"/>
        <w:jc w:val="both"/>
        <w:rPr>
          <w:rFonts w:hint="eastAsia" w:ascii="宋体" w:hAnsi="宋体" w:eastAsia="宋体" w:cs="宋体"/>
          <w:b w:val="0"/>
          <w:bCs w:val="0"/>
          <w:sz w:val="24"/>
          <w:szCs w:val="24"/>
          <w:lang w:val="en-US" w:eastAsia="zh-CN"/>
        </w:rPr>
      </w:pPr>
    </w:p>
    <w:p w14:paraId="13715595">
      <w:pPr>
        <w:numPr>
          <w:numId w:val="0"/>
        </w:numPr>
        <w:spacing w:after="156"/>
        <w:ind w:leftChars="0"/>
        <w:jc w:val="both"/>
        <w:rPr>
          <w:rFonts w:hint="eastAsia" w:ascii="宋体" w:hAnsi="宋体" w:eastAsia="宋体" w:cs="宋体"/>
          <w:b w:val="0"/>
          <w:bCs w:val="0"/>
          <w:sz w:val="24"/>
          <w:szCs w:val="24"/>
          <w:lang w:val="en-US" w:eastAsia="zh-CN"/>
        </w:rPr>
      </w:pPr>
    </w:p>
    <w:p w14:paraId="0F546CAF">
      <w:pPr>
        <w:numPr>
          <w:numId w:val="0"/>
        </w:numPr>
        <w:spacing w:after="156"/>
        <w:ind w:leftChars="0"/>
        <w:jc w:val="both"/>
        <w:rPr>
          <w:rFonts w:hint="eastAsia" w:ascii="宋体" w:hAnsi="宋体" w:eastAsia="宋体" w:cs="宋体"/>
          <w:b w:val="0"/>
          <w:bCs w:val="0"/>
          <w:sz w:val="24"/>
          <w:szCs w:val="24"/>
          <w:lang w:val="en-US" w:eastAsia="zh-CN"/>
        </w:rPr>
      </w:pPr>
    </w:p>
    <w:p w14:paraId="34E2A0F0">
      <w:pPr>
        <w:numPr>
          <w:numId w:val="0"/>
        </w:numPr>
        <w:spacing w:after="156"/>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2.室内模拟结果</w:t>
      </w:r>
    </w:p>
    <w:p w14:paraId="43B96FB2">
      <w:pPr>
        <w:numPr>
          <w:ilvl w:val="0"/>
          <w:numId w:val="0"/>
        </w:numPr>
        <w:spacing w:after="156"/>
        <w:ind w:leftChars="0"/>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w:t>
      </w:r>
      <w:r>
        <w:rPr>
          <w:rFonts w:hint="default" w:ascii="宋体" w:hAnsi="宋体" w:eastAsia="宋体" w:cs="宋体"/>
          <w:b w:val="0"/>
          <w:bCs w:val="0"/>
          <w:sz w:val="24"/>
          <w:szCs w:val="24"/>
          <w:lang w:val="en-US" w:eastAsia="zh-CN"/>
        </w:rPr>
        <w:drawing>
          <wp:inline distT="0" distB="0" distL="114300" distR="114300">
            <wp:extent cx="5271135" cy="2992755"/>
            <wp:effectExtent l="0" t="0" r="1905" b="9525"/>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2"/>
                  </pic:blipFill>
                  <pic:spPr>
                    <a:xfrm>
                      <a:off x="0" y="0"/>
                      <a:ext cx="5271135" cy="2992755"/>
                    </a:xfrm>
                    <a:prstGeom prst="rect">
                      <a:avLst/>
                    </a:prstGeom>
                  </pic:spPr>
                </pic:pic>
              </a:graphicData>
            </a:graphic>
          </wp:inline>
        </w:drawing>
      </w:r>
    </w:p>
    <w:p w14:paraId="3CCB3C1D">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1007过渡季流线图</w:t>
      </w:r>
    </w:p>
    <w:p w14:paraId="1DB57FF6">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71135" cy="2992755"/>
            <wp:effectExtent l="0" t="0" r="1905" b="9525"/>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3"/>
                  </pic:blipFill>
                  <pic:spPr>
                    <a:xfrm>
                      <a:off x="0" y="0"/>
                      <a:ext cx="5271135" cy="2992755"/>
                    </a:xfrm>
                    <a:prstGeom prst="rect">
                      <a:avLst/>
                    </a:prstGeom>
                  </pic:spPr>
                </pic:pic>
              </a:graphicData>
            </a:graphic>
          </wp:inline>
        </w:drawing>
      </w:r>
    </w:p>
    <w:p w14:paraId="15BD9719">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1007过渡季压强云图</w:t>
      </w:r>
    </w:p>
    <w:p w14:paraId="6BE43DB8">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71135" cy="2992755"/>
            <wp:effectExtent l="0" t="0" r="1905" b="9525"/>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4"/>
                  </pic:blipFill>
                  <pic:spPr>
                    <a:xfrm>
                      <a:off x="0" y="0"/>
                      <a:ext cx="5271135" cy="2992755"/>
                    </a:xfrm>
                    <a:prstGeom prst="rect">
                      <a:avLst/>
                    </a:prstGeom>
                  </pic:spPr>
                </pic:pic>
              </a:graphicData>
            </a:graphic>
          </wp:inline>
        </w:drawing>
      </w:r>
    </w:p>
    <w:p w14:paraId="1945FA68">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1010过渡季空气龄云图</w:t>
      </w:r>
    </w:p>
    <w:p w14:paraId="39D69049">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71135" cy="2992755"/>
            <wp:effectExtent l="0" t="0" r="1905" b="9525"/>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5"/>
                  </pic:blipFill>
                  <pic:spPr>
                    <a:xfrm>
                      <a:off x="0" y="0"/>
                      <a:ext cx="5271135" cy="2992755"/>
                    </a:xfrm>
                    <a:prstGeom prst="rect">
                      <a:avLst/>
                    </a:prstGeom>
                  </pic:spPr>
                </pic:pic>
              </a:graphicData>
            </a:graphic>
          </wp:inline>
        </w:drawing>
      </w:r>
    </w:p>
    <w:p w14:paraId="64F422E1">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1010过渡季速度云图</w:t>
      </w:r>
    </w:p>
    <w:p w14:paraId="7DA8CBFB">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71135" cy="2992755"/>
            <wp:effectExtent l="0" t="0" r="1905" b="9525"/>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6"/>
                  </pic:blipFill>
                  <pic:spPr>
                    <a:xfrm>
                      <a:off x="0" y="0"/>
                      <a:ext cx="5271135" cy="2992755"/>
                    </a:xfrm>
                    <a:prstGeom prst="rect">
                      <a:avLst/>
                    </a:prstGeom>
                  </pic:spPr>
                </pic:pic>
              </a:graphicData>
            </a:graphic>
          </wp:inline>
        </w:drawing>
      </w:r>
    </w:p>
    <w:p w14:paraId="101946E6">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2005过渡季南窗流线图</w:t>
      </w:r>
    </w:p>
    <w:p w14:paraId="3DE39417">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71135" cy="2992755"/>
            <wp:effectExtent l="0" t="0" r="1905" b="9525"/>
            <wp:docPr id="15" name="图片 15"/>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7"/>
                  </pic:blipFill>
                  <pic:spPr>
                    <a:xfrm>
                      <a:off x="0" y="0"/>
                      <a:ext cx="5271135" cy="2992755"/>
                    </a:xfrm>
                    <a:prstGeom prst="rect">
                      <a:avLst/>
                    </a:prstGeom>
                  </pic:spPr>
                </pic:pic>
              </a:graphicData>
            </a:graphic>
          </wp:inline>
        </w:drawing>
      </w:r>
    </w:p>
    <w:p w14:paraId="61CDC530">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2008过渡季速度矢量图</w:t>
      </w:r>
    </w:p>
    <w:p w14:paraId="712801BA">
      <w:pPr>
        <w:numPr>
          <w:ilvl w:val="0"/>
          <w:numId w:val="0"/>
        </w:numPr>
        <w:ind w:leftChars="0"/>
        <w:jc w:val="both"/>
        <w:rPr>
          <w:rFonts w:hint="default" w:ascii="宋体" w:hAnsi="宋体" w:eastAsia="宋体" w:cs="宋体"/>
          <w:sz w:val="24"/>
          <w:szCs w:val="24"/>
          <w:lang w:val="en-US" w:eastAsia="zh-CN"/>
        </w:rPr>
      </w:pPr>
    </w:p>
    <w:p w14:paraId="0618E345">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71135" cy="2992755"/>
            <wp:effectExtent l="0" t="0" r="1905" b="9525"/>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8"/>
                  </pic:blipFill>
                  <pic:spPr>
                    <a:xfrm>
                      <a:off x="0" y="0"/>
                      <a:ext cx="5271135" cy="2992755"/>
                    </a:xfrm>
                    <a:prstGeom prst="rect">
                      <a:avLst/>
                    </a:prstGeom>
                  </pic:spPr>
                </pic:pic>
              </a:graphicData>
            </a:graphic>
          </wp:inline>
        </w:drawing>
      </w:r>
    </w:p>
    <w:p w14:paraId="21C177EB">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3004过渡季速度流线图</w:t>
      </w:r>
    </w:p>
    <w:p w14:paraId="1342D25C">
      <w:pPr>
        <w:numPr>
          <w:ilvl w:val="0"/>
          <w:numId w:val="1"/>
        </w:numPr>
        <w:ind w:left="0"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换气次数</w:t>
      </w:r>
    </w:p>
    <w:tbl>
      <w:tblPr>
        <w:tblStyle w:val="5"/>
        <w:tblW w:w="5000" w:type="pct"/>
        <w:tblInd w:w="0" w:type="dxa"/>
        <w:tblLayout w:type="autofit"/>
        <w:tblCellMar>
          <w:top w:w="0" w:type="dxa"/>
          <w:left w:w="108" w:type="dxa"/>
          <w:bottom w:w="0" w:type="dxa"/>
          <w:right w:w="108" w:type="dxa"/>
        </w:tblCellMar>
      </w:tblPr>
      <w:tblGrid>
        <w:gridCol w:w="3961"/>
        <w:gridCol w:w="3287"/>
        <w:gridCol w:w="2465"/>
      </w:tblGrid>
      <w:tr w14:paraId="7165D471">
        <w:tblPrEx>
          <w:tblCellMar>
            <w:top w:w="0" w:type="dxa"/>
            <w:left w:w="108" w:type="dxa"/>
            <w:bottom w:w="0" w:type="dxa"/>
            <w:right w:w="108" w:type="dxa"/>
          </w:tblCellMar>
        </w:tblPrEx>
        <w:trPr>
          <w:trHeight w:val="405" w:hRule="atLeast"/>
        </w:trPr>
        <w:tc>
          <w:tcPr>
            <w:tcW w:w="5000" w:type="pct"/>
            <w:gridSpan w:val="3"/>
            <w:tcBorders>
              <w:top w:val="single" w:color="auto" w:sz="4" w:space="0"/>
              <w:left w:val="single" w:color="auto" w:sz="4" w:space="0"/>
              <w:bottom w:val="single" w:color="auto" w:sz="4" w:space="0"/>
              <w:right w:val="single" w:color="000000" w:sz="4" w:space="0"/>
            </w:tcBorders>
            <w:shd w:val="clear" w:color="000000" w:fill="DEDEDE"/>
            <w:noWrap/>
            <w:vAlign w:val="center"/>
          </w:tcPr>
          <w:p w14:paraId="7BA8E1B6">
            <w:pPr>
              <w:widowControl w:val="0"/>
              <w:spacing w:line="240" w:lineRule="auto"/>
              <w:jc w:val="center"/>
              <w:rPr>
                <w:kern w:val="2"/>
                <w:sz w:val="21"/>
                <w:szCs w:val="24"/>
                <w:lang w:val="en-US"/>
              </w:rPr>
            </w:pPr>
            <w:bookmarkStart w:id="1" w:name="统计计算表表头"/>
            <w:r>
              <w:rPr>
                <w:rFonts w:hint="eastAsia"/>
                <w:kern w:val="2"/>
                <w:sz w:val="21"/>
                <w:szCs w:val="24"/>
                <w:lang w:val="en-US"/>
              </w:rPr>
              <w:t>换气次数大于2次/h的面积比</w:t>
            </w:r>
          </w:p>
        </w:tc>
      </w:tr>
      <w:tr w14:paraId="5A0F5318">
        <w:tblPrEx>
          <w:tblCellMar>
            <w:top w:w="0" w:type="dxa"/>
            <w:left w:w="108" w:type="dxa"/>
            <w:bottom w:w="0" w:type="dxa"/>
            <w:right w:w="108" w:type="dxa"/>
          </w:tblCellMar>
        </w:tblPrEx>
        <w:trPr>
          <w:trHeight w:val="405" w:hRule="atLeast"/>
        </w:trPr>
        <w:tc>
          <w:tcPr>
            <w:tcW w:w="2039" w:type="pct"/>
            <w:tcBorders>
              <w:top w:val="nil"/>
              <w:left w:val="single" w:color="auto" w:sz="4" w:space="0"/>
              <w:bottom w:val="single" w:color="auto" w:sz="4" w:space="0"/>
              <w:right w:val="single" w:color="auto" w:sz="4" w:space="0"/>
            </w:tcBorders>
            <w:shd w:val="clear" w:color="auto" w:fill="auto"/>
            <w:noWrap/>
            <w:vAlign w:val="center"/>
          </w:tcPr>
          <w:p w14:paraId="26B2FBF9">
            <w:pPr>
              <w:widowControl w:val="0"/>
              <w:spacing w:line="240" w:lineRule="auto"/>
              <w:jc w:val="center"/>
              <w:rPr>
                <w:kern w:val="2"/>
                <w:sz w:val="21"/>
                <w:szCs w:val="24"/>
                <w:lang w:val="en-US"/>
              </w:rPr>
            </w:pPr>
            <w:r>
              <w:rPr>
                <w:rFonts w:hint="eastAsia"/>
                <w:kern w:val="2"/>
                <w:sz w:val="21"/>
                <w:szCs w:val="24"/>
                <w:lang w:val="en-US"/>
              </w:rPr>
              <w:t>换气次数大于2次/h的面积</w:t>
            </w:r>
          </w:p>
        </w:tc>
        <w:tc>
          <w:tcPr>
            <w:tcW w:w="1692" w:type="pct"/>
            <w:tcBorders>
              <w:top w:val="single" w:color="auto" w:sz="4" w:space="0"/>
              <w:left w:val="nil"/>
              <w:bottom w:val="single" w:color="auto" w:sz="4" w:space="0"/>
              <w:right w:val="single" w:color="auto" w:sz="4" w:space="0"/>
            </w:tcBorders>
            <w:shd w:val="clear" w:color="auto" w:fill="auto"/>
            <w:noWrap/>
            <w:vAlign w:val="center"/>
          </w:tcPr>
          <w:p w14:paraId="589FADE3">
            <w:pPr>
              <w:widowControl w:val="0"/>
              <w:spacing w:line="240" w:lineRule="auto"/>
              <w:jc w:val="center"/>
              <w:rPr>
                <w:kern w:val="2"/>
                <w:sz w:val="21"/>
                <w:szCs w:val="24"/>
                <w:lang w:val="en-US"/>
              </w:rPr>
            </w:pPr>
            <w:bookmarkStart w:id="2" w:name="面积分子"/>
            <w:r>
              <w:rPr>
                <w:rFonts w:hint="eastAsia"/>
                <w:kern w:val="2"/>
                <w:sz w:val="21"/>
                <w:szCs w:val="24"/>
                <w:lang w:val="en-US"/>
              </w:rPr>
              <w:t>1389.99</w:t>
            </w:r>
            <w:bookmarkEnd w:id="2"/>
          </w:p>
        </w:tc>
        <w:tc>
          <w:tcPr>
            <w:tcW w:w="1269" w:type="pct"/>
            <w:tcBorders>
              <w:top w:val="nil"/>
              <w:left w:val="nil"/>
              <w:bottom w:val="single" w:color="auto" w:sz="4" w:space="0"/>
              <w:right w:val="single" w:color="auto" w:sz="4" w:space="0"/>
            </w:tcBorders>
            <w:shd w:val="clear" w:color="auto" w:fill="auto"/>
            <w:noWrap/>
            <w:vAlign w:val="center"/>
          </w:tcPr>
          <w:p w14:paraId="41E2729B">
            <w:pPr>
              <w:widowControl w:val="0"/>
              <w:spacing w:line="240" w:lineRule="auto"/>
              <w:jc w:val="center"/>
              <w:rPr>
                <w:kern w:val="2"/>
                <w:sz w:val="21"/>
                <w:szCs w:val="24"/>
                <w:lang w:val="en-US"/>
              </w:rPr>
            </w:pPr>
            <w:r>
              <w:rPr>
                <w:rFonts w:hint="eastAsia"/>
                <w:kern w:val="2"/>
                <w:sz w:val="21"/>
                <w:szCs w:val="24"/>
                <w:lang w:val="en-US"/>
              </w:rPr>
              <w:t>㎡</w:t>
            </w:r>
          </w:p>
        </w:tc>
      </w:tr>
      <w:tr w14:paraId="6EE564CA">
        <w:tblPrEx>
          <w:tblCellMar>
            <w:top w:w="0" w:type="dxa"/>
            <w:left w:w="108" w:type="dxa"/>
            <w:bottom w:w="0" w:type="dxa"/>
            <w:right w:w="108" w:type="dxa"/>
          </w:tblCellMar>
        </w:tblPrEx>
        <w:trPr>
          <w:trHeight w:val="405" w:hRule="atLeast"/>
        </w:trPr>
        <w:tc>
          <w:tcPr>
            <w:tcW w:w="2039" w:type="pct"/>
            <w:tcBorders>
              <w:top w:val="nil"/>
              <w:left w:val="single" w:color="auto" w:sz="4" w:space="0"/>
              <w:bottom w:val="single" w:color="auto" w:sz="4" w:space="0"/>
              <w:right w:val="single" w:color="auto" w:sz="4" w:space="0"/>
            </w:tcBorders>
            <w:shd w:val="clear" w:color="auto" w:fill="auto"/>
            <w:noWrap/>
            <w:vAlign w:val="center"/>
          </w:tcPr>
          <w:p w14:paraId="366A5F69">
            <w:pPr>
              <w:widowControl w:val="0"/>
              <w:spacing w:line="240" w:lineRule="auto"/>
              <w:jc w:val="center"/>
              <w:rPr>
                <w:kern w:val="2"/>
                <w:sz w:val="21"/>
                <w:szCs w:val="24"/>
                <w:lang w:val="en-US"/>
              </w:rPr>
            </w:pPr>
            <w:r>
              <w:rPr>
                <w:rFonts w:hint="eastAsia"/>
                <w:kern w:val="2"/>
                <w:sz w:val="21"/>
                <w:szCs w:val="24"/>
                <w:lang w:val="en-US"/>
              </w:rPr>
              <w:t>总面积</w:t>
            </w:r>
          </w:p>
        </w:tc>
        <w:tc>
          <w:tcPr>
            <w:tcW w:w="1692" w:type="pct"/>
            <w:tcBorders>
              <w:top w:val="single" w:color="auto" w:sz="4" w:space="0"/>
              <w:left w:val="nil"/>
              <w:bottom w:val="single" w:color="auto" w:sz="4" w:space="0"/>
              <w:right w:val="single" w:color="auto" w:sz="4" w:space="0"/>
            </w:tcBorders>
            <w:shd w:val="clear" w:color="auto" w:fill="auto"/>
            <w:noWrap/>
            <w:vAlign w:val="center"/>
          </w:tcPr>
          <w:p w14:paraId="3A0F8E06">
            <w:pPr>
              <w:widowControl w:val="0"/>
              <w:spacing w:line="240" w:lineRule="auto"/>
              <w:jc w:val="center"/>
              <w:rPr>
                <w:kern w:val="2"/>
                <w:sz w:val="21"/>
                <w:szCs w:val="24"/>
                <w:lang w:val="en-US"/>
              </w:rPr>
            </w:pPr>
            <w:bookmarkStart w:id="3" w:name="面积分母"/>
            <w:r>
              <w:rPr>
                <w:rFonts w:hint="eastAsia"/>
                <w:kern w:val="2"/>
                <w:sz w:val="21"/>
                <w:szCs w:val="24"/>
                <w:lang w:val="en-US"/>
              </w:rPr>
              <w:t>1635.97</w:t>
            </w:r>
            <w:bookmarkEnd w:id="3"/>
          </w:p>
        </w:tc>
        <w:tc>
          <w:tcPr>
            <w:tcW w:w="1269" w:type="pct"/>
            <w:tcBorders>
              <w:top w:val="nil"/>
              <w:left w:val="nil"/>
              <w:bottom w:val="single" w:color="auto" w:sz="4" w:space="0"/>
              <w:right w:val="single" w:color="auto" w:sz="4" w:space="0"/>
            </w:tcBorders>
            <w:shd w:val="clear" w:color="auto" w:fill="auto"/>
            <w:noWrap/>
            <w:vAlign w:val="center"/>
          </w:tcPr>
          <w:p w14:paraId="7B4FD1E0">
            <w:pPr>
              <w:widowControl w:val="0"/>
              <w:spacing w:line="240" w:lineRule="auto"/>
              <w:jc w:val="center"/>
              <w:rPr>
                <w:kern w:val="2"/>
                <w:sz w:val="21"/>
                <w:szCs w:val="24"/>
                <w:lang w:val="en-US"/>
              </w:rPr>
            </w:pPr>
            <w:r>
              <w:rPr>
                <w:rFonts w:hint="eastAsia"/>
                <w:kern w:val="2"/>
                <w:sz w:val="21"/>
                <w:szCs w:val="24"/>
                <w:lang w:val="en-US"/>
              </w:rPr>
              <w:t>㎡</w:t>
            </w:r>
          </w:p>
        </w:tc>
      </w:tr>
      <w:tr w14:paraId="5008AB57">
        <w:tblPrEx>
          <w:tblCellMar>
            <w:top w:w="0" w:type="dxa"/>
            <w:left w:w="108" w:type="dxa"/>
            <w:bottom w:w="0" w:type="dxa"/>
            <w:right w:w="108" w:type="dxa"/>
          </w:tblCellMar>
        </w:tblPrEx>
        <w:trPr>
          <w:trHeight w:val="405" w:hRule="atLeast"/>
        </w:trPr>
        <w:tc>
          <w:tcPr>
            <w:tcW w:w="2039" w:type="pct"/>
            <w:tcBorders>
              <w:top w:val="nil"/>
              <w:left w:val="single" w:color="auto" w:sz="4" w:space="0"/>
              <w:bottom w:val="single" w:color="auto" w:sz="4" w:space="0"/>
              <w:right w:val="single" w:color="auto" w:sz="4" w:space="0"/>
            </w:tcBorders>
            <w:shd w:val="clear" w:color="auto" w:fill="auto"/>
            <w:noWrap/>
            <w:vAlign w:val="center"/>
          </w:tcPr>
          <w:p w14:paraId="31F6459B">
            <w:pPr>
              <w:widowControl w:val="0"/>
              <w:spacing w:line="240" w:lineRule="auto"/>
              <w:jc w:val="center"/>
              <w:rPr>
                <w:kern w:val="2"/>
                <w:sz w:val="21"/>
                <w:szCs w:val="24"/>
                <w:lang w:val="en-US"/>
              </w:rPr>
            </w:pPr>
            <w:r>
              <w:rPr>
                <w:rFonts w:hint="eastAsia"/>
                <w:kern w:val="2"/>
                <w:sz w:val="21"/>
                <w:szCs w:val="24"/>
                <w:lang w:val="en-US"/>
              </w:rPr>
              <w:t>面积比例RR</w:t>
            </w:r>
          </w:p>
        </w:tc>
        <w:tc>
          <w:tcPr>
            <w:tcW w:w="1692" w:type="pct"/>
            <w:tcBorders>
              <w:top w:val="single" w:color="auto" w:sz="4" w:space="0"/>
              <w:left w:val="nil"/>
              <w:bottom w:val="single" w:color="auto" w:sz="4" w:space="0"/>
              <w:right w:val="single" w:color="auto" w:sz="4" w:space="0"/>
            </w:tcBorders>
            <w:shd w:val="clear" w:color="auto" w:fill="auto"/>
            <w:noWrap/>
            <w:vAlign w:val="center"/>
          </w:tcPr>
          <w:p w14:paraId="3E02055C">
            <w:pPr>
              <w:widowControl w:val="0"/>
              <w:spacing w:line="240" w:lineRule="auto"/>
              <w:jc w:val="center"/>
              <w:rPr>
                <w:kern w:val="2"/>
                <w:sz w:val="21"/>
                <w:szCs w:val="24"/>
                <w:lang w:val="en-US"/>
              </w:rPr>
            </w:pPr>
            <w:bookmarkStart w:id="4" w:name="面积比"/>
            <w:r>
              <w:rPr>
                <w:rFonts w:hint="eastAsia"/>
                <w:kern w:val="2"/>
                <w:sz w:val="21"/>
                <w:szCs w:val="24"/>
                <w:lang w:val="en-US"/>
              </w:rPr>
              <w:t>84.96</w:t>
            </w:r>
            <w:bookmarkEnd w:id="4"/>
          </w:p>
        </w:tc>
        <w:tc>
          <w:tcPr>
            <w:tcW w:w="1269" w:type="pct"/>
            <w:tcBorders>
              <w:top w:val="nil"/>
              <w:left w:val="nil"/>
              <w:bottom w:val="single" w:color="auto" w:sz="4" w:space="0"/>
              <w:right w:val="single" w:color="auto" w:sz="4" w:space="0"/>
            </w:tcBorders>
            <w:shd w:val="clear" w:color="auto" w:fill="auto"/>
            <w:noWrap/>
            <w:vAlign w:val="center"/>
          </w:tcPr>
          <w:p w14:paraId="14838C07">
            <w:pPr>
              <w:widowControl w:val="0"/>
              <w:spacing w:line="240" w:lineRule="auto"/>
              <w:jc w:val="center"/>
              <w:rPr>
                <w:kern w:val="2"/>
                <w:sz w:val="21"/>
                <w:szCs w:val="24"/>
                <w:lang w:val="en-US"/>
              </w:rPr>
            </w:pPr>
            <w:r>
              <w:rPr>
                <w:rFonts w:hint="eastAsia"/>
                <w:kern w:val="2"/>
                <w:sz w:val="21"/>
                <w:szCs w:val="24"/>
                <w:lang w:val="en-US"/>
              </w:rPr>
              <w:t>%</w:t>
            </w:r>
          </w:p>
        </w:tc>
      </w:tr>
      <w:bookmarkEnd w:id="1"/>
    </w:tbl>
    <w:p w14:paraId="7DCD136A">
      <w:pPr>
        <w:pStyle w:val="3"/>
        <w:ind w:firstLine="525" w:firstLineChars="250"/>
        <w:rPr>
          <w:kern w:val="2"/>
        </w:rPr>
      </w:pPr>
    </w:p>
    <w:p w14:paraId="2DD684AF">
      <w:pPr>
        <w:spacing w:line="240" w:lineRule="auto"/>
        <w:rPr>
          <w:rFonts w:ascii="宋体" w:hAnsi="宋体" w:cs="宋体"/>
          <w:color w:val="000000"/>
          <w:szCs w:val="18"/>
          <w:lang w:val="en-US"/>
        </w:rPr>
        <w:sectPr>
          <w:pgSz w:w="11906" w:h="16838"/>
          <w:pgMar w:top="1440" w:right="991" w:bottom="1440" w:left="1418" w:header="850" w:footer="992" w:gutter="0"/>
          <w:cols w:space="425" w:num="1"/>
          <w:docGrid w:type="lines" w:linePitch="312" w:charSpace="0"/>
        </w:sectPr>
      </w:pPr>
    </w:p>
    <w:tbl>
      <w:tblPr>
        <w:tblStyle w:val="5"/>
        <w:tblW w:w="4787" w:type="dxa"/>
        <w:tblInd w:w="0" w:type="dxa"/>
        <w:tblLayout w:type="fixed"/>
        <w:tblCellMar>
          <w:top w:w="0" w:type="dxa"/>
          <w:left w:w="108" w:type="dxa"/>
          <w:bottom w:w="0" w:type="dxa"/>
          <w:right w:w="108" w:type="dxa"/>
        </w:tblCellMar>
      </w:tblPr>
      <w:tblGrid>
        <w:gridCol w:w="2280"/>
        <w:gridCol w:w="760"/>
        <w:gridCol w:w="760"/>
        <w:gridCol w:w="987"/>
      </w:tblGrid>
      <w:tr w14:paraId="3D733D12">
        <w:trPr>
          <w:trHeight w:val="540" w:hRule="atLeast"/>
          <w:tblHeader/>
        </w:trPr>
        <w:tc>
          <w:tcPr>
            <w:tcBorders>
              <w:top w:val="single" w:color="auto" w:sz="4" w:space="0"/>
              <w:left w:val="single" w:color="auto" w:sz="4" w:space="0"/>
              <w:bottom w:val="single" w:color="auto" w:sz="4" w:space="0"/>
              <w:right w:val="single" w:color="auto" w:sz="4" w:space="0"/>
            </w:tcBorders>
            <w:shd w:val="clear" w:color="auto" w:fill="DEDEDE"/>
            <w:noWrap/>
            <w:vAlign w:val="center"/>
          </w:tcPr>
          <w:p w14:paraId="4E95BE10">
            <w:pPr>
              <w:spacing w:line="240" w:lineRule="auto"/>
              <w:rPr>
                <w:rFonts w:ascii="宋体" w:hAnsi="宋体" w:cs="宋体"/>
                <w:color w:val="000000"/>
                <w:szCs w:val="18"/>
                <w:lang w:val="en-US"/>
              </w:rPr>
            </w:pPr>
            <w:bookmarkStart w:id="5" w:name="房间表"/>
            <w:r>
              <w:rPr>
                <w:rFonts w:hint="eastAsia" w:ascii="宋体" w:hAnsi="宋体" w:cs="宋体"/>
                <w:color w:val="000000"/>
                <w:szCs w:val="18"/>
                <w:lang w:val="en-US"/>
              </w:rPr>
              <w:t>房间</w:t>
            </w:r>
          </w:p>
        </w:tc>
        <w:tc>
          <w:tcPr>
            <w:tcBorders>
              <w:top w:val="single" w:color="auto" w:sz="4" w:space="0"/>
              <w:left w:val="nil"/>
              <w:bottom w:val="single" w:color="auto" w:sz="4" w:space="0"/>
              <w:right w:val="single" w:color="auto" w:sz="4" w:space="0"/>
            </w:tcBorders>
            <w:shd w:val="clear" w:color="auto" w:fill="DEDEDE"/>
            <w:vAlign w:val="center"/>
          </w:tcPr>
          <w:p w14:paraId="1BF74CE5">
            <w:pPr>
              <w:spacing w:line="240" w:lineRule="auto"/>
              <w:rPr>
                <w:rFonts w:ascii="宋体" w:hAnsi="宋体" w:cs="宋体"/>
                <w:color w:val="000000"/>
                <w:szCs w:val="18"/>
                <w:lang w:val="en-US"/>
              </w:rPr>
            </w:pPr>
            <w:r>
              <w:rPr>
                <w:rFonts w:hint="eastAsia" w:ascii="宋体" w:hAnsi="宋体" w:cs="宋体"/>
                <w:color w:val="000000"/>
                <w:szCs w:val="18"/>
                <w:lang w:val="en-US"/>
              </w:rPr>
              <w:t>体积</w:t>
            </w:r>
            <w:r>
              <w:rPr>
                <w:rFonts w:hint="eastAsia" w:ascii="宋体" w:hAnsi="宋体" w:cs="宋体"/>
                <w:color w:val="000000"/>
                <w:szCs w:val="18"/>
                <w:lang w:val="en-US"/>
              </w:rPr>
              <w:br w:type="textWrapping"/>
            </w:r>
            <w:r>
              <w:rPr>
                <w:rFonts w:hint="eastAsia" w:ascii="宋体" w:hAnsi="宋体" w:cs="宋体"/>
                <w:color w:val="000000"/>
                <w:szCs w:val="18"/>
                <w:lang w:val="en-US"/>
              </w:rPr>
              <w:t>(m^3)</w:t>
            </w:r>
          </w:p>
        </w:tc>
        <w:tc>
          <w:tcPr>
            <w:tcBorders>
              <w:top w:val="single" w:color="auto" w:sz="4" w:space="0"/>
              <w:left w:val="nil"/>
              <w:bottom w:val="single" w:color="auto" w:sz="4" w:space="0"/>
              <w:right w:val="single" w:color="auto" w:sz="4" w:space="0"/>
            </w:tcBorders>
            <w:shd w:val="clear" w:color="auto" w:fill="DEDEDE"/>
            <w:vAlign w:val="center"/>
          </w:tcPr>
          <w:p w14:paraId="6483FF71">
            <w:pPr>
              <w:spacing w:line="240" w:lineRule="auto"/>
              <w:rPr>
                <w:rFonts w:ascii="宋体" w:hAnsi="宋体" w:cs="宋体"/>
                <w:color w:val="000000"/>
                <w:szCs w:val="18"/>
                <w:lang w:val="en-US"/>
              </w:rPr>
            </w:pPr>
            <w:r>
              <w:rPr>
                <w:rFonts w:hint="eastAsia" w:ascii="宋体" w:hAnsi="宋体" w:cs="宋体"/>
                <w:color w:val="000000"/>
                <w:szCs w:val="18"/>
                <w:lang w:val="en-US"/>
              </w:rPr>
              <w:t>面积</w:t>
            </w:r>
            <w:r>
              <w:rPr>
                <w:rFonts w:hint="eastAsia" w:ascii="宋体" w:hAnsi="宋体" w:cs="宋体"/>
                <w:color w:val="000000"/>
                <w:szCs w:val="18"/>
                <w:lang w:val="en-US"/>
              </w:rPr>
              <w:br w:type="textWrapping"/>
            </w:r>
            <w:r>
              <w:rPr>
                <w:rFonts w:hint="eastAsia" w:ascii="宋体" w:hAnsi="宋体" w:cs="宋体"/>
                <w:color w:val="000000"/>
                <w:szCs w:val="18"/>
                <w:lang w:val="en-US"/>
              </w:rPr>
              <w:t>(m^2)</w:t>
            </w:r>
          </w:p>
        </w:tc>
        <w:tc>
          <w:tcPr>
            <w:tcW w:w="987" w:type="dxa"/>
            <w:tcBorders>
              <w:top w:val="single" w:color="auto" w:sz="4" w:space="0"/>
              <w:left w:val="nil"/>
              <w:bottom w:val="single" w:color="auto" w:sz="4" w:space="0"/>
              <w:right w:val="single" w:color="auto" w:sz="4" w:space="0"/>
            </w:tcBorders>
            <w:shd w:val="clear" w:color="auto" w:fill="DEDEDE"/>
            <w:vAlign w:val="center"/>
          </w:tcPr>
          <w:p w14:paraId="0DC64E61">
            <w:pPr>
              <w:spacing w:line="240" w:lineRule="auto"/>
              <w:rPr>
                <w:rFonts w:ascii="宋体" w:hAnsi="宋体" w:cs="宋体"/>
                <w:color w:val="000000"/>
                <w:szCs w:val="18"/>
                <w:lang w:val="en-US"/>
              </w:rPr>
            </w:pPr>
            <w:r>
              <w:rPr>
                <w:rFonts w:hint="eastAsia" w:ascii="宋体" w:hAnsi="宋体" w:cs="宋体"/>
                <w:color w:val="000000"/>
                <w:szCs w:val="18"/>
                <w:lang w:val="en-US"/>
              </w:rPr>
              <w:t>换气次数</w:t>
            </w:r>
            <w:r>
              <w:rPr>
                <w:rFonts w:hint="eastAsia" w:ascii="宋体" w:hAnsi="宋体" w:cs="宋体"/>
                <w:color w:val="000000"/>
                <w:szCs w:val="18"/>
                <w:lang w:val="en-US"/>
              </w:rPr>
              <w:br w:type="textWrapping"/>
            </w:r>
            <w:r>
              <w:rPr>
                <w:rFonts w:hint="eastAsia" w:ascii="宋体" w:hAnsi="宋体" w:cs="宋体"/>
                <w:color w:val="000000"/>
                <w:szCs w:val="18"/>
                <w:lang w:val="en-US"/>
              </w:rPr>
              <w:t>(次/h)</w:t>
            </w:r>
          </w:p>
        </w:tc>
      </w:tr>
      <w:tr w14:paraId="4BF55E8F">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00B8457A">
            <w:pPr>
              <w:spacing w:line="240" w:lineRule="auto"/>
              <w:rPr>
                <w:rFonts w:ascii="宋体" w:hAnsi="宋体" w:cs="宋体"/>
                <w:color w:val="0000FF"/>
                <w:szCs w:val="18"/>
                <w:lang w:val="en-US"/>
              </w:rPr>
            </w:pPr>
            <w:r>
              <w:rPr>
                <w:rFonts w:ascii="宋体" w:hAnsi="宋体" w:cs="宋体"/>
                <w:color w:val="0000FF"/>
                <w:szCs w:val="18"/>
                <w:lang w:val="en-US"/>
              </w:rPr>
              <w:t xml:space="preserve"> 1层</w:t>
            </w:r>
          </w:p>
        </w:tc>
        <w:tc>
          <w:tcPr>
            <w:tcBorders>
              <w:top w:val="nil"/>
              <w:left w:val="nil"/>
              <w:bottom w:val="single" w:color="auto" w:sz="4" w:space="0"/>
              <w:right w:val="single" w:color="auto" w:sz="4" w:space="0"/>
            </w:tcBorders>
            <w:shd w:val="clear" w:color="auto" w:fill="FFFFFF"/>
            <w:noWrap/>
            <w:vAlign w:val="center"/>
          </w:tcPr>
          <w:p w14:paraId="2243ACDF">
            <w:pPr>
              <w:spacing w:line="240" w:lineRule="auto"/>
              <w:rPr>
                <w:rFonts w:ascii="宋体" w:hAnsi="宋体" w:cs="宋体"/>
                <w:color w:val="000000"/>
                <w:szCs w:val="18"/>
                <w:lang w:val="en-US"/>
              </w:rPr>
            </w:pPr>
          </w:p>
        </w:tc>
        <w:tc>
          <w:tcPr>
            <w:tcBorders>
              <w:top w:val="nil"/>
              <w:left w:val="nil"/>
              <w:bottom w:val="single" w:color="auto" w:sz="4" w:space="0"/>
              <w:right w:val="single" w:color="auto" w:sz="4" w:space="0"/>
            </w:tcBorders>
            <w:shd w:val="clear" w:color="auto" w:fill="FFFFFF"/>
            <w:noWrap/>
            <w:vAlign w:val="center"/>
          </w:tcPr>
          <w:p w14:paraId="3EED64D3">
            <w:pPr>
              <w:spacing w:line="240" w:lineRule="auto"/>
              <w:rPr>
                <w:rFonts w:ascii="宋体" w:hAnsi="宋体" w:cs="宋体"/>
                <w:color w:val="000000"/>
                <w:szCs w:val="18"/>
                <w:lang w:val="en-US"/>
              </w:rPr>
            </w:pPr>
          </w:p>
        </w:tc>
        <w:tc>
          <w:tcPr>
            <w:tcW w:w="987" w:type="dxa"/>
            <w:tcBorders>
              <w:top w:val="nil"/>
              <w:left w:val="nil"/>
              <w:bottom w:val="single" w:color="auto" w:sz="4" w:space="0"/>
              <w:right w:val="single" w:color="auto" w:sz="4" w:space="0"/>
            </w:tcBorders>
            <w:shd w:val="clear" w:color="auto" w:fill="FFFFFF"/>
            <w:noWrap/>
            <w:vAlign w:val="center"/>
          </w:tcPr>
          <w:p w14:paraId="14E95E41">
            <w:pPr>
              <w:spacing w:line="240" w:lineRule="auto"/>
              <w:rPr>
                <w:rFonts w:ascii="宋体" w:hAnsi="宋体" w:cs="宋体"/>
                <w:color w:val="000000"/>
                <w:szCs w:val="18"/>
                <w:lang w:val="en-US"/>
              </w:rPr>
            </w:pPr>
          </w:p>
        </w:tc>
      </w:tr>
      <w:tr w14:paraId="32AC4C7B">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3C777944">
            <w:pPr>
              <w:spacing w:line="240" w:lineRule="auto"/>
              <w:rPr>
                <w:rFonts w:ascii="宋体" w:hAnsi="宋体" w:cs="宋体"/>
                <w:color w:val="0000FF"/>
                <w:szCs w:val="18"/>
                <w:lang w:val="en-US"/>
              </w:rPr>
            </w:pPr>
            <w:r>
              <w:rPr>
                <w:rFonts w:ascii="宋体" w:hAnsi="宋体" w:cs="宋体"/>
                <w:color w:val="0000FF"/>
                <w:szCs w:val="18"/>
                <w:lang w:val="en-US"/>
              </w:rPr>
              <w:t xml:space="preserve"> 1007[活动室(30人)]</w:t>
            </w:r>
          </w:p>
        </w:tc>
        <w:tc>
          <w:tcPr>
            <w:tcBorders>
              <w:top w:val="nil"/>
              <w:left w:val="nil"/>
              <w:bottom w:val="single" w:color="auto" w:sz="4" w:space="0"/>
              <w:right w:val="single" w:color="auto" w:sz="4" w:space="0"/>
            </w:tcBorders>
            <w:shd w:val="clear" w:color="auto" w:fill="FFFFFF"/>
            <w:noWrap/>
            <w:vAlign w:val="center"/>
          </w:tcPr>
          <w:p w14:paraId="4E6881F3">
            <w:pPr>
              <w:spacing w:line="240" w:lineRule="auto"/>
              <w:rPr>
                <w:rFonts w:ascii="宋体" w:hAnsi="宋体" w:cs="宋体"/>
                <w:color w:val="000000"/>
                <w:szCs w:val="18"/>
                <w:lang w:val="en-US"/>
              </w:rPr>
            </w:pPr>
            <w:r>
              <w:rPr>
                <w:rFonts w:ascii="宋体" w:hAnsi="宋体" w:cs="宋体"/>
                <w:color w:val="000000"/>
                <w:szCs w:val="18"/>
                <w:lang w:val="en-US"/>
              </w:rPr>
              <w:t>475.06</w:t>
            </w:r>
          </w:p>
        </w:tc>
        <w:tc>
          <w:tcPr>
            <w:tcBorders>
              <w:top w:val="nil"/>
              <w:left w:val="nil"/>
              <w:bottom w:val="single" w:color="auto" w:sz="4" w:space="0"/>
              <w:right w:val="single" w:color="auto" w:sz="4" w:space="0"/>
            </w:tcBorders>
            <w:shd w:val="clear" w:color="auto" w:fill="FFFFFF"/>
            <w:noWrap/>
            <w:vAlign w:val="center"/>
          </w:tcPr>
          <w:p w14:paraId="28140693">
            <w:pPr>
              <w:spacing w:line="240" w:lineRule="auto"/>
              <w:rPr>
                <w:rFonts w:ascii="宋体" w:hAnsi="宋体" w:cs="宋体"/>
                <w:color w:val="000000"/>
                <w:szCs w:val="18"/>
                <w:lang w:val="en-US"/>
              </w:rPr>
            </w:pPr>
            <w:r>
              <w:rPr>
                <w:rFonts w:ascii="宋体" w:hAnsi="宋体" w:cs="宋体"/>
                <w:color w:val="000000"/>
                <w:szCs w:val="18"/>
                <w:lang w:val="en-US"/>
              </w:rPr>
              <w:t>121.81</w:t>
            </w:r>
          </w:p>
        </w:tc>
        <w:tc>
          <w:tcPr>
            <w:tcW w:w="987" w:type="dxa"/>
            <w:tcBorders>
              <w:top w:val="nil"/>
              <w:left w:val="nil"/>
              <w:bottom w:val="single" w:color="auto" w:sz="4" w:space="0"/>
              <w:right w:val="single" w:color="auto" w:sz="4" w:space="0"/>
            </w:tcBorders>
            <w:shd w:val="clear" w:color="auto" w:fill="FFFFFF"/>
            <w:noWrap/>
            <w:vAlign w:val="center"/>
          </w:tcPr>
          <w:p w14:paraId="5DC930C6">
            <w:pPr>
              <w:spacing w:line="240" w:lineRule="auto"/>
              <w:rPr>
                <w:rFonts w:ascii="宋体" w:hAnsi="宋体" w:cs="宋体"/>
                <w:color w:val="000000"/>
                <w:szCs w:val="18"/>
                <w:lang w:val="en-US"/>
              </w:rPr>
            </w:pPr>
            <w:r>
              <w:rPr>
                <w:rFonts w:ascii="宋体" w:hAnsi="宋体" w:cs="宋体"/>
                <w:color w:val="000000"/>
                <w:szCs w:val="18"/>
                <w:lang w:val="en-US"/>
              </w:rPr>
              <w:t>12.98</w:t>
            </w:r>
          </w:p>
        </w:tc>
      </w:tr>
      <w:tr w14:paraId="2DFA5119">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4C9E0BD8">
            <w:pPr>
              <w:spacing w:line="240" w:lineRule="auto"/>
              <w:rPr>
                <w:rFonts w:ascii="宋体" w:hAnsi="宋体" w:cs="宋体"/>
                <w:color w:val="0000FF"/>
                <w:szCs w:val="18"/>
                <w:lang w:val="en-US"/>
              </w:rPr>
            </w:pPr>
            <w:r>
              <w:rPr>
                <w:rFonts w:ascii="宋体" w:hAnsi="宋体" w:cs="宋体"/>
                <w:color w:val="0000FF"/>
                <w:szCs w:val="18"/>
                <w:lang w:val="en-US"/>
              </w:rPr>
              <w:t xml:space="preserve"> 1010[活动室(30人)]</w:t>
            </w:r>
          </w:p>
        </w:tc>
        <w:tc>
          <w:tcPr>
            <w:tcBorders>
              <w:top w:val="nil"/>
              <w:left w:val="nil"/>
              <w:bottom w:val="single" w:color="auto" w:sz="4" w:space="0"/>
              <w:right w:val="single" w:color="auto" w:sz="4" w:space="0"/>
            </w:tcBorders>
            <w:shd w:val="clear" w:color="auto" w:fill="FFFFFF"/>
            <w:noWrap/>
            <w:vAlign w:val="center"/>
          </w:tcPr>
          <w:p w14:paraId="01DCD4DB">
            <w:pPr>
              <w:spacing w:line="240" w:lineRule="auto"/>
              <w:rPr>
                <w:rFonts w:ascii="宋体" w:hAnsi="宋体" w:cs="宋体"/>
                <w:color w:val="000000"/>
                <w:szCs w:val="18"/>
                <w:lang w:val="en-US"/>
              </w:rPr>
            </w:pPr>
            <w:r>
              <w:rPr>
                <w:rFonts w:ascii="宋体" w:hAnsi="宋体" w:cs="宋体"/>
                <w:color w:val="000000"/>
                <w:szCs w:val="18"/>
                <w:lang w:val="en-US"/>
              </w:rPr>
              <w:t>473.03</w:t>
            </w:r>
          </w:p>
        </w:tc>
        <w:tc>
          <w:tcPr>
            <w:tcBorders>
              <w:top w:val="nil"/>
              <w:left w:val="nil"/>
              <w:bottom w:val="single" w:color="auto" w:sz="4" w:space="0"/>
              <w:right w:val="single" w:color="auto" w:sz="4" w:space="0"/>
            </w:tcBorders>
            <w:shd w:val="clear" w:color="auto" w:fill="FFFFFF"/>
            <w:noWrap/>
            <w:vAlign w:val="center"/>
          </w:tcPr>
          <w:p w14:paraId="7679E705">
            <w:pPr>
              <w:spacing w:line="240" w:lineRule="auto"/>
              <w:rPr>
                <w:rFonts w:ascii="宋体" w:hAnsi="宋体" w:cs="宋体"/>
                <w:color w:val="000000"/>
                <w:szCs w:val="18"/>
                <w:lang w:val="en-US"/>
              </w:rPr>
            </w:pPr>
            <w:r>
              <w:rPr>
                <w:rFonts w:ascii="宋体" w:hAnsi="宋体" w:cs="宋体"/>
                <w:color w:val="000000"/>
                <w:szCs w:val="18"/>
                <w:lang w:val="en-US"/>
              </w:rPr>
              <w:t>121.29</w:t>
            </w:r>
          </w:p>
        </w:tc>
        <w:tc>
          <w:tcPr>
            <w:tcW w:w="987" w:type="dxa"/>
            <w:tcBorders>
              <w:top w:val="nil"/>
              <w:left w:val="nil"/>
              <w:bottom w:val="single" w:color="auto" w:sz="4" w:space="0"/>
              <w:right w:val="single" w:color="auto" w:sz="4" w:space="0"/>
            </w:tcBorders>
            <w:shd w:val="clear" w:color="auto" w:fill="FFFFFF"/>
            <w:noWrap/>
            <w:vAlign w:val="center"/>
          </w:tcPr>
          <w:p w14:paraId="67DD5ECD">
            <w:pPr>
              <w:spacing w:line="240" w:lineRule="auto"/>
              <w:rPr>
                <w:rFonts w:ascii="宋体" w:hAnsi="宋体" w:cs="宋体"/>
                <w:color w:val="000000"/>
                <w:szCs w:val="18"/>
                <w:lang w:val="en-US"/>
              </w:rPr>
            </w:pPr>
            <w:r>
              <w:rPr>
                <w:rFonts w:ascii="宋体" w:hAnsi="宋体" w:cs="宋体"/>
                <w:color w:val="000000"/>
                <w:szCs w:val="18"/>
                <w:lang w:val="en-US"/>
              </w:rPr>
              <w:t>14.62</w:t>
            </w:r>
          </w:p>
        </w:tc>
      </w:tr>
      <w:tr w14:paraId="0A73AAA0">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062EBCC7">
            <w:pPr>
              <w:spacing w:line="240" w:lineRule="auto"/>
              <w:rPr>
                <w:rFonts w:ascii="宋体" w:hAnsi="宋体" w:cs="宋体"/>
                <w:color w:val="0000FF"/>
                <w:szCs w:val="18"/>
                <w:lang w:val="en-US"/>
              </w:rPr>
            </w:pPr>
            <w:r>
              <w:rPr>
                <w:rFonts w:ascii="宋体" w:hAnsi="宋体" w:cs="宋体"/>
                <w:color w:val="0000FF"/>
                <w:szCs w:val="18"/>
                <w:lang w:val="en-US"/>
              </w:rPr>
              <w:t xml:space="preserve"> 1014[普通教室]</w:t>
            </w:r>
          </w:p>
        </w:tc>
        <w:tc>
          <w:tcPr>
            <w:tcBorders>
              <w:top w:val="nil"/>
              <w:left w:val="nil"/>
              <w:bottom w:val="single" w:color="auto" w:sz="4" w:space="0"/>
              <w:right w:val="single" w:color="auto" w:sz="4" w:space="0"/>
            </w:tcBorders>
            <w:shd w:val="clear" w:color="auto" w:fill="FFFFFF"/>
            <w:noWrap/>
            <w:vAlign w:val="center"/>
          </w:tcPr>
          <w:p w14:paraId="40CB4FB9">
            <w:pPr>
              <w:spacing w:line="240" w:lineRule="auto"/>
              <w:rPr>
                <w:rFonts w:ascii="宋体" w:hAnsi="宋体" w:cs="宋体"/>
                <w:color w:val="000000"/>
                <w:szCs w:val="18"/>
                <w:lang w:val="en-US"/>
              </w:rPr>
            </w:pPr>
            <w:r>
              <w:rPr>
                <w:rFonts w:ascii="宋体" w:hAnsi="宋体" w:cs="宋体"/>
                <w:color w:val="000000"/>
                <w:szCs w:val="18"/>
                <w:lang w:val="en-US"/>
              </w:rPr>
              <w:t>297.53</w:t>
            </w:r>
          </w:p>
        </w:tc>
        <w:tc>
          <w:tcPr>
            <w:tcBorders>
              <w:top w:val="nil"/>
              <w:left w:val="nil"/>
              <w:bottom w:val="single" w:color="auto" w:sz="4" w:space="0"/>
              <w:right w:val="single" w:color="auto" w:sz="4" w:space="0"/>
            </w:tcBorders>
            <w:shd w:val="clear" w:color="auto" w:fill="FFFFFF"/>
            <w:noWrap/>
            <w:vAlign w:val="center"/>
          </w:tcPr>
          <w:p w14:paraId="0ED89C8A">
            <w:pPr>
              <w:spacing w:line="240" w:lineRule="auto"/>
              <w:rPr>
                <w:rFonts w:ascii="宋体" w:hAnsi="宋体" w:cs="宋体"/>
                <w:color w:val="000000"/>
                <w:szCs w:val="18"/>
                <w:lang w:val="en-US"/>
              </w:rPr>
            </w:pPr>
            <w:r>
              <w:rPr>
                <w:rFonts w:ascii="宋体" w:hAnsi="宋体" w:cs="宋体"/>
                <w:color w:val="000000"/>
                <w:szCs w:val="18"/>
                <w:lang w:val="en-US"/>
              </w:rPr>
              <w:t>76.29</w:t>
            </w:r>
          </w:p>
        </w:tc>
        <w:tc>
          <w:tcPr>
            <w:tcW w:w="987" w:type="dxa"/>
            <w:tcBorders>
              <w:top w:val="nil"/>
              <w:left w:val="nil"/>
              <w:bottom w:val="single" w:color="auto" w:sz="4" w:space="0"/>
              <w:right w:val="single" w:color="auto" w:sz="4" w:space="0"/>
            </w:tcBorders>
            <w:shd w:val="clear" w:color="auto" w:fill="FFFFFF"/>
            <w:noWrap/>
            <w:vAlign w:val="center"/>
          </w:tcPr>
          <w:p w14:paraId="3A2CF1D2">
            <w:pPr>
              <w:spacing w:line="240" w:lineRule="auto"/>
              <w:rPr>
                <w:rFonts w:ascii="宋体" w:hAnsi="宋体" w:cs="宋体"/>
                <w:color w:val="000000"/>
                <w:szCs w:val="18"/>
                <w:lang w:val="en-US"/>
              </w:rPr>
            </w:pPr>
            <w:r>
              <w:rPr>
                <w:rFonts w:ascii="宋体" w:hAnsi="宋体" w:cs="宋体"/>
                <w:color w:val="000000"/>
                <w:szCs w:val="18"/>
                <w:lang w:val="en-US"/>
              </w:rPr>
              <w:t>24.52</w:t>
            </w:r>
          </w:p>
        </w:tc>
      </w:tr>
      <w:tr w14:paraId="47C6DA8C">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2F971381">
            <w:pPr>
              <w:spacing w:line="240" w:lineRule="auto"/>
              <w:rPr>
                <w:rFonts w:ascii="宋体" w:hAnsi="宋体" w:cs="宋体"/>
                <w:color w:val="0000FF"/>
                <w:szCs w:val="18"/>
                <w:lang w:val="en-US"/>
              </w:rPr>
            </w:pPr>
            <w:r>
              <w:rPr>
                <w:rFonts w:ascii="宋体" w:hAnsi="宋体" w:cs="宋体"/>
                <w:color w:val="0000FF"/>
                <w:szCs w:val="18"/>
                <w:lang w:val="en-US"/>
              </w:rPr>
              <w:t xml:space="preserve"> 1015[厨房]</w:t>
            </w:r>
          </w:p>
        </w:tc>
        <w:tc>
          <w:tcPr>
            <w:tcBorders>
              <w:top w:val="nil"/>
              <w:left w:val="nil"/>
              <w:bottom w:val="single" w:color="auto" w:sz="4" w:space="0"/>
              <w:right w:val="single" w:color="auto" w:sz="4" w:space="0"/>
            </w:tcBorders>
            <w:shd w:val="clear" w:color="auto" w:fill="FFFFFF"/>
            <w:noWrap/>
            <w:vAlign w:val="center"/>
          </w:tcPr>
          <w:p w14:paraId="3E7A28DD">
            <w:pPr>
              <w:spacing w:line="240" w:lineRule="auto"/>
              <w:rPr>
                <w:rFonts w:ascii="宋体" w:hAnsi="宋体" w:cs="宋体"/>
                <w:color w:val="000000"/>
                <w:szCs w:val="18"/>
                <w:lang w:val="en-US"/>
              </w:rPr>
            </w:pPr>
            <w:r>
              <w:rPr>
                <w:rFonts w:ascii="宋体" w:hAnsi="宋体" w:cs="宋体"/>
                <w:color w:val="000000"/>
                <w:szCs w:val="18"/>
                <w:lang w:val="en-US"/>
              </w:rPr>
              <w:t>296.83</w:t>
            </w:r>
          </w:p>
        </w:tc>
        <w:tc>
          <w:tcPr>
            <w:tcBorders>
              <w:top w:val="nil"/>
              <w:left w:val="nil"/>
              <w:bottom w:val="single" w:color="auto" w:sz="4" w:space="0"/>
              <w:right w:val="single" w:color="auto" w:sz="4" w:space="0"/>
            </w:tcBorders>
            <w:shd w:val="clear" w:color="auto" w:fill="FFFFFF"/>
            <w:noWrap/>
            <w:vAlign w:val="center"/>
          </w:tcPr>
          <w:p w14:paraId="245F5FC6">
            <w:pPr>
              <w:spacing w:line="240" w:lineRule="auto"/>
              <w:rPr>
                <w:rFonts w:ascii="宋体" w:hAnsi="宋体" w:cs="宋体"/>
                <w:color w:val="000000"/>
                <w:szCs w:val="18"/>
                <w:lang w:val="en-US"/>
              </w:rPr>
            </w:pPr>
            <w:r>
              <w:rPr>
                <w:rFonts w:ascii="宋体" w:hAnsi="宋体" w:cs="宋体"/>
                <w:color w:val="000000"/>
                <w:szCs w:val="18"/>
                <w:lang w:val="en-US"/>
              </w:rPr>
              <w:t>76.11</w:t>
            </w:r>
          </w:p>
        </w:tc>
        <w:tc>
          <w:tcPr>
            <w:tcW w:w="987" w:type="dxa"/>
            <w:tcBorders>
              <w:top w:val="nil"/>
              <w:left w:val="nil"/>
              <w:bottom w:val="single" w:color="auto" w:sz="4" w:space="0"/>
              <w:right w:val="single" w:color="auto" w:sz="4" w:space="0"/>
            </w:tcBorders>
            <w:shd w:val="clear" w:color="auto" w:fill="FFFFFF"/>
            <w:noWrap/>
            <w:vAlign w:val="center"/>
          </w:tcPr>
          <w:p w14:paraId="6BBE7F95">
            <w:pPr>
              <w:spacing w:line="240" w:lineRule="auto"/>
              <w:rPr>
                <w:rFonts w:ascii="宋体" w:hAnsi="宋体" w:cs="宋体"/>
                <w:color w:val="000000"/>
                <w:szCs w:val="18"/>
                <w:lang w:val="en-US"/>
              </w:rPr>
            </w:pPr>
            <w:r>
              <w:rPr>
                <w:rFonts w:ascii="宋体" w:hAnsi="宋体" w:cs="宋体"/>
                <w:color w:val="000000"/>
                <w:szCs w:val="18"/>
                <w:lang w:val="en-US"/>
              </w:rPr>
              <w:t>5.94</w:t>
            </w:r>
          </w:p>
        </w:tc>
      </w:tr>
      <w:tr w14:paraId="2A496790">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06F7AAB4">
            <w:pPr>
              <w:spacing w:line="240" w:lineRule="auto"/>
              <w:rPr>
                <w:rFonts w:ascii="宋体" w:hAnsi="宋体" w:cs="宋体"/>
                <w:color w:val="0000FF"/>
                <w:szCs w:val="18"/>
                <w:lang w:val="en-US"/>
              </w:rPr>
            </w:pPr>
            <w:r>
              <w:rPr>
                <w:rFonts w:ascii="宋体" w:hAnsi="宋体" w:cs="宋体"/>
                <w:color w:val="0000FF"/>
                <w:szCs w:val="18"/>
                <w:lang w:val="en-US"/>
              </w:rPr>
              <w:t xml:space="preserve"> 1016[普通教室]</w:t>
            </w:r>
          </w:p>
        </w:tc>
        <w:tc>
          <w:tcPr>
            <w:tcBorders>
              <w:top w:val="nil"/>
              <w:left w:val="nil"/>
              <w:bottom w:val="single" w:color="auto" w:sz="4" w:space="0"/>
              <w:right w:val="single" w:color="auto" w:sz="4" w:space="0"/>
            </w:tcBorders>
            <w:shd w:val="clear" w:color="auto" w:fill="FFFFFF"/>
            <w:noWrap/>
            <w:vAlign w:val="center"/>
          </w:tcPr>
          <w:p w14:paraId="24979C3B">
            <w:pPr>
              <w:spacing w:line="240" w:lineRule="auto"/>
              <w:rPr>
                <w:rFonts w:ascii="宋体" w:hAnsi="宋体" w:cs="宋体"/>
                <w:color w:val="000000"/>
                <w:szCs w:val="18"/>
                <w:lang w:val="en-US"/>
              </w:rPr>
            </w:pPr>
            <w:r>
              <w:rPr>
                <w:rFonts w:ascii="宋体" w:hAnsi="宋体" w:cs="宋体"/>
                <w:color w:val="000000"/>
                <w:szCs w:val="18"/>
                <w:lang w:val="en-US"/>
              </w:rPr>
              <w:t>228.77</w:t>
            </w:r>
          </w:p>
        </w:tc>
        <w:tc>
          <w:tcPr>
            <w:tcBorders>
              <w:top w:val="nil"/>
              <w:left w:val="nil"/>
              <w:bottom w:val="single" w:color="auto" w:sz="4" w:space="0"/>
              <w:right w:val="single" w:color="auto" w:sz="4" w:space="0"/>
            </w:tcBorders>
            <w:shd w:val="clear" w:color="auto" w:fill="FFFFFF"/>
            <w:noWrap/>
            <w:vAlign w:val="center"/>
          </w:tcPr>
          <w:p w14:paraId="58890688">
            <w:pPr>
              <w:spacing w:line="240" w:lineRule="auto"/>
              <w:rPr>
                <w:rFonts w:ascii="宋体" w:hAnsi="宋体" w:cs="宋体"/>
                <w:color w:val="000000"/>
                <w:szCs w:val="18"/>
                <w:lang w:val="en-US"/>
              </w:rPr>
            </w:pPr>
            <w:r>
              <w:rPr>
                <w:rFonts w:ascii="宋体" w:hAnsi="宋体" w:cs="宋体"/>
                <w:color w:val="000000"/>
                <w:szCs w:val="18"/>
                <w:lang w:val="en-US"/>
              </w:rPr>
              <w:t>58.66</w:t>
            </w:r>
          </w:p>
        </w:tc>
        <w:tc>
          <w:tcPr>
            <w:tcW w:w="987" w:type="dxa"/>
            <w:tcBorders>
              <w:top w:val="nil"/>
              <w:left w:val="nil"/>
              <w:bottom w:val="single" w:color="auto" w:sz="4" w:space="0"/>
              <w:right w:val="single" w:color="auto" w:sz="4" w:space="0"/>
            </w:tcBorders>
            <w:shd w:val="clear" w:color="auto" w:fill="FFFFFF"/>
            <w:noWrap/>
            <w:vAlign w:val="center"/>
          </w:tcPr>
          <w:p w14:paraId="7D8EABE6">
            <w:pPr>
              <w:spacing w:line="240" w:lineRule="auto"/>
              <w:rPr>
                <w:rFonts w:ascii="宋体" w:hAnsi="宋体" w:cs="宋体"/>
                <w:color w:val="000000"/>
                <w:szCs w:val="18"/>
                <w:lang w:val="en-US"/>
              </w:rPr>
            </w:pPr>
            <w:r>
              <w:rPr>
                <w:rFonts w:ascii="宋体" w:hAnsi="宋体" w:cs="宋体"/>
                <w:color w:val="000000"/>
                <w:szCs w:val="18"/>
                <w:lang w:val="en-US"/>
              </w:rPr>
              <w:t>0.00</w:t>
            </w:r>
          </w:p>
        </w:tc>
      </w:tr>
      <w:tr w14:paraId="1C8B9A14">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410EAAC8">
            <w:pPr>
              <w:spacing w:line="240" w:lineRule="auto"/>
              <w:rPr>
                <w:rFonts w:ascii="宋体" w:hAnsi="宋体" w:cs="宋体"/>
                <w:color w:val="0000FF"/>
                <w:szCs w:val="18"/>
                <w:lang w:val="en-US"/>
              </w:rPr>
            </w:pPr>
            <w:r>
              <w:rPr>
                <w:rFonts w:ascii="宋体" w:hAnsi="宋体" w:cs="宋体"/>
                <w:color w:val="0000FF"/>
                <w:szCs w:val="18"/>
                <w:lang w:val="en-US"/>
              </w:rPr>
              <w:t xml:space="preserve"> 1030[普通办公室]</w:t>
            </w:r>
          </w:p>
        </w:tc>
        <w:tc>
          <w:tcPr>
            <w:tcBorders>
              <w:top w:val="nil"/>
              <w:left w:val="nil"/>
              <w:bottom w:val="single" w:color="auto" w:sz="4" w:space="0"/>
              <w:right w:val="single" w:color="auto" w:sz="4" w:space="0"/>
            </w:tcBorders>
            <w:shd w:val="clear" w:color="auto" w:fill="FFFFFF"/>
            <w:noWrap/>
            <w:vAlign w:val="center"/>
          </w:tcPr>
          <w:p w14:paraId="1F2A020A">
            <w:pPr>
              <w:spacing w:line="240" w:lineRule="auto"/>
              <w:rPr>
                <w:rFonts w:ascii="宋体" w:hAnsi="宋体" w:cs="宋体"/>
                <w:color w:val="000000"/>
                <w:szCs w:val="18"/>
                <w:lang w:val="en-US"/>
              </w:rPr>
            </w:pPr>
            <w:r>
              <w:rPr>
                <w:rFonts w:ascii="宋体" w:hAnsi="宋体" w:cs="宋体"/>
                <w:color w:val="000000"/>
                <w:szCs w:val="18"/>
                <w:lang w:val="en-US"/>
              </w:rPr>
              <w:t>55.77</w:t>
            </w:r>
          </w:p>
        </w:tc>
        <w:tc>
          <w:tcPr>
            <w:tcBorders>
              <w:top w:val="nil"/>
              <w:left w:val="nil"/>
              <w:bottom w:val="single" w:color="auto" w:sz="4" w:space="0"/>
              <w:right w:val="single" w:color="auto" w:sz="4" w:space="0"/>
            </w:tcBorders>
            <w:shd w:val="clear" w:color="auto" w:fill="FFFFFF"/>
            <w:noWrap/>
            <w:vAlign w:val="center"/>
          </w:tcPr>
          <w:p w14:paraId="0A37826C">
            <w:pPr>
              <w:spacing w:line="240" w:lineRule="auto"/>
              <w:rPr>
                <w:rFonts w:ascii="宋体" w:hAnsi="宋体" w:cs="宋体"/>
                <w:color w:val="000000"/>
                <w:szCs w:val="18"/>
                <w:lang w:val="en-US"/>
              </w:rPr>
            </w:pPr>
            <w:r>
              <w:rPr>
                <w:rFonts w:ascii="宋体" w:hAnsi="宋体" w:cs="宋体"/>
                <w:color w:val="000000"/>
                <w:szCs w:val="18"/>
                <w:lang w:val="en-US"/>
              </w:rPr>
              <w:t>14.30</w:t>
            </w:r>
          </w:p>
        </w:tc>
        <w:tc>
          <w:tcPr>
            <w:tcW w:w="987" w:type="dxa"/>
            <w:tcBorders>
              <w:top w:val="nil"/>
              <w:left w:val="nil"/>
              <w:bottom w:val="single" w:color="auto" w:sz="4" w:space="0"/>
              <w:right w:val="single" w:color="auto" w:sz="4" w:space="0"/>
            </w:tcBorders>
            <w:shd w:val="clear" w:color="auto" w:fill="FFFFFF"/>
            <w:noWrap/>
            <w:vAlign w:val="center"/>
          </w:tcPr>
          <w:p w14:paraId="4134213D">
            <w:pPr>
              <w:spacing w:line="240" w:lineRule="auto"/>
              <w:rPr>
                <w:rFonts w:ascii="宋体" w:hAnsi="宋体" w:cs="宋体"/>
                <w:color w:val="000000"/>
                <w:szCs w:val="18"/>
                <w:lang w:val="en-US"/>
              </w:rPr>
            </w:pPr>
            <w:r>
              <w:rPr>
                <w:rFonts w:ascii="宋体" w:hAnsi="宋体" w:cs="宋体"/>
                <w:color w:val="000000"/>
                <w:szCs w:val="18"/>
                <w:lang w:val="en-US"/>
              </w:rPr>
              <w:t>0.00</w:t>
            </w:r>
          </w:p>
        </w:tc>
      </w:tr>
      <w:tr w14:paraId="439B4C45">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1A39DD3D">
            <w:pPr>
              <w:spacing w:line="240" w:lineRule="auto"/>
              <w:rPr>
                <w:rFonts w:ascii="宋体" w:hAnsi="宋体" w:cs="宋体"/>
                <w:color w:val="0000FF"/>
                <w:szCs w:val="18"/>
                <w:lang w:val="en-US"/>
              </w:rPr>
            </w:pPr>
            <w:r>
              <w:rPr>
                <w:rFonts w:ascii="宋体" w:hAnsi="宋体" w:cs="宋体"/>
                <w:color w:val="0000FF"/>
                <w:szCs w:val="18"/>
                <w:lang w:val="en-US"/>
              </w:rPr>
              <w:t xml:space="preserve"> 1031[冷库]</w:t>
            </w:r>
          </w:p>
        </w:tc>
        <w:tc>
          <w:tcPr>
            <w:tcBorders>
              <w:top w:val="nil"/>
              <w:left w:val="nil"/>
              <w:bottom w:val="single" w:color="auto" w:sz="4" w:space="0"/>
              <w:right w:val="single" w:color="auto" w:sz="4" w:space="0"/>
            </w:tcBorders>
            <w:shd w:val="clear" w:color="auto" w:fill="FFFFFF"/>
            <w:noWrap/>
            <w:vAlign w:val="center"/>
          </w:tcPr>
          <w:p w14:paraId="12DA1E9C">
            <w:pPr>
              <w:spacing w:line="240" w:lineRule="auto"/>
              <w:rPr>
                <w:rFonts w:ascii="宋体" w:hAnsi="宋体" w:cs="宋体"/>
                <w:color w:val="000000"/>
                <w:szCs w:val="18"/>
                <w:lang w:val="en-US"/>
              </w:rPr>
            </w:pPr>
            <w:r>
              <w:rPr>
                <w:rFonts w:ascii="宋体" w:hAnsi="宋体" w:cs="宋体"/>
                <w:color w:val="000000"/>
                <w:szCs w:val="18"/>
                <w:lang w:val="en-US"/>
              </w:rPr>
              <w:t>47.42</w:t>
            </w:r>
          </w:p>
        </w:tc>
        <w:tc>
          <w:tcPr>
            <w:tcBorders>
              <w:top w:val="nil"/>
              <w:left w:val="nil"/>
              <w:bottom w:val="single" w:color="auto" w:sz="4" w:space="0"/>
              <w:right w:val="single" w:color="auto" w:sz="4" w:space="0"/>
            </w:tcBorders>
            <w:shd w:val="clear" w:color="auto" w:fill="FFFFFF"/>
            <w:noWrap/>
            <w:vAlign w:val="center"/>
          </w:tcPr>
          <w:p w14:paraId="27F1C9EB">
            <w:pPr>
              <w:spacing w:line="240" w:lineRule="auto"/>
              <w:rPr>
                <w:rFonts w:ascii="宋体" w:hAnsi="宋体" w:cs="宋体"/>
                <w:color w:val="000000"/>
                <w:szCs w:val="18"/>
                <w:lang w:val="en-US"/>
              </w:rPr>
            </w:pPr>
            <w:r>
              <w:rPr>
                <w:rFonts w:ascii="宋体" w:hAnsi="宋体" w:cs="宋体"/>
                <w:color w:val="000000"/>
                <w:szCs w:val="18"/>
                <w:lang w:val="en-US"/>
              </w:rPr>
              <w:t>12.16</w:t>
            </w:r>
          </w:p>
        </w:tc>
        <w:tc>
          <w:tcPr>
            <w:tcW w:w="987" w:type="dxa"/>
            <w:tcBorders>
              <w:top w:val="nil"/>
              <w:left w:val="nil"/>
              <w:bottom w:val="single" w:color="auto" w:sz="4" w:space="0"/>
              <w:right w:val="single" w:color="auto" w:sz="4" w:space="0"/>
            </w:tcBorders>
            <w:shd w:val="clear" w:color="auto" w:fill="FFFFFF"/>
            <w:noWrap/>
            <w:vAlign w:val="center"/>
          </w:tcPr>
          <w:p w14:paraId="5C7C75D2">
            <w:pPr>
              <w:spacing w:line="240" w:lineRule="auto"/>
              <w:rPr>
                <w:rFonts w:ascii="宋体" w:hAnsi="宋体" w:cs="宋体"/>
                <w:color w:val="000000"/>
                <w:szCs w:val="18"/>
                <w:lang w:val="en-US"/>
              </w:rPr>
            </w:pPr>
            <w:r>
              <w:rPr>
                <w:rFonts w:ascii="宋体" w:hAnsi="宋体" w:cs="宋体"/>
                <w:color w:val="000000"/>
                <w:szCs w:val="18"/>
                <w:lang w:val="en-US"/>
              </w:rPr>
              <w:t>0.00</w:t>
            </w:r>
          </w:p>
        </w:tc>
      </w:tr>
      <w:tr w14:paraId="07868ACC">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328D9651">
            <w:pPr>
              <w:spacing w:line="240" w:lineRule="auto"/>
              <w:rPr>
                <w:rFonts w:ascii="宋体" w:hAnsi="宋体" w:cs="宋体"/>
                <w:color w:val="0000FF"/>
                <w:szCs w:val="18"/>
                <w:lang w:val="en-US"/>
              </w:rPr>
            </w:pPr>
            <w:r>
              <w:rPr>
                <w:rFonts w:ascii="宋体" w:hAnsi="宋体" w:cs="宋体"/>
                <w:color w:val="0000FF"/>
                <w:szCs w:val="18"/>
                <w:lang w:val="en-US"/>
              </w:rPr>
              <w:t xml:space="preserve"> 1032[普通办公室]</w:t>
            </w:r>
          </w:p>
        </w:tc>
        <w:tc>
          <w:tcPr>
            <w:tcBorders>
              <w:top w:val="nil"/>
              <w:left w:val="nil"/>
              <w:bottom w:val="single" w:color="auto" w:sz="4" w:space="0"/>
              <w:right w:val="single" w:color="auto" w:sz="4" w:space="0"/>
            </w:tcBorders>
            <w:shd w:val="clear" w:color="auto" w:fill="FFFFFF"/>
            <w:noWrap/>
            <w:vAlign w:val="center"/>
          </w:tcPr>
          <w:p w14:paraId="78850E62">
            <w:pPr>
              <w:spacing w:line="240" w:lineRule="auto"/>
              <w:rPr>
                <w:rFonts w:ascii="宋体" w:hAnsi="宋体" w:cs="宋体"/>
                <w:color w:val="000000"/>
                <w:szCs w:val="18"/>
                <w:lang w:val="en-US"/>
              </w:rPr>
            </w:pPr>
            <w:r>
              <w:rPr>
                <w:rFonts w:ascii="宋体" w:hAnsi="宋体" w:cs="宋体"/>
                <w:color w:val="000000"/>
                <w:szCs w:val="18"/>
                <w:lang w:val="en-US"/>
              </w:rPr>
              <w:t>35.18</w:t>
            </w:r>
          </w:p>
        </w:tc>
        <w:tc>
          <w:tcPr>
            <w:tcBorders>
              <w:top w:val="nil"/>
              <w:left w:val="nil"/>
              <w:bottom w:val="single" w:color="auto" w:sz="4" w:space="0"/>
              <w:right w:val="single" w:color="auto" w:sz="4" w:space="0"/>
            </w:tcBorders>
            <w:shd w:val="clear" w:color="auto" w:fill="FFFFFF"/>
            <w:noWrap/>
            <w:vAlign w:val="center"/>
          </w:tcPr>
          <w:p w14:paraId="66CAC5B1">
            <w:pPr>
              <w:spacing w:line="240" w:lineRule="auto"/>
              <w:rPr>
                <w:rFonts w:ascii="宋体" w:hAnsi="宋体" w:cs="宋体"/>
                <w:color w:val="000000"/>
                <w:szCs w:val="18"/>
                <w:lang w:val="en-US"/>
              </w:rPr>
            </w:pPr>
            <w:r>
              <w:rPr>
                <w:rFonts w:ascii="宋体" w:hAnsi="宋体" w:cs="宋体"/>
                <w:color w:val="000000"/>
                <w:szCs w:val="18"/>
                <w:lang w:val="en-US"/>
              </w:rPr>
              <w:t>9.02</w:t>
            </w:r>
          </w:p>
        </w:tc>
        <w:tc>
          <w:tcPr>
            <w:tcW w:w="987" w:type="dxa"/>
            <w:tcBorders>
              <w:top w:val="nil"/>
              <w:left w:val="nil"/>
              <w:bottom w:val="single" w:color="auto" w:sz="4" w:space="0"/>
              <w:right w:val="single" w:color="auto" w:sz="4" w:space="0"/>
            </w:tcBorders>
            <w:shd w:val="clear" w:color="auto" w:fill="FFFFFF"/>
            <w:noWrap/>
            <w:vAlign w:val="center"/>
          </w:tcPr>
          <w:p w14:paraId="60363C46">
            <w:pPr>
              <w:spacing w:line="240" w:lineRule="auto"/>
              <w:rPr>
                <w:rFonts w:ascii="宋体" w:hAnsi="宋体" w:cs="宋体"/>
                <w:color w:val="000000"/>
                <w:szCs w:val="18"/>
                <w:lang w:val="en-US"/>
              </w:rPr>
            </w:pPr>
            <w:r>
              <w:rPr>
                <w:rFonts w:ascii="宋体" w:hAnsi="宋体" w:cs="宋体"/>
                <w:color w:val="000000"/>
                <w:szCs w:val="18"/>
                <w:lang w:val="en-US"/>
              </w:rPr>
              <w:t>0.00</w:t>
            </w:r>
          </w:p>
        </w:tc>
      </w:tr>
      <w:tr w14:paraId="485D0AA8">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23FD1FD1">
            <w:pPr>
              <w:spacing w:line="240" w:lineRule="auto"/>
              <w:rPr>
                <w:rFonts w:ascii="宋体" w:hAnsi="宋体" w:cs="宋体"/>
                <w:color w:val="0000FF"/>
                <w:szCs w:val="18"/>
                <w:lang w:val="en-US"/>
              </w:rPr>
            </w:pPr>
            <w:r>
              <w:rPr>
                <w:rFonts w:ascii="宋体" w:hAnsi="宋体" w:cs="宋体"/>
                <w:color w:val="0000FF"/>
                <w:szCs w:val="18"/>
                <w:lang w:val="en-US"/>
              </w:rPr>
              <w:t xml:space="preserve"> 1034[消毒室]</w:t>
            </w:r>
          </w:p>
        </w:tc>
        <w:tc>
          <w:tcPr>
            <w:tcBorders>
              <w:top w:val="nil"/>
              <w:left w:val="nil"/>
              <w:bottom w:val="single" w:color="auto" w:sz="4" w:space="0"/>
              <w:right w:val="single" w:color="auto" w:sz="4" w:space="0"/>
            </w:tcBorders>
            <w:shd w:val="clear" w:color="auto" w:fill="FFFFFF"/>
            <w:noWrap/>
            <w:vAlign w:val="center"/>
          </w:tcPr>
          <w:p w14:paraId="32628D3F">
            <w:pPr>
              <w:spacing w:line="240" w:lineRule="auto"/>
              <w:rPr>
                <w:rFonts w:ascii="宋体" w:hAnsi="宋体" w:cs="宋体"/>
                <w:color w:val="000000"/>
                <w:szCs w:val="18"/>
                <w:lang w:val="en-US"/>
              </w:rPr>
            </w:pPr>
            <w:r>
              <w:rPr>
                <w:rFonts w:ascii="宋体" w:hAnsi="宋体" w:cs="宋体"/>
                <w:color w:val="000000"/>
                <w:szCs w:val="18"/>
                <w:lang w:val="en-US"/>
              </w:rPr>
              <w:t>27.14</w:t>
            </w:r>
          </w:p>
        </w:tc>
        <w:tc>
          <w:tcPr>
            <w:tcBorders>
              <w:top w:val="nil"/>
              <w:left w:val="nil"/>
              <w:bottom w:val="single" w:color="auto" w:sz="4" w:space="0"/>
              <w:right w:val="single" w:color="auto" w:sz="4" w:space="0"/>
            </w:tcBorders>
            <w:shd w:val="clear" w:color="auto" w:fill="FFFFFF"/>
            <w:noWrap/>
            <w:vAlign w:val="center"/>
          </w:tcPr>
          <w:p w14:paraId="76BC3A58">
            <w:pPr>
              <w:spacing w:line="240" w:lineRule="auto"/>
              <w:rPr>
                <w:rFonts w:ascii="宋体" w:hAnsi="宋体" w:cs="宋体"/>
                <w:color w:val="000000"/>
                <w:szCs w:val="18"/>
                <w:lang w:val="en-US"/>
              </w:rPr>
            </w:pPr>
            <w:r>
              <w:rPr>
                <w:rFonts w:ascii="宋体" w:hAnsi="宋体" w:cs="宋体"/>
                <w:color w:val="000000"/>
                <w:szCs w:val="18"/>
                <w:lang w:val="en-US"/>
              </w:rPr>
              <w:t>6.96</w:t>
            </w:r>
          </w:p>
        </w:tc>
        <w:tc>
          <w:tcPr>
            <w:tcW w:w="987" w:type="dxa"/>
            <w:tcBorders>
              <w:top w:val="nil"/>
              <w:left w:val="nil"/>
              <w:bottom w:val="single" w:color="auto" w:sz="4" w:space="0"/>
              <w:right w:val="single" w:color="auto" w:sz="4" w:space="0"/>
            </w:tcBorders>
            <w:shd w:val="clear" w:color="auto" w:fill="FFFFFF"/>
            <w:noWrap/>
            <w:vAlign w:val="center"/>
          </w:tcPr>
          <w:p w14:paraId="3503A5BC">
            <w:pPr>
              <w:spacing w:line="240" w:lineRule="auto"/>
              <w:rPr>
                <w:rFonts w:ascii="宋体" w:hAnsi="宋体" w:cs="宋体"/>
                <w:color w:val="000000"/>
                <w:szCs w:val="18"/>
                <w:lang w:val="en-US"/>
              </w:rPr>
            </w:pPr>
            <w:r>
              <w:rPr>
                <w:rFonts w:ascii="宋体" w:hAnsi="宋体" w:cs="宋体"/>
                <w:color w:val="000000"/>
                <w:szCs w:val="18"/>
                <w:lang w:val="en-US"/>
              </w:rPr>
              <w:t>0.00</w:t>
            </w:r>
          </w:p>
        </w:tc>
      </w:tr>
      <w:tr w14:paraId="5DA9B331">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07772D68">
            <w:pPr>
              <w:spacing w:line="240" w:lineRule="auto"/>
              <w:rPr>
                <w:rFonts w:ascii="宋体" w:hAnsi="宋体" w:cs="宋体"/>
                <w:color w:val="0000FF"/>
                <w:szCs w:val="18"/>
                <w:lang w:val="en-US"/>
              </w:rPr>
            </w:pPr>
            <w:r>
              <w:rPr>
                <w:rFonts w:ascii="宋体" w:hAnsi="宋体" w:cs="宋体"/>
                <w:color w:val="0000FF"/>
                <w:szCs w:val="18"/>
                <w:lang w:val="en-US"/>
              </w:rPr>
              <w:t xml:space="preserve"> 1037[普通办公室]</w:t>
            </w:r>
          </w:p>
        </w:tc>
        <w:tc>
          <w:tcPr>
            <w:tcBorders>
              <w:top w:val="nil"/>
              <w:left w:val="nil"/>
              <w:bottom w:val="single" w:color="auto" w:sz="4" w:space="0"/>
              <w:right w:val="single" w:color="auto" w:sz="4" w:space="0"/>
            </w:tcBorders>
            <w:shd w:val="clear" w:color="auto" w:fill="FFFFFF"/>
            <w:noWrap/>
            <w:vAlign w:val="center"/>
          </w:tcPr>
          <w:p w14:paraId="5C8A7555">
            <w:pPr>
              <w:spacing w:line="240" w:lineRule="auto"/>
              <w:rPr>
                <w:rFonts w:ascii="宋体" w:hAnsi="宋体" w:cs="宋体"/>
                <w:color w:val="000000"/>
                <w:szCs w:val="18"/>
                <w:lang w:val="en-US"/>
              </w:rPr>
            </w:pPr>
            <w:r>
              <w:rPr>
                <w:rFonts w:ascii="宋体" w:hAnsi="宋体" w:cs="宋体"/>
                <w:color w:val="000000"/>
                <w:szCs w:val="18"/>
                <w:lang w:val="en-US"/>
              </w:rPr>
              <w:t>20.96</w:t>
            </w:r>
          </w:p>
        </w:tc>
        <w:tc>
          <w:tcPr>
            <w:tcBorders>
              <w:top w:val="nil"/>
              <w:left w:val="nil"/>
              <w:bottom w:val="single" w:color="auto" w:sz="4" w:space="0"/>
              <w:right w:val="single" w:color="auto" w:sz="4" w:space="0"/>
            </w:tcBorders>
            <w:shd w:val="clear" w:color="auto" w:fill="FFFFFF"/>
            <w:noWrap/>
            <w:vAlign w:val="center"/>
          </w:tcPr>
          <w:p w14:paraId="3918545A">
            <w:pPr>
              <w:spacing w:line="240" w:lineRule="auto"/>
              <w:rPr>
                <w:rFonts w:ascii="宋体" w:hAnsi="宋体" w:cs="宋体"/>
                <w:color w:val="000000"/>
                <w:szCs w:val="18"/>
                <w:lang w:val="en-US"/>
              </w:rPr>
            </w:pPr>
            <w:r>
              <w:rPr>
                <w:rFonts w:ascii="宋体" w:hAnsi="宋体" w:cs="宋体"/>
                <w:color w:val="000000"/>
                <w:szCs w:val="18"/>
                <w:lang w:val="en-US"/>
              </w:rPr>
              <w:t>5.38</w:t>
            </w:r>
          </w:p>
        </w:tc>
        <w:tc>
          <w:tcPr>
            <w:tcW w:w="987" w:type="dxa"/>
            <w:tcBorders>
              <w:top w:val="nil"/>
              <w:left w:val="nil"/>
              <w:bottom w:val="single" w:color="auto" w:sz="4" w:space="0"/>
              <w:right w:val="single" w:color="auto" w:sz="4" w:space="0"/>
            </w:tcBorders>
            <w:shd w:val="clear" w:color="auto" w:fill="FFFFFF"/>
            <w:noWrap/>
            <w:vAlign w:val="center"/>
          </w:tcPr>
          <w:p w14:paraId="4DBC6895">
            <w:pPr>
              <w:spacing w:line="240" w:lineRule="auto"/>
              <w:rPr>
                <w:rFonts w:ascii="宋体" w:hAnsi="宋体" w:cs="宋体"/>
                <w:color w:val="000000"/>
                <w:szCs w:val="18"/>
                <w:lang w:val="en-US"/>
              </w:rPr>
            </w:pPr>
            <w:r>
              <w:rPr>
                <w:rFonts w:ascii="宋体" w:hAnsi="宋体" w:cs="宋体"/>
                <w:color w:val="000000"/>
                <w:szCs w:val="18"/>
                <w:lang w:val="en-US"/>
              </w:rPr>
              <w:t>51.42</w:t>
            </w:r>
          </w:p>
        </w:tc>
      </w:tr>
      <w:tr w14:paraId="2ABD9ACA">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78092498">
            <w:pPr>
              <w:spacing w:line="240" w:lineRule="auto"/>
              <w:rPr>
                <w:rFonts w:ascii="宋体" w:hAnsi="宋体" w:cs="宋体"/>
                <w:color w:val="0000FF"/>
                <w:szCs w:val="18"/>
                <w:lang w:val="en-US"/>
              </w:rPr>
            </w:pPr>
            <w:r>
              <w:rPr>
                <w:rFonts w:ascii="宋体" w:hAnsi="宋体" w:cs="宋体"/>
                <w:color w:val="0000FF"/>
                <w:szCs w:val="18"/>
                <w:lang w:val="en-US"/>
              </w:rPr>
              <w:t xml:space="preserve"> 1038[副食库]</w:t>
            </w:r>
          </w:p>
        </w:tc>
        <w:tc>
          <w:tcPr>
            <w:tcBorders>
              <w:top w:val="nil"/>
              <w:left w:val="nil"/>
              <w:bottom w:val="single" w:color="auto" w:sz="4" w:space="0"/>
              <w:right w:val="single" w:color="auto" w:sz="4" w:space="0"/>
            </w:tcBorders>
            <w:shd w:val="clear" w:color="auto" w:fill="FFFFFF"/>
            <w:noWrap/>
            <w:vAlign w:val="center"/>
          </w:tcPr>
          <w:p w14:paraId="37C52435">
            <w:pPr>
              <w:spacing w:line="240" w:lineRule="auto"/>
              <w:rPr>
                <w:rFonts w:ascii="宋体" w:hAnsi="宋体" w:cs="宋体"/>
                <w:color w:val="000000"/>
                <w:szCs w:val="18"/>
                <w:lang w:val="en-US"/>
              </w:rPr>
            </w:pPr>
            <w:r>
              <w:rPr>
                <w:rFonts w:ascii="宋体" w:hAnsi="宋体" w:cs="宋体"/>
                <w:color w:val="000000"/>
                <w:szCs w:val="18"/>
                <w:lang w:val="en-US"/>
              </w:rPr>
              <w:t>20.59</w:t>
            </w:r>
          </w:p>
        </w:tc>
        <w:tc>
          <w:tcPr>
            <w:tcBorders>
              <w:top w:val="nil"/>
              <w:left w:val="nil"/>
              <w:bottom w:val="single" w:color="auto" w:sz="4" w:space="0"/>
              <w:right w:val="single" w:color="auto" w:sz="4" w:space="0"/>
            </w:tcBorders>
            <w:shd w:val="clear" w:color="auto" w:fill="FFFFFF"/>
            <w:noWrap/>
            <w:vAlign w:val="center"/>
          </w:tcPr>
          <w:p w14:paraId="7B92B279">
            <w:pPr>
              <w:spacing w:line="240" w:lineRule="auto"/>
              <w:rPr>
                <w:rFonts w:ascii="宋体" w:hAnsi="宋体" w:cs="宋体"/>
                <w:color w:val="000000"/>
                <w:szCs w:val="18"/>
                <w:lang w:val="en-US"/>
              </w:rPr>
            </w:pPr>
            <w:r>
              <w:rPr>
                <w:rFonts w:ascii="宋体" w:hAnsi="宋体" w:cs="宋体"/>
                <w:color w:val="000000"/>
                <w:szCs w:val="18"/>
                <w:lang w:val="en-US"/>
              </w:rPr>
              <w:t>5.28</w:t>
            </w:r>
          </w:p>
        </w:tc>
        <w:tc>
          <w:tcPr>
            <w:tcW w:w="987" w:type="dxa"/>
            <w:tcBorders>
              <w:top w:val="nil"/>
              <w:left w:val="nil"/>
              <w:bottom w:val="single" w:color="auto" w:sz="4" w:space="0"/>
              <w:right w:val="single" w:color="auto" w:sz="4" w:space="0"/>
            </w:tcBorders>
            <w:shd w:val="clear" w:color="auto" w:fill="FFFFFF"/>
            <w:noWrap/>
            <w:vAlign w:val="center"/>
          </w:tcPr>
          <w:p w14:paraId="082FC522">
            <w:pPr>
              <w:spacing w:line="240" w:lineRule="auto"/>
              <w:rPr>
                <w:rFonts w:ascii="宋体" w:hAnsi="宋体" w:cs="宋体"/>
                <w:color w:val="000000"/>
                <w:szCs w:val="18"/>
                <w:lang w:val="en-US"/>
              </w:rPr>
            </w:pPr>
            <w:r>
              <w:rPr>
                <w:rFonts w:ascii="宋体" w:hAnsi="宋体" w:cs="宋体"/>
                <w:color w:val="000000"/>
                <w:szCs w:val="18"/>
                <w:lang w:val="en-US"/>
              </w:rPr>
              <w:t>0.00</w:t>
            </w:r>
          </w:p>
        </w:tc>
      </w:tr>
      <w:tr w14:paraId="4E3B5802">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2FBFF64E">
            <w:pPr>
              <w:spacing w:line="240" w:lineRule="auto"/>
              <w:rPr>
                <w:rFonts w:ascii="宋体" w:hAnsi="宋体" w:cs="宋体"/>
                <w:color w:val="0000FF"/>
                <w:szCs w:val="18"/>
                <w:lang w:val="en-US"/>
              </w:rPr>
            </w:pPr>
            <w:r>
              <w:rPr>
                <w:rFonts w:ascii="宋体" w:hAnsi="宋体" w:cs="宋体"/>
                <w:color w:val="0000FF"/>
                <w:szCs w:val="18"/>
                <w:lang w:val="en-US"/>
              </w:rPr>
              <w:t xml:space="preserve"> 1039[主食库]</w:t>
            </w:r>
          </w:p>
        </w:tc>
        <w:tc>
          <w:tcPr>
            <w:tcBorders>
              <w:top w:val="nil"/>
              <w:left w:val="nil"/>
              <w:bottom w:val="single" w:color="auto" w:sz="4" w:space="0"/>
              <w:right w:val="single" w:color="auto" w:sz="4" w:space="0"/>
            </w:tcBorders>
            <w:shd w:val="clear" w:color="auto" w:fill="FFFFFF"/>
            <w:noWrap/>
            <w:vAlign w:val="center"/>
          </w:tcPr>
          <w:p w14:paraId="1F187670">
            <w:pPr>
              <w:spacing w:line="240" w:lineRule="auto"/>
              <w:rPr>
                <w:rFonts w:ascii="宋体" w:hAnsi="宋体" w:cs="宋体"/>
                <w:color w:val="000000"/>
                <w:szCs w:val="18"/>
                <w:lang w:val="en-US"/>
              </w:rPr>
            </w:pPr>
            <w:r>
              <w:rPr>
                <w:rFonts w:ascii="宋体" w:hAnsi="宋体" w:cs="宋体"/>
                <w:color w:val="000000"/>
                <w:szCs w:val="18"/>
                <w:lang w:val="en-US"/>
              </w:rPr>
              <w:t>20.59</w:t>
            </w:r>
          </w:p>
        </w:tc>
        <w:tc>
          <w:tcPr>
            <w:tcBorders>
              <w:top w:val="nil"/>
              <w:left w:val="nil"/>
              <w:bottom w:val="single" w:color="auto" w:sz="4" w:space="0"/>
              <w:right w:val="single" w:color="auto" w:sz="4" w:space="0"/>
            </w:tcBorders>
            <w:shd w:val="clear" w:color="auto" w:fill="FFFFFF"/>
            <w:noWrap/>
            <w:vAlign w:val="center"/>
          </w:tcPr>
          <w:p w14:paraId="3AF06B0F">
            <w:pPr>
              <w:spacing w:line="240" w:lineRule="auto"/>
              <w:rPr>
                <w:rFonts w:ascii="宋体" w:hAnsi="宋体" w:cs="宋体"/>
                <w:color w:val="000000"/>
                <w:szCs w:val="18"/>
                <w:lang w:val="en-US"/>
              </w:rPr>
            </w:pPr>
            <w:r>
              <w:rPr>
                <w:rFonts w:ascii="宋体" w:hAnsi="宋体" w:cs="宋体"/>
                <w:color w:val="000000"/>
                <w:szCs w:val="18"/>
                <w:lang w:val="en-US"/>
              </w:rPr>
              <w:t>5.28</w:t>
            </w:r>
          </w:p>
        </w:tc>
        <w:tc>
          <w:tcPr>
            <w:tcW w:w="987" w:type="dxa"/>
            <w:tcBorders>
              <w:top w:val="nil"/>
              <w:left w:val="nil"/>
              <w:bottom w:val="single" w:color="auto" w:sz="4" w:space="0"/>
              <w:right w:val="single" w:color="auto" w:sz="4" w:space="0"/>
            </w:tcBorders>
            <w:shd w:val="clear" w:color="auto" w:fill="FFFFFF"/>
            <w:noWrap/>
            <w:vAlign w:val="center"/>
          </w:tcPr>
          <w:p w14:paraId="4EB9123C">
            <w:pPr>
              <w:spacing w:line="240" w:lineRule="auto"/>
              <w:rPr>
                <w:rFonts w:ascii="宋体" w:hAnsi="宋体" w:cs="宋体"/>
                <w:color w:val="000000"/>
                <w:szCs w:val="18"/>
                <w:lang w:val="en-US"/>
              </w:rPr>
            </w:pPr>
            <w:r>
              <w:rPr>
                <w:rFonts w:ascii="宋体" w:hAnsi="宋体" w:cs="宋体"/>
                <w:color w:val="000000"/>
                <w:szCs w:val="18"/>
                <w:lang w:val="en-US"/>
              </w:rPr>
              <w:t>0.00</w:t>
            </w:r>
          </w:p>
        </w:tc>
      </w:tr>
      <w:tr w14:paraId="43FA057E">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20B0624D">
            <w:pPr>
              <w:spacing w:line="240" w:lineRule="auto"/>
              <w:rPr>
                <w:rFonts w:ascii="宋体" w:hAnsi="宋体" w:cs="宋体"/>
                <w:color w:val="0000FF"/>
                <w:szCs w:val="18"/>
                <w:lang w:val="en-US"/>
              </w:rPr>
            </w:pPr>
            <w:r>
              <w:rPr>
                <w:rFonts w:ascii="宋体" w:hAnsi="宋体" w:cs="宋体"/>
                <w:color w:val="0000FF"/>
                <w:szCs w:val="18"/>
                <w:lang w:val="en-US"/>
              </w:rPr>
              <w:t xml:space="preserve"> 1040[洗消间]</w:t>
            </w:r>
          </w:p>
        </w:tc>
        <w:tc>
          <w:tcPr>
            <w:tcBorders>
              <w:top w:val="nil"/>
              <w:left w:val="nil"/>
              <w:bottom w:val="single" w:color="auto" w:sz="4" w:space="0"/>
              <w:right w:val="single" w:color="auto" w:sz="4" w:space="0"/>
            </w:tcBorders>
            <w:shd w:val="clear" w:color="auto" w:fill="FFFFFF"/>
            <w:noWrap/>
            <w:vAlign w:val="center"/>
          </w:tcPr>
          <w:p w14:paraId="18F9B22E">
            <w:pPr>
              <w:spacing w:line="240" w:lineRule="auto"/>
              <w:rPr>
                <w:rFonts w:ascii="宋体" w:hAnsi="宋体" w:cs="宋体"/>
                <w:color w:val="000000"/>
                <w:szCs w:val="18"/>
                <w:lang w:val="en-US"/>
              </w:rPr>
            </w:pPr>
            <w:r>
              <w:rPr>
                <w:rFonts w:ascii="宋体" w:hAnsi="宋体" w:cs="宋体"/>
                <w:color w:val="000000"/>
                <w:szCs w:val="18"/>
                <w:lang w:val="en-US"/>
              </w:rPr>
              <w:t>20.59</w:t>
            </w:r>
          </w:p>
        </w:tc>
        <w:tc>
          <w:tcPr>
            <w:tcBorders>
              <w:top w:val="nil"/>
              <w:left w:val="nil"/>
              <w:bottom w:val="single" w:color="auto" w:sz="4" w:space="0"/>
              <w:right w:val="single" w:color="auto" w:sz="4" w:space="0"/>
            </w:tcBorders>
            <w:shd w:val="clear" w:color="auto" w:fill="FFFFFF"/>
            <w:noWrap/>
            <w:vAlign w:val="center"/>
          </w:tcPr>
          <w:p w14:paraId="6C6A7175">
            <w:pPr>
              <w:spacing w:line="240" w:lineRule="auto"/>
              <w:rPr>
                <w:rFonts w:ascii="宋体" w:hAnsi="宋体" w:cs="宋体"/>
                <w:color w:val="000000"/>
                <w:szCs w:val="18"/>
                <w:lang w:val="en-US"/>
              </w:rPr>
            </w:pPr>
            <w:r>
              <w:rPr>
                <w:rFonts w:ascii="宋体" w:hAnsi="宋体" w:cs="宋体"/>
                <w:color w:val="000000"/>
                <w:szCs w:val="18"/>
                <w:lang w:val="en-US"/>
              </w:rPr>
              <w:t>5.28</w:t>
            </w:r>
          </w:p>
        </w:tc>
        <w:tc>
          <w:tcPr>
            <w:tcW w:w="987" w:type="dxa"/>
            <w:tcBorders>
              <w:top w:val="nil"/>
              <w:left w:val="nil"/>
              <w:bottom w:val="single" w:color="auto" w:sz="4" w:space="0"/>
              <w:right w:val="single" w:color="auto" w:sz="4" w:space="0"/>
            </w:tcBorders>
            <w:shd w:val="clear" w:color="auto" w:fill="FFFFFF"/>
            <w:noWrap/>
            <w:vAlign w:val="center"/>
          </w:tcPr>
          <w:p w14:paraId="04614F0D">
            <w:pPr>
              <w:spacing w:line="240" w:lineRule="auto"/>
              <w:rPr>
                <w:rFonts w:ascii="宋体" w:hAnsi="宋体" w:cs="宋体"/>
                <w:color w:val="000000"/>
                <w:szCs w:val="18"/>
                <w:lang w:val="en-US"/>
              </w:rPr>
            </w:pPr>
            <w:r>
              <w:rPr>
                <w:rFonts w:ascii="宋体" w:hAnsi="宋体" w:cs="宋体"/>
                <w:color w:val="000000"/>
                <w:szCs w:val="18"/>
                <w:lang w:val="en-US"/>
              </w:rPr>
              <w:t>0.00</w:t>
            </w:r>
          </w:p>
        </w:tc>
      </w:tr>
      <w:tr w14:paraId="7F9E06A1">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6E7EE368">
            <w:pPr>
              <w:spacing w:line="240" w:lineRule="auto"/>
              <w:rPr>
                <w:rFonts w:ascii="宋体" w:hAnsi="宋体" w:cs="宋体"/>
                <w:color w:val="0000FF"/>
                <w:szCs w:val="18"/>
                <w:lang w:val="en-US"/>
              </w:rPr>
            </w:pPr>
            <w:r>
              <w:rPr>
                <w:rFonts w:ascii="宋体" w:hAnsi="宋体" w:cs="宋体"/>
                <w:color w:val="0000FF"/>
                <w:szCs w:val="18"/>
                <w:lang w:val="en-US"/>
              </w:rPr>
              <w:t xml:space="preserve"> 1044[配电间]</w:t>
            </w:r>
          </w:p>
        </w:tc>
        <w:tc>
          <w:tcPr>
            <w:tcBorders>
              <w:top w:val="nil"/>
              <w:left w:val="nil"/>
              <w:bottom w:val="single" w:color="auto" w:sz="4" w:space="0"/>
              <w:right w:val="single" w:color="auto" w:sz="4" w:space="0"/>
            </w:tcBorders>
            <w:shd w:val="clear" w:color="auto" w:fill="FFFFFF"/>
            <w:noWrap/>
            <w:vAlign w:val="center"/>
          </w:tcPr>
          <w:p w14:paraId="0825D2B0">
            <w:pPr>
              <w:spacing w:line="240" w:lineRule="auto"/>
              <w:rPr>
                <w:rFonts w:ascii="宋体" w:hAnsi="宋体" w:cs="宋体"/>
                <w:color w:val="000000"/>
                <w:szCs w:val="18"/>
                <w:lang w:val="en-US"/>
              </w:rPr>
            </w:pPr>
            <w:r>
              <w:rPr>
                <w:rFonts w:ascii="宋体" w:hAnsi="宋体" w:cs="宋体"/>
                <w:color w:val="000000"/>
                <w:szCs w:val="18"/>
                <w:lang w:val="en-US"/>
              </w:rPr>
              <w:t>16.38</w:t>
            </w:r>
          </w:p>
        </w:tc>
        <w:tc>
          <w:tcPr>
            <w:tcBorders>
              <w:top w:val="nil"/>
              <w:left w:val="nil"/>
              <w:bottom w:val="single" w:color="auto" w:sz="4" w:space="0"/>
              <w:right w:val="single" w:color="auto" w:sz="4" w:space="0"/>
            </w:tcBorders>
            <w:shd w:val="clear" w:color="auto" w:fill="FFFFFF"/>
            <w:noWrap/>
            <w:vAlign w:val="center"/>
          </w:tcPr>
          <w:p w14:paraId="2A5C737C">
            <w:pPr>
              <w:spacing w:line="240" w:lineRule="auto"/>
              <w:rPr>
                <w:rFonts w:ascii="宋体" w:hAnsi="宋体" w:cs="宋体"/>
                <w:color w:val="000000"/>
                <w:szCs w:val="18"/>
                <w:lang w:val="en-US"/>
              </w:rPr>
            </w:pPr>
            <w:r>
              <w:rPr>
                <w:rFonts w:ascii="宋体" w:hAnsi="宋体" w:cs="宋体"/>
                <w:color w:val="000000"/>
                <w:szCs w:val="18"/>
                <w:lang w:val="en-US"/>
              </w:rPr>
              <w:t>4.20</w:t>
            </w:r>
          </w:p>
        </w:tc>
        <w:tc>
          <w:tcPr>
            <w:tcW w:w="987" w:type="dxa"/>
            <w:tcBorders>
              <w:top w:val="nil"/>
              <w:left w:val="nil"/>
              <w:bottom w:val="single" w:color="auto" w:sz="4" w:space="0"/>
              <w:right w:val="single" w:color="auto" w:sz="4" w:space="0"/>
            </w:tcBorders>
            <w:shd w:val="clear" w:color="auto" w:fill="FFFFFF"/>
            <w:noWrap/>
            <w:vAlign w:val="center"/>
          </w:tcPr>
          <w:p w14:paraId="7CF3A87C">
            <w:pPr>
              <w:spacing w:line="240" w:lineRule="auto"/>
              <w:rPr>
                <w:rFonts w:ascii="宋体" w:hAnsi="宋体" w:cs="宋体"/>
                <w:color w:val="000000"/>
                <w:szCs w:val="18"/>
                <w:lang w:val="en-US"/>
              </w:rPr>
            </w:pPr>
            <w:r>
              <w:rPr>
                <w:rFonts w:ascii="宋体" w:hAnsi="宋体" w:cs="宋体"/>
                <w:color w:val="000000"/>
                <w:szCs w:val="18"/>
                <w:lang w:val="en-US"/>
              </w:rPr>
              <w:t>0.00</w:t>
            </w:r>
          </w:p>
        </w:tc>
      </w:tr>
      <w:tr w14:paraId="0E064E45">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42BDFBCD">
            <w:pPr>
              <w:spacing w:line="240" w:lineRule="auto"/>
              <w:rPr>
                <w:rFonts w:ascii="宋体" w:hAnsi="宋体" w:cs="宋体"/>
                <w:color w:val="0000FF"/>
                <w:szCs w:val="18"/>
                <w:lang w:val="en-US"/>
              </w:rPr>
            </w:pPr>
            <w:r>
              <w:rPr>
                <w:rFonts w:ascii="宋体" w:hAnsi="宋体" w:cs="宋体"/>
                <w:color w:val="0000FF"/>
                <w:szCs w:val="18"/>
                <w:lang w:val="en-US"/>
              </w:rPr>
              <w:t xml:space="preserve"> 2层</w:t>
            </w:r>
          </w:p>
        </w:tc>
        <w:tc>
          <w:tcPr>
            <w:tcBorders>
              <w:top w:val="nil"/>
              <w:left w:val="nil"/>
              <w:bottom w:val="single" w:color="auto" w:sz="4" w:space="0"/>
              <w:right w:val="single" w:color="auto" w:sz="4" w:space="0"/>
            </w:tcBorders>
            <w:shd w:val="clear" w:color="auto" w:fill="FFFFFF"/>
            <w:noWrap/>
            <w:vAlign w:val="center"/>
          </w:tcPr>
          <w:p w14:paraId="292F22C2">
            <w:pPr>
              <w:spacing w:line="240" w:lineRule="auto"/>
              <w:rPr>
                <w:rFonts w:ascii="宋体" w:hAnsi="宋体" w:cs="宋体"/>
                <w:color w:val="000000"/>
                <w:szCs w:val="18"/>
                <w:lang w:val="en-US"/>
              </w:rPr>
            </w:pPr>
          </w:p>
        </w:tc>
        <w:tc>
          <w:tcPr>
            <w:tcBorders>
              <w:top w:val="nil"/>
              <w:left w:val="nil"/>
              <w:bottom w:val="single" w:color="auto" w:sz="4" w:space="0"/>
              <w:right w:val="single" w:color="auto" w:sz="4" w:space="0"/>
            </w:tcBorders>
            <w:shd w:val="clear" w:color="auto" w:fill="FFFFFF"/>
            <w:noWrap/>
            <w:vAlign w:val="center"/>
          </w:tcPr>
          <w:p w14:paraId="6EFF371B">
            <w:pPr>
              <w:spacing w:line="240" w:lineRule="auto"/>
              <w:rPr>
                <w:rFonts w:ascii="宋体" w:hAnsi="宋体" w:cs="宋体"/>
                <w:color w:val="000000"/>
                <w:szCs w:val="18"/>
                <w:lang w:val="en-US"/>
              </w:rPr>
            </w:pPr>
          </w:p>
        </w:tc>
        <w:tc>
          <w:tcPr>
            <w:tcW w:w="987" w:type="dxa"/>
            <w:tcBorders>
              <w:top w:val="nil"/>
              <w:left w:val="nil"/>
              <w:bottom w:val="single" w:color="auto" w:sz="4" w:space="0"/>
              <w:right w:val="single" w:color="auto" w:sz="4" w:space="0"/>
            </w:tcBorders>
            <w:shd w:val="clear" w:color="auto" w:fill="FFFFFF"/>
            <w:noWrap/>
            <w:vAlign w:val="center"/>
          </w:tcPr>
          <w:p w14:paraId="20910E55">
            <w:pPr>
              <w:spacing w:line="240" w:lineRule="auto"/>
              <w:rPr>
                <w:rFonts w:ascii="宋体" w:hAnsi="宋体" w:cs="宋体"/>
                <w:color w:val="000000"/>
                <w:szCs w:val="18"/>
                <w:lang w:val="en-US"/>
              </w:rPr>
            </w:pPr>
          </w:p>
        </w:tc>
      </w:tr>
      <w:tr w14:paraId="2185BB10">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55EA4E42">
            <w:pPr>
              <w:spacing w:line="240" w:lineRule="auto"/>
              <w:rPr>
                <w:rFonts w:ascii="宋体" w:hAnsi="宋体" w:cs="宋体"/>
                <w:color w:val="0000FF"/>
                <w:szCs w:val="18"/>
                <w:lang w:val="en-US"/>
              </w:rPr>
            </w:pPr>
            <w:r>
              <w:rPr>
                <w:rFonts w:ascii="宋体" w:hAnsi="宋体" w:cs="宋体"/>
                <w:color w:val="0000FF"/>
                <w:szCs w:val="18"/>
                <w:lang w:val="en-US"/>
              </w:rPr>
              <w:t xml:space="preserve"> 2005[活动室(30人)]</w:t>
            </w:r>
          </w:p>
        </w:tc>
        <w:tc>
          <w:tcPr>
            <w:tcBorders>
              <w:top w:val="nil"/>
              <w:left w:val="nil"/>
              <w:bottom w:val="single" w:color="auto" w:sz="4" w:space="0"/>
              <w:right w:val="single" w:color="auto" w:sz="4" w:space="0"/>
            </w:tcBorders>
            <w:shd w:val="clear" w:color="auto" w:fill="FFFFFF"/>
            <w:noWrap/>
            <w:vAlign w:val="center"/>
          </w:tcPr>
          <w:p w14:paraId="4C7EACBC">
            <w:pPr>
              <w:spacing w:line="240" w:lineRule="auto"/>
              <w:rPr>
                <w:rFonts w:ascii="宋体" w:hAnsi="宋体" w:cs="宋体"/>
                <w:color w:val="000000"/>
                <w:szCs w:val="18"/>
                <w:lang w:val="en-US"/>
              </w:rPr>
            </w:pPr>
            <w:r>
              <w:rPr>
                <w:rFonts w:ascii="宋体" w:hAnsi="宋体" w:cs="宋体"/>
                <w:color w:val="000000"/>
                <w:szCs w:val="18"/>
                <w:lang w:val="en-US"/>
              </w:rPr>
              <w:t>475.06</w:t>
            </w:r>
          </w:p>
        </w:tc>
        <w:tc>
          <w:tcPr>
            <w:tcBorders>
              <w:top w:val="nil"/>
              <w:left w:val="nil"/>
              <w:bottom w:val="single" w:color="auto" w:sz="4" w:space="0"/>
              <w:right w:val="single" w:color="auto" w:sz="4" w:space="0"/>
            </w:tcBorders>
            <w:shd w:val="clear" w:color="auto" w:fill="FFFFFF"/>
            <w:noWrap/>
            <w:vAlign w:val="center"/>
          </w:tcPr>
          <w:p w14:paraId="58105FEB">
            <w:pPr>
              <w:spacing w:line="240" w:lineRule="auto"/>
              <w:rPr>
                <w:rFonts w:ascii="宋体" w:hAnsi="宋体" w:cs="宋体"/>
                <w:color w:val="000000"/>
                <w:szCs w:val="18"/>
                <w:lang w:val="en-US"/>
              </w:rPr>
            </w:pPr>
            <w:r>
              <w:rPr>
                <w:rFonts w:ascii="宋体" w:hAnsi="宋体" w:cs="宋体"/>
                <w:color w:val="000000"/>
                <w:szCs w:val="18"/>
                <w:lang w:val="en-US"/>
              </w:rPr>
              <w:t>121.81</w:t>
            </w:r>
          </w:p>
        </w:tc>
        <w:tc>
          <w:tcPr>
            <w:tcW w:w="987" w:type="dxa"/>
            <w:tcBorders>
              <w:top w:val="nil"/>
              <w:left w:val="nil"/>
              <w:bottom w:val="single" w:color="auto" w:sz="4" w:space="0"/>
              <w:right w:val="single" w:color="auto" w:sz="4" w:space="0"/>
            </w:tcBorders>
            <w:shd w:val="clear" w:color="auto" w:fill="FFFFFF"/>
            <w:noWrap/>
            <w:vAlign w:val="center"/>
          </w:tcPr>
          <w:p w14:paraId="6F1BA1BA">
            <w:pPr>
              <w:spacing w:line="240" w:lineRule="auto"/>
              <w:rPr>
                <w:rFonts w:ascii="宋体" w:hAnsi="宋体" w:cs="宋体"/>
                <w:color w:val="000000"/>
                <w:szCs w:val="18"/>
                <w:lang w:val="en-US"/>
              </w:rPr>
            </w:pPr>
            <w:r>
              <w:rPr>
                <w:rFonts w:ascii="宋体" w:hAnsi="宋体" w:cs="宋体"/>
                <w:color w:val="000000"/>
                <w:szCs w:val="18"/>
                <w:lang w:val="en-US"/>
              </w:rPr>
              <w:t>11.45</w:t>
            </w:r>
          </w:p>
        </w:tc>
      </w:tr>
      <w:tr w14:paraId="3FF46A6F">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11EA0D99">
            <w:pPr>
              <w:spacing w:line="240" w:lineRule="auto"/>
              <w:rPr>
                <w:rFonts w:ascii="宋体" w:hAnsi="宋体" w:cs="宋体"/>
                <w:color w:val="0000FF"/>
                <w:szCs w:val="18"/>
                <w:lang w:val="en-US"/>
              </w:rPr>
            </w:pPr>
            <w:r>
              <w:rPr>
                <w:rFonts w:ascii="宋体" w:hAnsi="宋体" w:cs="宋体"/>
                <w:color w:val="0000FF"/>
                <w:szCs w:val="18"/>
                <w:lang w:val="en-US"/>
              </w:rPr>
              <w:t xml:space="preserve"> 2008[活动室(30人)]</w:t>
            </w:r>
          </w:p>
        </w:tc>
        <w:tc>
          <w:tcPr>
            <w:tcBorders>
              <w:top w:val="nil"/>
              <w:left w:val="nil"/>
              <w:bottom w:val="single" w:color="auto" w:sz="4" w:space="0"/>
              <w:right w:val="single" w:color="auto" w:sz="4" w:space="0"/>
            </w:tcBorders>
            <w:shd w:val="clear" w:color="auto" w:fill="FFFFFF"/>
            <w:noWrap/>
            <w:vAlign w:val="center"/>
          </w:tcPr>
          <w:p w14:paraId="4A977807">
            <w:pPr>
              <w:spacing w:line="240" w:lineRule="auto"/>
              <w:rPr>
                <w:rFonts w:ascii="宋体" w:hAnsi="宋体" w:cs="宋体"/>
                <w:color w:val="000000"/>
                <w:szCs w:val="18"/>
                <w:lang w:val="en-US"/>
              </w:rPr>
            </w:pPr>
            <w:r>
              <w:rPr>
                <w:rFonts w:ascii="宋体" w:hAnsi="宋体" w:cs="宋体"/>
                <w:color w:val="000000"/>
                <w:szCs w:val="18"/>
                <w:lang w:val="en-US"/>
              </w:rPr>
              <w:t>475.06</w:t>
            </w:r>
          </w:p>
        </w:tc>
        <w:tc>
          <w:tcPr>
            <w:tcBorders>
              <w:top w:val="nil"/>
              <w:left w:val="nil"/>
              <w:bottom w:val="single" w:color="auto" w:sz="4" w:space="0"/>
              <w:right w:val="single" w:color="auto" w:sz="4" w:space="0"/>
            </w:tcBorders>
            <w:shd w:val="clear" w:color="auto" w:fill="FFFFFF"/>
            <w:noWrap/>
            <w:vAlign w:val="center"/>
          </w:tcPr>
          <w:p w14:paraId="58260677">
            <w:pPr>
              <w:spacing w:line="240" w:lineRule="auto"/>
              <w:rPr>
                <w:rFonts w:ascii="宋体" w:hAnsi="宋体" w:cs="宋体"/>
                <w:color w:val="000000"/>
                <w:szCs w:val="18"/>
                <w:lang w:val="en-US"/>
              </w:rPr>
            </w:pPr>
            <w:r>
              <w:rPr>
                <w:rFonts w:ascii="宋体" w:hAnsi="宋体" w:cs="宋体"/>
                <w:color w:val="000000"/>
                <w:szCs w:val="18"/>
                <w:lang w:val="en-US"/>
              </w:rPr>
              <w:t>121.81</w:t>
            </w:r>
          </w:p>
        </w:tc>
        <w:tc>
          <w:tcPr>
            <w:tcW w:w="987" w:type="dxa"/>
            <w:tcBorders>
              <w:top w:val="nil"/>
              <w:left w:val="nil"/>
              <w:bottom w:val="single" w:color="auto" w:sz="4" w:space="0"/>
              <w:right w:val="single" w:color="auto" w:sz="4" w:space="0"/>
            </w:tcBorders>
            <w:shd w:val="clear" w:color="auto" w:fill="FFFFFF"/>
            <w:noWrap/>
            <w:vAlign w:val="center"/>
          </w:tcPr>
          <w:p w14:paraId="6F055F48">
            <w:pPr>
              <w:spacing w:line="240" w:lineRule="auto"/>
              <w:rPr>
                <w:rFonts w:ascii="宋体" w:hAnsi="宋体" w:cs="宋体"/>
                <w:color w:val="000000"/>
                <w:szCs w:val="18"/>
                <w:lang w:val="en-US"/>
              </w:rPr>
            </w:pPr>
            <w:r>
              <w:rPr>
                <w:rFonts w:ascii="宋体" w:hAnsi="宋体" w:cs="宋体"/>
                <w:color w:val="000000"/>
                <w:szCs w:val="18"/>
                <w:lang w:val="en-US"/>
              </w:rPr>
              <w:t>29.98</w:t>
            </w:r>
          </w:p>
        </w:tc>
      </w:tr>
      <w:tr w14:paraId="3B31FA00">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66C27C19">
            <w:pPr>
              <w:spacing w:line="240" w:lineRule="auto"/>
              <w:rPr>
                <w:rFonts w:ascii="宋体" w:hAnsi="宋体" w:cs="宋体"/>
                <w:color w:val="0000FF"/>
                <w:szCs w:val="18"/>
                <w:lang w:val="en-US"/>
              </w:rPr>
            </w:pPr>
            <w:r>
              <w:rPr>
                <w:rFonts w:ascii="宋体" w:hAnsi="宋体" w:cs="宋体"/>
                <w:color w:val="0000FF"/>
                <w:szCs w:val="18"/>
                <w:lang w:val="en-US"/>
              </w:rPr>
              <w:t xml:space="preserve"> 2011[活动室(30人)]</w:t>
            </w:r>
          </w:p>
        </w:tc>
        <w:tc>
          <w:tcPr>
            <w:tcBorders>
              <w:top w:val="nil"/>
              <w:left w:val="nil"/>
              <w:bottom w:val="single" w:color="auto" w:sz="4" w:space="0"/>
              <w:right w:val="single" w:color="auto" w:sz="4" w:space="0"/>
            </w:tcBorders>
            <w:shd w:val="clear" w:color="auto" w:fill="FFFFFF"/>
            <w:noWrap/>
            <w:vAlign w:val="center"/>
          </w:tcPr>
          <w:p w14:paraId="2B988A92">
            <w:pPr>
              <w:spacing w:line="240" w:lineRule="auto"/>
              <w:rPr>
                <w:rFonts w:ascii="宋体" w:hAnsi="宋体" w:cs="宋体"/>
                <w:color w:val="000000"/>
                <w:szCs w:val="18"/>
                <w:lang w:val="en-US"/>
              </w:rPr>
            </w:pPr>
            <w:r>
              <w:rPr>
                <w:rFonts w:ascii="宋体" w:hAnsi="宋体" w:cs="宋体"/>
                <w:color w:val="000000"/>
                <w:szCs w:val="18"/>
                <w:lang w:val="en-US"/>
              </w:rPr>
              <w:t>473.03</w:t>
            </w:r>
          </w:p>
        </w:tc>
        <w:tc>
          <w:tcPr>
            <w:tcBorders>
              <w:top w:val="nil"/>
              <w:left w:val="nil"/>
              <w:bottom w:val="single" w:color="auto" w:sz="4" w:space="0"/>
              <w:right w:val="single" w:color="auto" w:sz="4" w:space="0"/>
            </w:tcBorders>
            <w:shd w:val="clear" w:color="auto" w:fill="FFFFFF"/>
            <w:noWrap/>
            <w:vAlign w:val="center"/>
          </w:tcPr>
          <w:p w14:paraId="5D160E57">
            <w:pPr>
              <w:spacing w:line="240" w:lineRule="auto"/>
              <w:rPr>
                <w:rFonts w:ascii="宋体" w:hAnsi="宋体" w:cs="宋体"/>
                <w:color w:val="000000"/>
                <w:szCs w:val="18"/>
                <w:lang w:val="en-US"/>
              </w:rPr>
            </w:pPr>
            <w:r>
              <w:rPr>
                <w:rFonts w:ascii="宋体" w:hAnsi="宋体" w:cs="宋体"/>
                <w:color w:val="000000"/>
                <w:szCs w:val="18"/>
                <w:lang w:val="en-US"/>
              </w:rPr>
              <w:t>121.29</w:t>
            </w:r>
          </w:p>
        </w:tc>
        <w:tc>
          <w:tcPr>
            <w:tcW w:w="987" w:type="dxa"/>
            <w:tcBorders>
              <w:top w:val="nil"/>
              <w:left w:val="nil"/>
              <w:bottom w:val="single" w:color="auto" w:sz="4" w:space="0"/>
              <w:right w:val="single" w:color="auto" w:sz="4" w:space="0"/>
            </w:tcBorders>
            <w:shd w:val="clear" w:color="auto" w:fill="FFFFFF"/>
            <w:noWrap/>
            <w:vAlign w:val="center"/>
          </w:tcPr>
          <w:p w14:paraId="6A313C92">
            <w:pPr>
              <w:spacing w:line="240" w:lineRule="auto"/>
              <w:rPr>
                <w:rFonts w:ascii="宋体" w:hAnsi="宋体" w:cs="宋体"/>
                <w:color w:val="000000"/>
                <w:szCs w:val="18"/>
                <w:lang w:val="en-US"/>
              </w:rPr>
            </w:pPr>
            <w:r>
              <w:rPr>
                <w:rFonts w:ascii="宋体" w:hAnsi="宋体" w:cs="宋体"/>
                <w:color w:val="000000"/>
                <w:szCs w:val="18"/>
                <w:lang w:val="en-US"/>
              </w:rPr>
              <w:t>11.53</w:t>
            </w:r>
          </w:p>
        </w:tc>
      </w:tr>
      <w:tr w14:paraId="3AFFB7A4">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4E41FAC8">
            <w:pPr>
              <w:spacing w:line="240" w:lineRule="auto"/>
              <w:rPr>
                <w:rFonts w:ascii="宋体" w:hAnsi="宋体" w:cs="宋体"/>
                <w:color w:val="0000FF"/>
                <w:szCs w:val="18"/>
                <w:lang w:val="en-US"/>
              </w:rPr>
            </w:pPr>
            <w:r>
              <w:rPr>
                <w:rFonts w:ascii="宋体" w:hAnsi="宋体" w:cs="宋体"/>
                <w:color w:val="0000FF"/>
                <w:szCs w:val="18"/>
                <w:lang w:val="en-US"/>
              </w:rPr>
              <w:t xml:space="preserve"> 2013[图书阅览室]</w:t>
            </w:r>
          </w:p>
        </w:tc>
        <w:tc>
          <w:tcPr>
            <w:tcBorders>
              <w:top w:val="nil"/>
              <w:left w:val="nil"/>
              <w:bottom w:val="single" w:color="auto" w:sz="4" w:space="0"/>
              <w:right w:val="single" w:color="auto" w:sz="4" w:space="0"/>
            </w:tcBorders>
            <w:shd w:val="clear" w:color="auto" w:fill="FFFFFF"/>
            <w:noWrap/>
            <w:vAlign w:val="center"/>
          </w:tcPr>
          <w:p w14:paraId="25653BB5">
            <w:pPr>
              <w:spacing w:line="240" w:lineRule="auto"/>
              <w:rPr>
                <w:rFonts w:ascii="宋体" w:hAnsi="宋体" w:cs="宋体"/>
                <w:color w:val="000000"/>
                <w:szCs w:val="18"/>
                <w:lang w:val="en-US"/>
              </w:rPr>
            </w:pPr>
            <w:r>
              <w:rPr>
                <w:rFonts w:ascii="宋体" w:hAnsi="宋体" w:cs="宋体"/>
                <w:color w:val="000000"/>
                <w:szCs w:val="18"/>
                <w:lang w:val="en-US"/>
              </w:rPr>
              <w:t>357.20</w:t>
            </w:r>
          </w:p>
        </w:tc>
        <w:tc>
          <w:tcPr>
            <w:tcBorders>
              <w:top w:val="nil"/>
              <w:left w:val="nil"/>
              <w:bottom w:val="single" w:color="auto" w:sz="4" w:space="0"/>
              <w:right w:val="single" w:color="auto" w:sz="4" w:space="0"/>
            </w:tcBorders>
            <w:shd w:val="clear" w:color="auto" w:fill="FFFFFF"/>
            <w:noWrap/>
            <w:vAlign w:val="center"/>
          </w:tcPr>
          <w:p w14:paraId="7F9E360F">
            <w:pPr>
              <w:spacing w:line="240" w:lineRule="auto"/>
              <w:rPr>
                <w:rFonts w:ascii="宋体" w:hAnsi="宋体" w:cs="宋体"/>
                <w:color w:val="000000"/>
                <w:szCs w:val="18"/>
                <w:lang w:val="en-US"/>
              </w:rPr>
            </w:pPr>
            <w:r>
              <w:rPr>
                <w:rFonts w:ascii="宋体" w:hAnsi="宋体" w:cs="宋体"/>
                <w:color w:val="000000"/>
                <w:szCs w:val="18"/>
                <w:lang w:val="en-US"/>
              </w:rPr>
              <w:t>91.59</w:t>
            </w:r>
          </w:p>
        </w:tc>
        <w:tc>
          <w:tcPr>
            <w:tcW w:w="987" w:type="dxa"/>
            <w:tcBorders>
              <w:top w:val="nil"/>
              <w:left w:val="nil"/>
              <w:bottom w:val="single" w:color="auto" w:sz="4" w:space="0"/>
              <w:right w:val="single" w:color="auto" w:sz="4" w:space="0"/>
            </w:tcBorders>
            <w:shd w:val="clear" w:color="auto" w:fill="FFFFFF"/>
            <w:noWrap/>
            <w:vAlign w:val="center"/>
          </w:tcPr>
          <w:p w14:paraId="7129AF2D">
            <w:pPr>
              <w:spacing w:line="240" w:lineRule="auto"/>
              <w:rPr>
                <w:rFonts w:ascii="宋体" w:hAnsi="宋体" w:cs="宋体"/>
                <w:color w:val="000000"/>
                <w:szCs w:val="18"/>
                <w:lang w:val="en-US"/>
              </w:rPr>
            </w:pPr>
            <w:r>
              <w:rPr>
                <w:rFonts w:ascii="宋体" w:hAnsi="宋体" w:cs="宋体"/>
                <w:color w:val="000000"/>
                <w:szCs w:val="18"/>
                <w:lang w:val="en-US"/>
              </w:rPr>
              <w:t>3.04</w:t>
            </w:r>
          </w:p>
        </w:tc>
      </w:tr>
      <w:tr w14:paraId="05C864EE">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0F727C1A">
            <w:pPr>
              <w:spacing w:line="240" w:lineRule="auto"/>
              <w:rPr>
                <w:rFonts w:ascii="宋体" w:hAnsi="宋体" w:cs="宋体"/>
                <w:color w:val="0000FF"/>
                <w:szCs w:val="18"/>
                <w:lang w:val="en-US"/>
              </w:rPr>
            </w:pPr>
            <w:r>
              <w:rPr>
                <w:rFonts w:ascii="宋体" w:hAnsi="宋体" w:cs="宋体"/>
                <w:color w:val="0000FF"/>
                <w:szCs w:val="18"/>
                <w:lang w:val="en-US"/>
              </w:rPr>
              <w:t xml:space="preserve"> 2018[储藏间]</w:t>
            </w:r>
          </w:p>
        </w:tc>
        <w:tc>
          <w:tcPr>
            <w:tcBorders>
              <w:top w:val="nil"/>
              <w:left w:val="nil"/>
              <w:bottom w:val="single" w:color="auto" w:sz="4" w:space="0"/>
              <w:right w:val="single" w:color="auto" w:sz="4" w:space="0"/>
            </w:tcBorders>
            <w:shd w:val="clear" w:color="auto" w:fill="FFFFFF"/>
            <w:noWrap/>
            <w:vAlign w:val="center"/>
          </w:tcPr>
          <w:p w14:paraId="474FCFA7">
            <w:pPr>
              <w:spacing w:line="240" w:lineRule="auto"/>
              <w:rPr>
                <w:rFonts w:ascii="宋体" w:hAnsi="宋体" w:cs="宋体"/>
                <w:color w:val="000000"/>
                <w:szCs w:val="18"/>
                <w:lang w:val="en-US"/>
              </w:rPr>
            </w:pPr>
            <w:r>
              <w:rPr>
                <w:rFonts w:ascii="宋体" w:hAnsi="宋体" w:cs="宋体"/>
                <w:color w:val="000000"/>
                <w:szCs w:val="18"/>
                <w:lang w:val="en-US"/>
              </w:rPr>
              <w:t>126.36</w:t>
            </w:r>
          </w:p>
        </w:tc>
        <w:tc>
          <w:tcPr>
            <w:tcBorders>
              <w:top w:val="nil"/>
              <w:left w:val="nil"/>
              <w:bottom w:val="single" w:color="auto" w:sz="4" w:space="0"/>
              <w:right w:val="single" w:color="auto" w:sz="4" w:space="0"/>
            </w:tcBorders>
            <w:shd w:val="clear" w:color="auto" w:fill="FFFFFF"/>
            <w:noWrap/>
            <w:vAlign w:val="center"/>
          </w:tcPr>
          <w:p w14:paraId="2CE4765C">
            <w:pPr>
              <w:spacing w:line="240" w:lineRule="auto"/>
              <w:rPr>
                <w:rFonts w:ascii="宋体" w:hAnsi="宋体" w:cs="宋体"/>
                <w:color w:val="000000"/>
                <w:szCs w:val="18"/>
                <w:lang w:val="en-US"/>
              </w:rPr>
            </w:pPr>
            <w:r>
              <w:rPr>
                <w:rFonts w:ascii="宋体" w:hAnsi="宋体" w:cs="宋体"/>
                <w:color w:val="000000"/>
                <w:szCs w:val="18"/>
                <w:lang w:val="en-US"/>
              </w:rPr>
              <w:t>32.40</w:t>
            </w:r>
          </w:p>
        </w:tc>
        <w:tc>
          <w:tcPr>
            <w:tcW w:w="987" w:type="dxa"/>
            <w:tcBorders>
              <w:top w:val="nil"/>
              <w:left w:val="nil"/>
              <w:bottom w:val="single" w:color="auto" w:sz="4" w:space="0"/>
              <w:right w:val="single" w:color="auto" w:sz="4" w:space="0"/>
            </w:tcBorders>
            <w:shd w:val="clear" w:color="auto" w:fill="FFFFFF"/>
            <w:noWrap/>
            <w:vAlign w:val="center"/>
          </w:tcPr>
          <w:p w14:paraId="06E80573">
            <w:pPr>
              <w:spacing w:line="240" w:lineRule="auto"/>
              <w:rPr>
                <w:rFonts w:ascii="宋体" w:hAnsi="宋体" w:cs="宋体"/>
                <w:color w:val="000000"/>
                <w:szCs w:val="18"/>
                <w:lang w:val="en-US"/>
              </w:rPr>
            </w:pPr>
            <w:r>
              <w:rPr>
                <w:rFonts w:ascii="宋体" w:hAnsi="宋体" w:cs="宋体"/>
                <w:color w:val="000000"/>
                <w:szCs w:val="18"/>
                <w:lang w:val="en-US"/>
              </w:rPr>
              <w:t>0.00</w:t>
            </w:r>
          </w:p>
        </w:tc>
      </w:tr>
      <w:tr w14:paraId="02B33EC6">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6D980B58">
            <w:pPr>
              <w:spacing w:line="240" w:lineRule="auto"/>
              <w:rPr>
                <w:rFonts w:ascii="宋体" w:hAnsi="宋体" w:cs="宋体"/>
                <w:color w:val="0000FF"/>
                <w:szCs w:val="18"/>
                <w:lang w:val="en-US"/>
              </w:rPr>
            </w:pPr>
            <w:r>
              <w:rPr>
                <w:rFonts w:ascii="宋体" w:hAnsi="宋体" w:cs="宋体"/>
                <w:color w:val="0000FF"/>
                <w:szCs w:val="18"/>
                <w:lang w:val="en-US"/>
              </w:rPr>
              <w:t xml:space="preserve"> 2020[会议室]</w:t>
            </w:r>
          </w:p>
        </w:tc>
        <w:tc>
          <w:tcPr>
            <w:tcBorders>
              <w:top w:val="nil"/>
              <w:left w:val="nil"/>
              <w:bottom w:val="single" w:color="auto" w:sz="4" w:space="0"/>
              <w:right w:val="single" w:color="auto" w:sz="4" w:space="0"/>
            </w:tcBorders>
            <w:shd w:val="clear" w:color="auto" w:fill="FFFFFF"/>
            <w:noWrap/>
            <w:vAlign w:val="center"/>
          </w:tcPr>
          <w:p w14:paraId="734458EE">
            <w:pPr>
              <w:spacing w:line="240" w:lineRule="auto"/>
              <w:rPr>
                <w:rFonts w:ascii="宋体" w:hAnsi="宋体" w:cs="宋体"/>
                <w:color w:val="000000"/>
                <w:szCs w:val="18"/>
                <w:lang w:val="en-US"/>
              </w:rPr>
            </w:pPr>
            <w:r>
              <w:rPr>
                <w:rFonts w:ascii="宋体" w:hAnsi="宋体" w:cs="宋体"/>
                <w:color w:val="000000"/>
                <w:szCs w:val="18"/>
                <w:lang w:val="en-US"/>
              </w:rPr>
              <w:t>102.67</w:t>
            </w:r>
          </w:p>
        </w:tc>
        <w:tc>
          <w:tcPr>
            <w:tcBorders>
              <w:top w:val="nil"/>
              <w:left w:val="nil"/>
              <w:bottom w:val="single" w:color="auto" w:sz="4" w:space="0"/>
              <w:right w:val="single" w:color="auto" w:sz="4" w:space="0"/>
            </w:tcBorders>
            <w:shd w:val="clear" w:color="auto" w:fill="FFFFFF"/>
            <w:noWrap/>
            <w:vAlign w:val="center"/>
          </w:tcPr>
          <w:p w14:paraId="7D6B14FB">
            <w:pPr>
              <w:spacing w:line="240" w:lineRule="auto"/>
              <w:rPr>
                <w:rFonts w:ascii="宋体" w:hAnsi="宋体" w:cs="宋体"/>
                <w:color w:val="000000"/>
                <w:szCs w:val="18"/>
                <w:lang w:val="en-US"/>
              </w:rPr>
            </w:pPr>
            <w:r>
              <w:rPr>
                <w:rFonts w:ascii="宋体" w:hAnsi="宋体" w:cs="宋体"/>
                <w:color w:val="000000"/>
                <w:szCs w:val="18"/>
                <w:lang w:val="en-US"/>
              </w:rPr>
              <w:t>26.33</w:t>
            </w:r>
          </w:p>
        </w:tc>
        <w:tc>
          <w:tcPr>
            <w:tcW w:w="987" w:type="dxa"/>
            <w:tcBorders>
              <w:top w:val="nil"/>
              <w:left w:val="nil"/>
              <w:bottom w:val="single" w:color="auto" w:sz="4" w:space="0"/>
              <w:right w:val="single" w:color="auto" w:sz="4" w:space="0"/>
            </w:tcBorders>
            <w:shd w:val="clear" w:color="auto" w:fill="FFFFFF"/>
            <w:noWrap/>
            <w:vAlign w:val="center"/>
          </w:tcPr>
          <w:p w14:paraId="67A2A52A">
            <w:pPr>
              <w:spacing w:line="240" w:lineRule="auto"/>
              <w:rPr>
                <w:rFonts w:ascii="宋体" w:hAnsi="宋体" w:cs="宋体"/>
                <w:color w:val="000000"/>
                <w:szCs w:val="18"/>
                <w:lang w:val="en-US"/>
              </w:rPr>
            </w:pPr>
            <w:r>
              <w:rPr>
                <w:rFonts w:ascii="宋体" w:hAnsi="宋体" w:cs="宋体"/>
                <w:color w:val="000000"/>
                <w:szCs w:val="18"/>
                <w:lang w:val="en-US"/>
              </w:rPr>
              <w:t>15.96</w:t>
            </w:r>
          </w:p>
        </w:tc>
      </w:tr>
      <w:tr w14:paraId="73CF9328">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3A85FC60">
            <w:pPr>
              <w:spacing w:line="240" w:lineRule="auto"/>
              <w:rPr>
                <w:rFonts w:ascii="宋体" w:hAnsi="宋体" w:cs="宋体"/>
                <w:color w:val="0000FF"/>
                <w:szCs w:val="18"/>
                <w:lang w:val="en-US"/>
              </w:rPr>
            </w:pPr>
            <w:r>
              <w:rPr>
                <w:rFonts w:ascii="宋体" w:hAnsi="宋体" w:cs="宋体"/>
                <w:color w:val="0000FF"/>
                <w:szCs w:val="18"/>
                <w:lang w:val="en-US"/>
              </w:rPr>
              <w:t xml:space="preserve"> 2021[普通办公室]</w:t>
            </w:r>
          </w:p>
        </w:tc>
        <w:tc>
          <w:tcPr>
            <w:tcBorders>
              <w:top w:val="nil"/>
              <w:left w:val="nil"/>
              <w:bottom w:val="single" w:color="auto" w:sz="4" w:space="0"/>
              <w:right w:val="single" w:color="auto" w:sz="4" w:space="0"/>
            </w:tcBorders>
            <w:shd w:val="clear" w:color="auto" w:fill="FFFFFF"/>
            <w:noWrap/>
            <w:vAlign w:val="center"/>
          </w:tcPr>
          <w:p w14:paraId="465464EA">
            <w:pPr>
              <w:spacing w:line="240" w:lineRule="auto"/>
              <w:rPr>
                <w:rFonts w:ascii="宋体" w:hAnsi="宋体" w:cs="宋体"/>
                <w:color w:val="000000"/>
                <w:szCs w:val="18"/>
                <w:lang w:val="en-US"/>
              </w:rPr>
            </w:pPr>
            <w:r>
              <w:rPr>
                <w:rFonts w:ascii="宋体" w:hAnsi="宋体" w:cs="宋体"/>
                <w:color w:val="000000"/>
                <w:szCs w:val="18"/>
                <w:lang w:val="en-US"/>
              </w:rPr>
              <w:t>88.84</w:t>
            </w:r>
          </w:p>
        </w:tc>
        <w:tc>
          <w:tcPr>
            <w:tcBorders>
              <w:top w:val="nil"/>
              <w:left w:val="nil"/>
              <w:bottom w:val="single" w:color="auto" w:sz="4" w:space="0"/>
              <w:right w:val="single" w:color="auto" w:sz="4" w:space="0"/>
            </w:tcBorders>
            <w:shd w:val="clear" w:color="auto" w:fill="FFFFFF"/>
            <w:noWrap/>
            <w:vAlign w:val="center"/>
          </w:tcPr>
          <w:p w14:paraId="447E521A">
            <w:pPr>
              <w:spacing w:line="240" w:lineRule="auto"/>
              <w:rPr>
                <w:rFonts w:ascii="宋体" w:hAnsi="宋体" w:cs="宋体"/>
                <w:color w:val="000000"/>
                <w:szCs w:val="18"/>
                <w:lang w:val="en-US"/>
              </w:rPr>
            </w:pPr>
            <w:r>
              <w:rPr>
                <w:rFonts w:ascii="宋体" w:hAnsi="宋体" w:cs="宋体"/>
                <w:color w:val="000000"/>
                <w:szCs w:val="18"/>
                <w:lang w:val="en-US"/>
              </w:rPr>
              <w:t>22.78</w:t>
            </w:r>
          </w:p>
        </w:tc>
        <w:tc>
          <w:tcPr>
            <w:tcW w:w="987" w:type="dxa"/>
            <w:tcBorders>
              <w:top w:val="nil"/>
              <w:left w:val="nil"/>
              <w:bottom w:val="single" w:color="auto" w:sz="4" w:space="0"/>
              <w:right w:val="single" w:color="auto" w:sz="4" w:space="0"/>
            </w:tcBorders>
            <w:shd w:val="clear" w:color="auto" w:fill="FFFFFF"/>
            <w:noWrap/>
            <w:vAlign w:val="center"/>
          </w:tcPr>
          <w:p w14:paraId="0F3B07CD">
            <w:pPr>
              <w:spacing w:line="240" w:lineRule="auto"/>
              <w:rPr>
                <w:rFonts w:ascii="宋体" w:hAnsi="宋体" w:cs="宋体"/>
                <w:color w:val="000000"/>
                <w:szCs w:val="18"/>
                <w:lang w:val="en-US"/>
              </w:rPr>
            </w:pPr>
            <w:r>
              <w:rPr>
                <w:rFonts w:ascii="宋体" w:hAnsi="宋体" w:cs="宋体"/>
                <w:color w:val="000000"/>
                <w:szCs w:val="18"/>
                <w:lang w:val="en-US"/>
              </w:rPr>
              <w:t>0.00</w:t>
            </w:r>
          </w:p>
        </w:tc>
      </w:tr>
      <w:tr w14:paraId="1961A8AA">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55B7DFB2">
            <w:pPr>
              <w:spacing w:line="240" w:lineRule="auto"/>
              <w:rPr>
                <w:rFonts w:ascii="宋体" w:hAnsi="宋体" w:cs="宋体"/>
                <w:color w:val="0000FF"/>
                <w:szCs w:val="18"/>
                <w:lang w:val="en-US"/>
              </w:rPr>
            </w:pPr>
            <w:r>
              <w:rPr>
                <w:rFonts w:ascii="宋体" w:hAnsi="宋体" w:cs="宋体"/>
                <w:color w:val="0000FF"/>
                <w:szCs w:val="18"/>
                <w:lang w:val="en-US"/>
              </w:rPr>
              <w:t xml:space="preserve"> 2046[消毒室]</w:t>
            </w:r>
          </w:p>
        </w:tc>
        <w:tc>
          <w:tcPr>
            <w:tcBorders>
              <w:top w:val="nil"/>
              <w:left w:val="nil"/>
              <w:bottom w:val="single" w:color="auto" w:sz="4" w:space="0"/>
              <w:right w:val="single" w:color="auto" w:sz="4" w:space="0"/>
            </w:tcBorders>
            <w:shd w:val="clear" w:color="auto" w:fill="FFFFFF"/>
            <w:noWrap/>
            <w:vAlign w:val="center"/>
          </w:tcPr>
          <w:p w14:paraId="162CCAF0">
            <w:pPr>
              <w:spacing w:line="240" w:lineRule="auto"/>
              <w:rPr>
                <w:rFonts w:ascii="宋体" w:hAnsi="宋体" w:cs="宋体"/>
                <w:color w:val="000000"/>
                <w:szCs w:val="18"/>
                <w:lang w:val="en-US"/>
              </w:rPr>
            </w:pPr>
            <w:r>
              <w:rPr>
                <w:rFonts w:ascii="宋体" w:hAnsi="宋体" w:cs="宋体"/>
                <w:color w:val="000000"/>
                <w:szCs w:val="18"/>
                <w:lang w:val="en-US"/>
              </w:rPr>
              <w:t>15.56</w:t>
            </w:r>
          </w:p>
        </w:tc>
        <w:tc>
          <w:tcPr>
            <w:tcBorders>
              <w:top w:val="nil"/>
              <w:left w:val="nil"/>
              <w:bottom w:val="single" w:color="auto" w:sz="4" w:space="0"/>
              <w:right w:val="single" w:color="auto" w:sz="4" w:space="0"/>
            </w:tcBorders>
            <w:shd w:val="clear" w:color="auto" w:fill="FFFFFF"/>
            <w:noWrap/>
            <w:vAlign w:val="center"/>
          </w:tcPr>
          <w:p w14:paraId="0A69FF29">
            <w:pPr>
              <w:spacing w:line="240" w:lineRule="auto"/>
              <w:rPr>
                <w:rFonts w:ascii="宋体" w:hAnsi="宋体" w:cs="宋体"/>
                <w:color w:val="000000"/>
                <w:szCs w:val="18"/>
                <w:lang w:val="en-US"/>
              </w:rPr>
            </w:pPr>
            <w:r>
              <w:rPr>
                <w:rFonts w:ascii="宋体" w:hAnsi="宋体" w:cs="宋体"/>
                <w:color w:val="000000"/>
                <w:szCs w:val="18"/>
                <w:lang w:val="en-US"/>
              </w:rPr>
              <w:t>3.99</w:t>
            </w:r>
          </w:p>
        </w:tc>
        <w:tc>
          <w:tcPr>
            <w:tcW w:w="987" w:type="dxa"/>
            <w:tcBorders>
              <w:top w:val="nil"/>
              <w:left w:val="nil"/>
              <w:bottom w:val="single" w:color="auto" w:sz="4" w:space="0"/>
              <w:right w:val="single" w:color="auto" w:sz="4" w:space="0"/>
            </w:tcBorders>
            <w:shd w:val="clear" w:color="auto" w:fill="FFFFFF"/>
            <w:noWrap/>
            <w:vAlign w:val="center"/>
          </w:tcPr>
          <w:p w14:paraId="06DC4BB4">
            <w:pPr>
              <w:spacing w:line="240" w:lineRule="auto"/>
              <w:rPr>
                <w:rFonts w:ascii="宋体" w:hAnsi="宋体" w:cs="宋体"/>
                <w:color w:val="000000"/>
                <w:szCs w:val="18"/>
                <w:lang w:val="en-US"/>
              </w:rPr>
            </w:pPr>
            <w:r>
              <w:rPr>
                <w:rFonts w:ascii="宋体" w:hAnsi="宋体" w:cs="宋体"/>
                <w:color w:val="000000"/>
                <w:szCs w:val="18"/>
                <w:lang w:val="en-US"/>
              </w:rPr>
              <w:t>0.00</w:t>
            </w:r>
          </w:p>
        </w:tc>
      </w:tr>
      <w:tr w14:paraId="46104F49">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6525CFC8">
            <w:pPr>
              <w:spacing w:line="240" w:lineRule="auto"/>
              <w:rPr>
                <w:rFonts w:ascii="宋体" w:hAnsi="宋体" w:cs="宋体"/>
                <w:color w:val="0000FF"/>
                <w:szCs w:val="18"/>
                <w:lang w:val="en-US"/>
              </w:rPr>
            </w:pPr>
            <w:r>
              <w:rPr>
                <w:rFonts w:ascii="宋体" w:hAnsi="宋体" w:cs="宋体"/>
                <w:color w:val="0000FF"/>
                <w:szCs w:val="18"/>
                <w:lang w:val="en-US"/>
              </w:rPr>
              <w:t xml:space="preserve"> 2048[备餐区]</w:t>
            </w:r>
          </w:p>
        </w:tc>
        <w:tc>
          <w:tcPr>
            <w:tcBorders>
              <w:top w:val="nil"/>
              <w:left w:val="nil"/>
              <w:bottom w:val="single" w:color="auto" w:sz="4" w:space="0"/>
              <w:right w:val="single" w:color="auto" w:sz="4" w:space="0"/>
            </w:tcBorders>
            <w:shd w:val="clear" w:color="auto" w:fill="FFFFFF"/>
            <w:noWrap/>
            <w:vAlign w:val="center"/>
          </w:tcPr>
          <w:p w14:paraId="5701B8A4">
            <w:pPr>
              <w:spacing w:line="240" w:lineRule="auto"/>
              <w:rPr>
                <w:rFonts w:ascii="宋体" w:hAnsi="宋体" w:cs="宋体"/>
                <w:color w:val="000000"/>
                <w:szCs w:val="18"/>
                <w:lang w:val="en-US"/>
              </w:rPr>
            </w:pPr>
            <w:r>
              <w:rPr>
                <w:rFonts w:ascii="宋体" w:hAnsi="宋体" w:cs="宋体"/>
                <w:color w:val="000000"/>
                <w:szCs w:val="18"/>
                <w:lang w:val="en-US"/>
              </w:rPr>
              <w:t>13.10</w:t>
            </w:r>
          </w:p>
        </w:tc>
        <w:tc>
          <w:tcPr>
            <w:tcBorders>
              <w:top w:val="nil"/>
              <w:left w:val="nil"/>
              <w:bottom w:val="single" w:color="auto" w:sz="4" w:space="0"/>
              <w:right w:val="single" w:color="auto" w:sz="4" w:space="0"/>
            </w:tcBorders>
            <w:shd w:val="clear" w:color="auto" w:fill="FFFFFF"/>
            <w:noWrap/>
            <w:vAlign w:val="center"/>
          </w:tcPr>
          <w:p w14:paraId="10F5961E">
            <w:pPr>
              <w:spacing w:line="240" w:lineRule="auto"/>
              <w:rPr>
                <w:rFonts w:ascii="宋体" w:hAnsi="宋体" w:cs="宋体"/>
                <w:color w:val="000000"/>
                <w:szCs w:val="18"/>
                <w:lang w:val="en-US"/>
              </w:rPr>
            </w:pPr>
            <w:r>
              <w:rPr>
                <w:rFonts w:ascii="宋体" w:hAnsi="宋体" w:cs="宋体"/>
                <w:color w:val="000000"/>
                <w:szCs w:val="18"/>
                <w:lang w:val="en-US"/>
              </w:rPr>
              <w:t>3.36</w:t>
            </w:r>
          </w:p>
        </w:tc>
        <w:tc>
          <w:tcPr>
            <w:tcW w:w="987" w:type="dxa"/>
            <w:tcBorders>
              <w:top w:val="nil"/>
              <w:left w:val="nil"/>
              <w:bottom w:val="single" w:color="auto" w:sz="4" w:space="0"/>
              <w:right w:val="single" w:color="auto" w:sz="4" w:space="0"/>
            </w:tcBorders>
            <w:shd w:val="clear" w:color="auto" w:fill="FFFFFF"/>
            <w:noWrap/>
            <w:vAlign w:val="center"/>
          </w:tcPr>
          <w:p w14:paraId="2AEE1B5F">
            <w:pPr>
              <w:spacing w:line="240" w:lineRule="auto"/>
              <w:rPr>
                <w:rFonts w:ascii="宋体" w:hAnsi="宋体" w:cs="宋体"/>
                <w:color w:val="000000"/>
                <w:szCs w:val="18"/>
                <w:lang w:val="en-US"/>
              </w:rPr>
            </w:pPr>
            <w:r>
              <w:rPr>
                <w:rFonts w:ascii="宋体" w:hAnsi="宋体" w:cs="宋体"/>
                <w:color w:val="000000"/>
                <w:szCs w:val="18"/>
                <w:lang w:val="en-US"/>
              </w:rPr>
              <w:t>0.00</w:t>
            </w:r>
          </w:p>
        </w:tc>
      </w:tr>
      <w:tr w14:paraId="0F76C150">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4B6EF3F1">
            <w:pPr>
              <w:spacing w:line="240" w:lineRule="auto"/>
              <w:rPr>
                <w:rFonts w:ascii="宋体" w:hAnsi="宋体" w:cs="宋体"/>
                <w:color w:val="0000FF"/>
                <w:szCs w:val="18"/>
                <w:lang w:val="en-US"/>
              </w:rPr>
            </w:pPr>
            <w:r>
              <w:rPr>
                <w:rFonts w:ascii="宋体" w:hAnsi="宋体" w:cs="宋体"/>
                <w:color w:val="0000FF"/>
                <w:szCs w:val="18"/>
                <w:lang w:val="en-US"/>
              </w:rPr>
              <w:t xml:space="preserve"> 3层</w:t>
            </w:r>
          </w:p>
        </w:tc>
        <w:tc>
          <w:tcPr>
            <w:tcBorders>
              <w:top w:val="nil"/>
              <w:left w:val="nil"/>
              <w:bottom w:val="single" w:color="auto" w:sz="4" w:space="0"/>
              <w:right w:val="single" w:color="auto" w:sz="4" w:space="0"/>
            </w:tcBorders>
            <w:shd w:val="clear" w:color="auto" w:fill="FFFFFF"/>
            <w:noWrap/>
            <w:vAlign w:val="center"/>
          </w:tcPr>
          <w:p w14:paraId="6A9ADE4A">
            <w:pPr>
              <w:spacing w:line="240" w:lineRule="auto"/>
              <w:rPr>
                <w:rFonts w:ascii="宋体" w:hAnsi="宋体" w:cs="宋体"/>
                <w:color w:val="000000"/>
                <w:szCs w:val="18"/>
                <w:lang w:val="en-US"/>
              </w:rPr>
            </w:pPr>
          </w:p>
        </w:tc>
        <w:tc>
          <w:tcPr>
            <w:tcBorders>
              <w:top w:val="nil"/>
              <w:left w:val="nil"/>
              <w:bottom w:val="single" w:color="auto" w:sz="4" w:space="0"/>
              <w:right w:val="single" w:color="auto" w:sz="4" w:space="0"/>
            </w:tcBorders>
            <w:shd w:val="clear" w:color="auto" w:fill="FFFFFF"/>
            <w:noWrap/>
            <w:vAlign w:val="center"/>
          </w:tcPr>
          <w:p w14:paraId="32925134">
            <w:pPr>
              <w:spacing w:line="240" w:lineRule="auto"/>
              <w:rPr>
                <w:rFonts w:ascii="宋体" w:hAnsi="宋体" w:cs="宋体"/>
                <w:color w:val="000000"/>
                <w:szCs w:val="18"/>
                <w:lang w:val="en-US"/>
              </w:rPr>
            </w:pPr>
          </w:p>
        </w:tc>
        <w:tc>
          <w:tcPr>
            <w:tcW w:w="987" w:type="dxa"/>
            <w:tcBorders>
              <w:top w:val="nil"/>
              <w:left w:val="nil"/>
              <w:bottom w:val="single" w:color="auto" w:sz="4" w:space="0"/>
              <w:right w:val="single" w:color="auto" w:sz="4" w:space="0"/>
            </w:tcBorders>
            <w:shd w:val="clear" w:color="auto" w:fill="FFFFFF"/>
            <w:noWrap/>
            <w:vAlign w:val="center"/>
          </w:tcPr>
          <w:p w14:paraId="2EFA4F2B">
            <w:pPr>
              <w:spacing w:line="240" w:lineRule="auto"/>
              <w:rPr>
                <w:rFonts w:ascii="宋体" w:hAnsi="宋体" w:cs="宋体"/>
                <w:color w:val="000000"/>
                <w:szCs w:val="18"/>
                <w:lang w:val="en-US"/>
              </w:rPr>
            </w:pPr>
          </w:p>
        </w:tc>
      </w:tr>
      <w:tr w14:paraId="52F9D48A">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4BE468ED">
            <w:pPr>
              <w:spacing w:line="240" w:lineRule="auto"/>
              <w:rPr>
                <w:rFonts w:ascii="宋体" w:hAnsi="宋体" w:cs="宋体"/>
                <w:color w:val="0000FF"/>
                <w:szCs w:val="18"/>
                <w:lang w:val="en-US"/>
              </w:rPr>
            </w:pPr>
            <w:r>
              <w:rPr>
                <w:rFonts w:ascii="宋体" w:hAnsi="宋体" w:cs="宋体"/>
                <w:color w:val="0000FF"/>
                <w:szCs w:val="18"/>
                <w:lang w:val="en-US"/>
              </w:rPr>
              <w:t xml:space="preserve"> 3004[多功能室]</w:t>
            </w:r>
          </w:p>
        </w:tc>
        <w:tc>
          <w:tcPr>
            <w:tcBorders>
              <w:top w:val="nil"/>
              <w:left w:val="nil"/>
              <w:bottom w:val="single" w:color="auto" w:sz="4" w:space="0"/>
              <w:right w:val="single" w:color="auto" w:sz="4" w:space="0"/>
            </w:tcBorders>
            <w:shd w:val="clear" w:color="auto" w:fill="FFFFFF"/>
            <w:noWrap/>
            <w:vAlign w:val="center"/>
          </w:tcPr>
          <w:p w14:paraId="27AD6D6B">
            <w:pPr>
              <w:spacing w:line="240" w:lineRule="auto"/>
              <w:rPr>
                <w:rFonts w:ascii="宋体" w:hAnsi="宋体" w:cs="宋体"/>
                <w:color w:val="000000"/>
                <w:szCs w:val="18"/>
                <w:lang w:val="en-US"/>
              </w:rPr>
            </w:pPr>
            <w:r>
              <w:rPr>
                <w:rFonts w:ascii="宋体" w:hAnsi="宋体" w:cs="宋体"/>
                <w:color w:val="000000"/>
                <w:szCs w:val="18"/>
                <w:lang w:val="en-US"/>
              </w:rPr>
              <w:t>564.53</w:t>
            </w:r>
          </w:p>
        </w:tc>
        <w:tc>
          <w:tcPr>
            <w:tcBorders>
              <w:top w:val="nil"/>
              <w:left w:val="nil"/>
              <w:bottom w:val="single" w:color="auto" w:sz="4" w:space="0"/>
              <w:right w:val="single" w:color="auto" w:sz="4" w:space="0"/>
            </w:tcBorders>
            <w:shd w:val="clear" w:color="auto" w:fill="FFFFFF"/>
            <w:noWrap/>
            <w:vAlign w:val="center"/>
          </w:tcPr>
          <w:p w14:paraId="267327A1">
            <w:pPr>
              <w:spacing w:line="240" w:lineRule="auto"/>
              <w:rPr>
                <w:rFonts w:ascii="宋体" w:hAnsi="宋体" w:cs="宋体"/>
                <w:color w:val="000000"/>
                <w:szCs w:val="18"/>
                <w:lang w:val="en-US"/>
              </w:rPr>
            </w:pPr>
            <w:r>
              <w:rPr>
                <w:rFonts w:ascii="宋体" w:hAnsi="宋体" w:cs="宋体"/>
                <w:color w:val="000000"/>
                <w:szCs w:val="18"/>
                <w:lang w:val="en-US"/>
              </w:rPr>
              <w:t>144.75</w:t>
            </w:r>
          </w:p>
        </w:tc>
        <w:tc>
          <w:tcPr>
            <w:tcW w:w="987" w:type="dxa"/>
            <w:tcBorders>
              <w:top w:val="nil"/>
              <w:left w:val="nil"/>
              <w:bottom w:val="single" w:color="auto" w:sz="4" w:space="0"/>
              <w:right w:val="single" w:color="auto" w:sz="4" w:space="0"/>
            </w:tcBorders>
            <w:shd w:val="clear" w:color="auto" w:fill="FFFFFF"/>
            <w:noWrap/>
            <w:vAlign w:val="center"/>
          </w:tcPr>
          <w:p w14:paraId="38230A81">
            <w:pPr>
              <w:spacing w:line="240" w:lineRule="auto"/>
              <w:rPr>
                <w:rFonts w:ascii="宋体" w:hAnsi="宋体" w:cs="宋体"/>
                <w:color w:val="000000"/>
                <w:szCs w:val="18"/>
                <w:lang w:val="en-US"/>
              </w:rPr>
            </w:pPr>
            <w:r>
              <w:rPr>
                <w:rFonts w:ascii="宋体" w:hAnsi="宋体" w:cs="宋体"/>
                <w:color w:val="000000"/>
                <w:szCs w:val="18"/>
                <w:lang w:val="en-US"/>
              </w:rPr>
              <w:t>15.43</w:t>
            </w:r>
          </w:p>
        </w:tc>
      </w:tr>
      <w:tr w14:paraId="680A10BF">
        <w:tblPrEx>
          <w:tblCellMar>
            <w:top w:w="0" w:type="dxa"/>
            <w:left w:w="108" w:type="dxa"/>
            <w:bottom w:w="0" w:type="dxa"/>
            <w:right w:w="108" w:type="dxa"/>
          </w:tblCellMar>
        </w:tblPrEx>
        <w:trPr>
          <w:trHeight w:val="90" w:hRule="atLeast"/>
        </w:trPr>
        <w:tc>
          <w:tcPr>
            <w:tcBorders>
              <w:top w:val="nil"/>
              <w:left w:val="single" w:color="auto" w:sz="4" w:space="0"/>
              <w:bottom w:val="single" w:color="auto" w:sz="4" w:space="0"/>
              <w:right w:val="single" w:color="auto" w:sz="4" w:space="0"/>
            </w:tcBorders>
            <w:shd w:val="clear" w:color="auto" w:fill="FFFFFF"/>
            <w:noWrap/>
            <w:vAlign w:val="center"/>
          </w:tcPr>
          <w:p w14:paraId="5D77739E">
            <w:pPr>
              <w:spacing w:line="240" w:lineRule="auto"/>
              <w:rPr>
                <w:rFonts w:ascii="宋体" w:hAnsi="宋体" w:cs="宋体"/>
                <w:color w:val="0000FF"/>
                <w:szCs w:val="18"/>
                <w:lang w:val="en-US"/>
              </w:rPr>
            </w:pPr>
            <w:r>
              <w:rPr>
                <w:rFonts w:ascii="宋体" w:hAnsi="宋体" w:cs="宋体"/>
                <w:color w:val="0000FF"/>
                <w:szCs w:val="18"/>
                <w:lang w:val="en-US"/>
              </w:rPr>
              <w:t xml:space="preserve"> 3006[活动室(30人)]</w:t>
            </w:r>
          </w:p>
        </w:tc>
        <w:tc>
          <w:tcPr>
            <w:tcBorders>
              <w:top w:val="nil"/>
              <w:left w:val="nil"/>
              <w:bottom w:val="single" w:color="auto" w:sz="4" w:space="0"/>
              <w:right w:val="single" w:color="auto" w:sz="4" w:space="0"/>
            </w:tcBorders>
            <w:shd w:val="clear" w:color="auto" w:fill="FFFFFF"/>
            <w:noWrap/>
            <w:vAlign w:val="center"/>
          </w:tcPr>
          <w:p w14:paraId="77946DD7">
            <w:pPr>
              <w:spacing w:line="240" w:lineRule="auto"/>
              <w:rPr>
                <w:rFonts w:ascii="宋体" w:hAnsi="宋体" w:cs="宋体"/>
                <w:color w:val="000000"/>
                <w:szCs w:val="18"/>
                <w:lang w:val="en-US"/>
              </w:rPr>
            </w:pPr>
            <w:r>
              <w:rPr>
                <w:rFonts w:ascii="宋体" w:hAnsi="宋体" w:cs="宋体"/>
                <w:color w:val="000000"/>
                <w:szCs w:val="18"/>
                <w:lang w:val="en-US"/>
              </w:rPr>
              <w:t>475.06</w:t>
            </w:r>
          </w:p>
        </w:tc>
        <w:tc>
          <w:tcPr>
            <w:tcBorders>
              <w:top w:val="nil"/>
              <w:left w:val="nil"/>
              <w:bottom w:val="single" w:color="auto" w:sz="4" w:space="0"/>
              <w:right w:val="single" w:color="auto" w:sz="4" w:space="0"/>
            </w:tcBorders>
            <w:shd w:val="clear" w:color="auto" w:fill="FFFFFF"/>
            <w:noWrap/>
            <w:vAlign w:val="center"/>
          </w:tcPr>
          <w:p w14:paraId="76FA57E4">
            <w:pPr>
              <w:spacing w:line="240" w:lineRule="auto"/>
              <w:rPr>
                <w:rFonts w:ascii="宋体" w:hAnsi="宋体" w:cs="宋体"/>
                <w:color w:val="000000"/>
                <w:szCs w:val="18"/>
                <w:lang w:val="en-US"/>
              </w:rPr>
            </w:pPr>
            <w:r>
              <w:rPr>
                <w:rFonts w:ascii="宋体" w:hAnsi="宋体" w:cs="宋体"/>
                <w:color w:val="000000"/>
                <w:szCs w:val="18"/>
                <w:lang w:val="en-US"/>
              </w:rPr>
              <w:t>121.81</w:t>
            </w:r>
          </w:p>
        </w:tc>
        <w:tc>
          <w:tcPr>
            <w:tcW w:w="987" w:type="dxa"/>
            <w:tcBorders>
              <w:top w:val="nil"/>
              <w:left w:val="nil"/>
              <w:bottom w:val="single" w:color="auto" w:sz="4" w:space="0"/>
              <w:right w:val="single" w:color="auto" w:sz="4" w:space="0"/>
            </w:tcBorders>
            <w:shd w:val="clear" w:color="auto" w:fill="FFFFFF"/>
            <w:noWrap/>
            <w:vAlign w:val="center"/>
          </w:tcPr>
          <w:p w14:paraId="0EFCE535">
            <w:pPr>
              <w:spacing w:line="240" w:lineRule="auto"/>
              <w:rPr>
                <w:rFonts w:ascii="宋体" w:hAnsi="宋体" w:cs="宋体"/>
                <w:color w:val="000000"/>
                <w:szCs w:val="18"/>
                <w:lang w:val="en-US"/>
              </w:rPr>
            </w:pPr>
            <w:r>
              <w:rPr>
                <w:rFonts w:ascii="宋体" w:hAnsi="宋体" w:cs="宋体"/>
                <w:color w:val="000000"/>
                <w:szCs w:val="18"/>
                <w:lang w:val="en-US"/>
              </w:rPr>
              <w:t>13.10</w:t>
            </w:r>
          </w:p>
        </w:tc>
      </w:tr>
      <w:tr w14:paraId="23734950">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0291BEE8">
            <w:pPr>
              <w:spacing w:line="240" w:lineRule="auto"/>
              <w:rPr>
                <w:rFonts w:ascii="宋体" w:hAnsi="宋体" w:cs="宋体"/>
                <w:color w:val="0000FF"/>
                <w:szCs w:val="18"/>
                <w:lang w:val="en-US"/>
              </w:rPr>
            </w:pPr>
            <w:r>
              <w:rPr>
                <w:rFonts w:ascii="宋体" w:hAnsi="宋体" w:cs="宋体"/>
                <w:color w:val="0000FF"/>
                <w:szCs w:val="18"/>
                <w:lang w:val="en-US"/>
              </w:rPr>
              <w:t xml:space="preserve"> 3009[活动室(30人)]</w:t>
            </w:r>
          </w:p>
        </w:tc>
        <w:tc>
          <w:tcPr>
            <w:tcBorders>
              <w:top w:val="nil"/>
              <w:left w:val="nil"/>
              <w:bottom w:val="single" w:color="auto" w:sz="4" w:space="0"/>
              <w:right w:val="single" w:color="auto" w:sz="4" w:space="0"/>
            </w:tcBorders>
            <w:shd w:val="clear" w:color="auto" w:fill="FFFFFF"/>
            <w:noWrap/>
            <w:vAlign w:val="center"/>
          </w:tcPr>
          <w:p w14:paraId="3D2397A0">
            <w:pPr>
              <w:spacing w:line="240" w:lineRule="auto"/>
              <w:rPr>
                <w:rFonts w:ascii="宋体" w:hAnsi="宋体" w:cs="宋体"/>
                <w:color w:val="000000"/>
                <w:szCs w:val="18"/>
                <w:lang w:val="en-US"/>
              </w:rPr>
            </w:pPr>
            <w:r>
              <w:rPr>
                <w:rFonts w:ascii="宋体" w:hAnsi="宋体" w:cs="宋体"/>
                <w:color w:val="000000"/>
                <w:szCs w:val="18"/>
                <w:lang w:val="en-US"/>
              </w:rPr>
              <w:t>475.06</w:t>
            </w:r>
          </w:p>
        </w:tc>
        <w:tc>
          <w:tcPr>
            <w:tcBorders>
              <w:top w:val="nil"/>
              <w:left w:val="nil"/>
              <w:bottom w:val="single" w:color="auto" w:sz="4" w:space="0"/>
              <w:right w:val="single" w:color="auto" w:sz="4" w:space="0"/>
            </w:tcBorders>
            <w:shd w:val="clear" w:color="auto" w:fill="FFFFFF"/>
            <w:noWrap/>
            <w:vAlign w:val="center"/>
          </w:tcPr>
          <w:p w14:paraId="02893D52">
            <w:pPr>
              <w:spacing w:line="240" w:lineRule="auto"/>
              <w:rPr>
                <w:rFonts w:ascii="宋体" w:hAnsi="宋体" w:cs="宋体"/>
                <w:color w:val="000000"/>
                <w:szCs w:val="18"/>
                <w:lang w:val="en-US"/>
              </w:rPr>
            </w:pPr>
            <w:r>
              <w:rPr>
                <w:rFonts w:ascii="宋体" w:hAnsi="宋体" w:cs="宋体"/>
                <w:color w:val="000000"/>
                <w:szCs w:val="18"/>
                <w:lang w:val="en-US"/>
              </w:rPr>
              <w:t>121.81</w:t>
            </w:r>
          </w:p>
        </w:tc>
        <w:tc>
          <w:tcPr>
            <w:tcW w:w="987" w:type="dxa"/>
            <w:tcBorders>
              <w:top w:val="nil"/>
              <w:left w:val="nil"/>
              <w:bottom w:val="single" w:color="auto" w:sz="4" w:space="0"/>
              <w:right w:val="single" w:color="auto" w:sz="4" w:space="0"/>
            </w:tcBorders>
            <w:shd w:val="clear" w:color="auto" w:fill="FFFFFF"/>
            <w:noWrap/>
            <w:vAlign w:val="center"/>
          </w:tcPr>
          <w:p w14:paraId="02375BA9">
            <w:pPr>
              <w:spacing w:line="240" w:lineRule="auto"/>
              <w:rPr>
                <w:rFonts w:ascii="宋体" w:hAnsi="宋体" w:cs="宋体"/>
                <w:color w:val="000000"/>
                <w:szCs w:val="18"/>
                <w:lang w:val="en-US"/>
              </w:rPr>
            </w:pPr>
            <w:r>
              <w:rPr>
                <w:rFonts w:ascii="宋体" w:hAnsi="宋体" w:cs="宋体"/>
                <w:color w:val="000000"/>
                <w:szCs w:val="18"/>
                <w:lang w:val="en-US"/>
              </w:rPr>
              <w:t>36.85</w:t>
            </w:r>
          </w:p>
        </w:tc>
      </w:tr>
      <w:tr w14:paraId="160B8BAE">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3CCC620D">
            <w:pPr>
              <w:spacing w:line="240" w:lineRule="auto"/>
              <w:rPr>
                <w:rFonts w:ascii="宋体" w:hAnsi="宋体" w:cs="宋体"/>
                <w:color w:val="0000FF"/>
                <w:szCs w:val="18"/>
                <w:lang w:val="en-US"/>
              </w:rPr>
            </w:pPr>
            <w:r>
              <w:rPr>
                <w:rFonts w:ascii="宋体" w:hAnsi="宋体" w:cs="宋体"/>
                <w:color w:val="0000FF"/>
                <w:szCs w:val="18"/>
                <w:lang w:val="en-US"/>
              </w:rPr>
              <w:t xml:space="preserve"> 3012[兴趣教室]</w:t>
            </w:r>
          </w:p>
        </w:tc>
        <w:tc>
          <w:tcPr>
            <w:tcBorders>
              <w:top w:val="nil"/>
              <w:left w:val="nil"/>
              <w:bottom w:val="single" w:color="auto" w:sz="4" w:space="0"/>
              <w:right w:val="single" w:color="auto" w:sz="4" w:space="0"/>
            </w:tcBorders>
            <w:shd w:val="clear" w:color="auto" w:fill="FFFFFF"/>
            <w:noWrap/>
            <w:vAlign w:val="center"/>
          </w:tcPr>
          <w:p w14:paraId="1CA75E7B">
            <w:pPr>
              <w:spacing w:line="240" w:lineRule="auto"/>
              <w:rPr>
                <w:rFonts w:ascii="宋体" w:hAnsi="宋体" w:cs="宋体"/>
                <w:color w:val="000000"/>
                <w:szCs w:val="18"/>
                <w:lang w:val="en-US"/>
              </w:rPr>
            </w:pPr>
            <w:r>
              <w:rPr>
                <w:rFonts w:ascii="宋体" w:hAnsi="宋体" w:cs="宋体"/>
                <w:color w:val="000000"/>
                <w:szCs w:val="18"/>
                <w:lang w:val="en-US"/>
              </w:rPr>
              <w:t>357.20</w:t>
            </w:r>
          </w:p>
        </w:tc>
        <w:tc>
          <w:tcPr>
            <w:tcBorders>
              <w:top w:val="nil"/>
              <w:left w:val="nil"/>
              <w:bottom w:val="single" w:color="auto" w:sz="4" w:space="0"/>
              <w:right w:val="single" w:color="auto" w:sz="4" w:space="0"/>
            </w:tcBorders>
            <w:shd w:val="clear" w:color="auto" w:fill="FFFFFF"/>
            <w:noWrap/>
            <w:vAlign w:val="center"/>
          </w:tcPr>
          <w:p w14:paraId="05C00A74">
            <w:pPr>
              <w:spacing w:line="240" w:lineRule="auto"/>
              <w:rPr>
                <w:rFonts w:ascii="宋体" w:hAnsi="宋体" w:cs="宋体"/>
                <w:color w:val="000000"/>
                <w:szCs w:val="18"/>
                <w:lang w:val="en-US"/>
              </w:rPr>
            </w:pPr>
            <w:r>
              <w:rPr>
                <w:rFonts w:ascii="宋体" w:hAnsi="宋体" w:cs="宋体"/>
                <w:color w:val="000000"/>
                <w:szCs w:val="18"/>
                <w:lang w:val="en-US"/>
              </w:rPr>
              <w:t>91.59</w:t>
            </w:r>
          </w:p>
        </w:tc>
        <w:tc>
          <w:tcPr>
            <w:tcW w:w="987" w:type="dxa"/>
            <w:tcBorders>
              <w:top w:val="nil"/>
              <w:left w:val="nil"/>
              <w:bottom w:val="single" w:color="auto" w:sz="4" w:space="0"/>
              <w:right w:val="single" w:color="auto" w:sz="4" w:space="0"/>
            </w:tcBorders>
            <w:shd w:val="clear" w:color="auto" w:fill="FFFFFF"/>
            <w:noWrap/>
            <w:vAlign w:val="center"/>
          </w:tcPr>
          <w:p w14:paraId="5B93FA21">
            <w:pPr>
              <w:spacing w:line="240" w:lineRule="auto"/>
              <w:rPr>
                <w:rFonts w:ascii="宋体" w:hAnsi="宋体" w:cs="宋体"/>
                <w:color w:val="000000"/>
                <w:szCs w:val="18"/>
                <w:lang w:val="en-US"/>
              </w:rPr>
            </w:pPr>
            <w:r>
              <w:rPr>
                <w:rFonts w:ascii="宋体" w:hAnsi="宋体" w:cs="宋体"/>
                <w:color w:val="000000"/>
                <w:szCs w:val="18"/>
                <w:lang w:val="en-US"/>
              </w:rPr>
              <w:t>3.69</w:t>
            </w:r>
          </w:p>
        </w:tc>
      </w:tr>
      <w:tr w14:paraId="48DFFF6F">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7A46007F">
            <w:pPr>
              <w:spacing w:line="240" w:lineRule="auto"/>
              <w:rPr>
                <w:rFonts w:ascii="宋体" w:hAnsi="宋体" w:cs="宋体"/>
                <w:color w:val="0000FF"/>
                <w:szCs w:val="18"/>
                <w:lang w:val="en-US"/>
              </w:rPr>
            </w:pPr>
            <w:r>
              <w:rPr>
                <w:rFonts w:ascii="宋体" w:hAnsi="宋体" w:cs="宋体"/>
                <w:color w:val="0000FF"/>
                <w:szCs w:val="18"/>
                <w:lang w:val="en-US"/>
              </w:rPr>
              <w:t xml:space="preserve"> 3017[教具制作室]</w:t>
            </w:r>
          </w:p>
        </w:tc>
        <w:tc>
          <w:tcPr>
            <w:tcBorders>
              <w:top w:val="nil"/>
              <w:left w:val="nil"/>
              <w:bottom w:val="single" w:color="auto" w:sz="4" w:space="0"/>
              <w:right w:val="single" w:color="auto" w:sz="4" w:space="0"/>
            </w:tcBorders>
            <w:shd w:val="clear" w:color="auto" w:fill="FFFFFF"/>
            <w:noWrap/>
            <w:vAlign w:val="center"/>
          </w:tcPr>
          <w:p w14:paraId="6F03D6EC">
            <w:pPr>
              <w:spacing w:line="240" w:lineRule="auto"/>
              <w:rPr>
                <w:rFonts w:ascii="宋体" w:hAnsi="宋体" w:cs="宋体"/>
                <w:color w:val="000000"/>
                <w:szCs w:val="18"/>
                <w:lang w:val="en-US"/>
              </w:rPr>
            </w:pPr>
            <w:r>
              <w:rPr>
                <w:rFonts w:ascii="宋体" w:hAnsi="宋体" w:cs="宋体"/>
                <w:color w:val="000000"/>
                <w:szCs w:val="18"/>
                <w:lang w:val="en-US"/>
              </w:rPr>
              <w:t>126.36</w:t>
            </w:r>
          </w:p>
        </w:tc>
        <w:tc>
          <w:tcPr>
            <w:tcBorders>
              <w:top w:val="nil"/>
              <w:left w:val="nil"/>
              <w:bottom w:val="single" w:color="auto" w:sz="4" w:space="0"/>
              <w:right w:val="single" w:color="auto" w:sz="4" w:space="0"/>
            </w:tcBorders>
            <w:shd w:val="clear" w:color="auto" w:fill="FFFFFF"/>
            <w:noWrap/>
            <w:vAlign w:val="center"/>
          </w:tcPr>
          <w:p w14:paraId="7DC36529">
            <w:pPr>
              <w:spacing w:line="240" w:lineRule="auto"/>
              <w:rPr>
                <w:rFonts w:ascii="宋体" w:hAnsi="宋体" w:cs="宋体"/>
                <w:color w:val="000000"/>
                <w:szCs w:val="18"/>
                <w:lang w:val="en-US"/>
              </w:rPr>
            </w:pPr>
            <w:r>
              <w:rPr>
                <w:rFonts w:ascii="宋体" w:hAnsi="宋体" w:cs="宋体"/>
                <w:color w:val="000000"/>
                <w:szCs w:val="18"/>
                <w:lang w:val="en-US"/>
              </w:rPr>
              <w:t>32.40</w:t>
            </w:r>
          </w:p>
        </w:tc>
        <w:tc>
          <w:tcPr>
            <w:tcW w:w="987" w:type="dxa"/>
            <w:tcBorders>
              <w:top w:val="nil"/>
              <w:left w:val="nil"/>
              <w:bottom w:val="single" w:color="auto" w:sz="4" w:space="0"/>
              <w:right w:val="single" w:color="auto" w:sz="4" w:space="0"/>
            </w:tcBorders>
            <w:shd w:val="clear" w:color="auto" w:fill="FFFFFF"/>
            <w:noWrap/>
            <w:vAlign w:val="center"/>
          </w:tcPr>
          <w:p w14:paraId="51562008">
            <w:pPr>
              <w:spacing w:line="240" w:lineRule="auto"/>
              <w:rPr>
                <w:rFonts w:ascii="宋体" w:hAnsi="宋体" w:cs="宋体"/>
                <w:color w:val="000000"/>
                <w:szCs w:val="18"/>
                <w:lang w:val="en-US"/>
              </w:rPr>
            </w:pPr>
            <w:r>
              <w:rPr>
                <w:rFonts w:ascii="宋体" w:hAnsi="宋体" w:cs="宋体"/>
                <w:color w:val="000000"/>
                <w:szCs w:val="18"/>
                <w:lang w:val="en-US"/>
              </w:rPr>
              <w:t>0.00</w:t>
            </w:r>
          </w:p>
        </w:tc>
      </w:tr>
      <w:tr w14:paraId="3E918434">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3F62D393">
            <w:pPr>
              <w:spacing w:line="240" w:lineRule="auto"/>
              <w:rPr>
                <w:rFonts w:ascii="宋体" w:hAnsi="宋体" w:cs="宋体"/>
                <w:color w:val="0000FF"/>
                <w:szCs w:val="18"/>
                <w:lang w:val="en-US"/>
              </w:rPr>
            </w:pPr>
            <w:r>
              <w:rPr>
                <w:rFonts w:ascii="宋体" w:hAnsi="宋体" w:cs="宋体"/>
                <w:color w:val="0000FF"/>
                <w:szCs w:val="18"/>
                <w:lang w:val="en-US"/>
              </w:rPr>
              <w:t xml:space="preserve"> 3019[普通办公室]</w:t>
            </w:r>
          </w:p>
        </w:tc>
        <w:tc>
          <w:tcPr>
            <w:tcBorders>
              <w:top w:val="nil"/>
              <w:left w:val="nil"/>
              <w:bottom w:val="single" w:color="auto" w:sz="4" w:space="0"/>
              <w:right w:val="single" w:color="auto" w:sz="4" w:space="0"/>
            </w:tcBorders>
            <w:shd w:val="clear" w:color="auto" w:fill="FFFFFF"/>
            <w:noWrap/>
            <w:vAlign w:val="center"/>
          </w:tcPr>
          <w:p w14:paraId="55880F17">
            <w:pPr>
              <w:spacing w:line="240" w:lineRule="auto"/>
              <w:rPr>
                <w:rFonts w:ascii="宋体" w:hAnsi="宋体" w:cs="宋体"/>
                <w:color w:val="000000"/>
                <w:szCs w:val="18"/>
                <w:lang w:val="en-US"/>
              </w:rPr>
            </w:pPr>
            <w:r>
              <w:rPr>
                <w:rFonts w:ascii="宋体" w:hAnsi="宋体" w:cs="宋体"/>
                <w:color w:val="000000"/>
                <w:szCs w:val="18"/>
                <w:lang w:val="en-US"/>
              </w:rPr>
              <w:t>102.67</w:t>
            </w:r>
          </w:p>
        </w:tc>
        <w:tc>
          <w:tcPr>
            <w:tcBorders>
              <w:top w:val="nil"/>
              <w:left w:val="nil"/>
              <w:bottom w:val="single" w:color="auto" w:sz="4" w:space="0"/>
              <w:right w:val="single" w:color="auto" w:sz="4" w:space="0"/>
            </w:tcBorders>
            <w:shd w:val="clear" w:color="auto" w:fill="FFFFFF"/>
            <w:noWrap/>
            <w:vAlign w:val="center"/>
          </w:tcPr>
          <w:p w14:paraId="0200DD2C">
            <w:pPr>
              <w:spacing w:line="240" w:lineRule="auto"/>
              <w:rPr>
                <w:rFonts w:ascii="宋体" w:hAnsi="宋体" w:cs="宋体"/>
                <w:color w:val="000000"/>
                <w:szCs w:val="18"/>
                <w:lang w:val="en-US"/>
              </w:rPr>
            </w:pPr>
            <w:r>
              <w:rPr>
                <w:rFonts w:ascii="宋体" w:hAnsi="宋体" w:cs="宋体"/>
                <w:color w:val="000000"/>
                <w:szCs w:val="18"/>
                <w:lang w:val="en-US"/>
              </w:rPr>
              <w:t>26.33</w:t>
            </w:r>
          </w:p>
        </w:tc>
        <w:tc>
          <w:tcPr>
            <w:tcW w:w="987" w:type="dxa"/>
            <w:tcBorders>
              <w:top w:val="nil"/>
              <w:left w:val="nil"/>
              <w:bottom w:val="single" w:color="auto" w:sz="4" w:space="0"/>
              <w:right w:val="single" w:color="auto" w:sz="4" w:space="0"/>
            </w:tcBorders>
            <w:shd w:val="clear" w:color="auto" w:fill="FFFFFF"/>
            <w:noWrap/>
            <w:vAlign w:val="center"/>
          </w:tcPr>
          <w:p w14:paraId="1DEC53BC">
            <w:pPr>
              <w:spacing w:line="240" w:lineRule="auto"/>
              <w:rPr>
                <w:rFonts w:ascii="宋体" w:hAnsi="宋体" w:cs="宋体"/>
                <w:color w:val="000000"/>
                <w:szCs w:val="18"/>
                <w:lang w:val="en-US"/>
              </w:rPr>
            </w:pPr>
            <w:r>
              <w:rPr>
                <w:rFonts w:ascii="宋体" w:hAnsi="宋体" w:cs="宋体"/>
                <w:color w:val="000000"/>
                <w:szCs w:val="18"/>
                <w:lang w:val="en-US"/>
              </w:rPr>
              <w:t>20.26</w:t>
            </w:r>
          </w:p>
        </w:tc>
      </w:tr>
      <w:tr w14:paraId="4241E807">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5B03EC5C">
            <w:pPr>
              <w:spacing w:line="240" w:lineRule="auto"/>
              <w:rPr>
                <w:rFonts w:ascii="宋体" w:hAnsi="宋体" w:cs="宋体"/>
                <w:color w:val="0000FF"/>
                <w:szCs w:val="18"/>
                <w:lang w:val="en-US"/>
              </w:rPr>
            </w:pPr>
            <w:r>
              <w:rPr>
                <w:rFonts w:ascii="宋体" w:hAnsi="宋体" w:cs="宋体"/>
                <w:color w:val="0000FF"/>
                <w:szCs w:val="18"/>
                <w:lang w:val="en-US"/>
              </w:rPr>
              <w:t xml:space="preserve"> 3022[高档办公室]</w:t>
            </w:r>
          </w:p>
        </w:tc>
        <w:tc>
          <w:tcPr>
            <w:tcBorders>
              <w:top w:val="nil"/>
              <w:left w:val="nil"/>
              <w:bottom w:val="single" w:color="auto" w:sz="4" w:space="0"/>
              <w:right w:val="single" w:color="auto" w:sz="4" w:space="0"/>
            </w:tcBorders>
            <w:shd w:val="clear" w:color="auto" w:fill="FFFFFF"/>
            <w:noWrap/>
            <w:vAlign w:val="center"/>
          </w:tcPr>
          <w:p w14:paraId="1CDC0C0E">
            <w:pPr>
              <w:spacing w:line="240" w:lineRule="auto"/>
              <w:rPr>
                <w:rFonts w:ascii="宋体" w:hAnsi="宋体" w:cs="宋体"/>
                <w:color w:val="000000"/>
                <w:szCs w:val="18"/>
                <w:lang w:val="en-US"/>
              </w:rPr>
            </w:pPr>
            <w:r>
              <w:rPr>
                <w:rFonts w:ascii="宋体" w:hAnsi="宋体" w:cs="宋体"/>
                <w:color w:val="000000"/>
                <w:szCs w:val="18"/>
                <w:lang w:val="en-US"/>
              </w:rPr>
              <w:t>88.84</w:t>
            </w:r>
          </w:p>
        </w:tc>
        <w:tc>
          <w:tcPr>
            <w:tcBorders>
              <w:top w:val="nil"/>
              <w:left w:val="nil"/>
              <w:bottom w:val="single" w:color="auto" w:sz="4" w:space="0"/>
              <w:right w:val="single" w:color="auto" w:sz="4" w:space="0"/>
            </w:tcBorders>
            <w:shd w:val="clear" w:color="auto" w:fill="FFFFFF"/>
            <w:noWrap/>
            <w:vAlign w:val="center"/>
          </w:tcPr>
          <w:p w14:paraId="240AA6D6">
            <w:pPr>
              <w:spacing w:line="240" w:lineRule="auto"/>
              <w:rPr>
                <w:rFonts w:ascii="宋体" w:hAnsi="宋体" w:cs="宋体"/>
                <w:color w:val="000000"/>
                <w:szCs w:val="18"/>
                <w:lang w:val="en-US"/>
              </w:rPr>
            </w:pPr>
            <w:r>
              <w:rPr>
                <w:rFonts w:ascii="宋体" w:hAnsi="宋体" w:cs="宋体"/>
                <w:color w:val="000000"/>
                <w:szCs w:val="18"/>
                <w:lang w:val="en-US"/>
              </w:rPr>
              <w:t>22.78</w:t>
            </w:r>
          </w:p>
        </w:tc>
        <w:tc>
          <w:tcPr>
            <w:tcW w:w="987" w:type="dxa"/>
            <w:tcBorders>
              <w:top w:val="nil"/>
              <w:left w:val="nil"/>
              <w:bottom w:val="single" w:color="auto" w:sz="4" w:space="0"/>
              <w:right w:val="single" w:color="auto" w:sz="4" w:space="0"/>
            </w:tcBorders>
            <w:shd w:val="clear" w:color="auto" w:fill="FFFFFF"/>
            <w:noWrap/>
            <w:vAlign w:val="center"/>
          </w:tcPr>
          <w:p w14:paraId="3AF8F8F3">
            <w:pPr>
              <w:spacing w:line="240" w:lineRule="auto"/>
              <w:rPr>
                <w:rFonts w:ascii="宋体" w:hAnsi="宋体" w:cs="宋体"/>
                <w:color w:val="000000"/>
                <w:szCs w:val="18"/>
                <w:lang w:val="en-US"/>
              </w:rPr>
            </w:pPr>
            <w:r>
              <w:rPr>
                <w:rFonts w:ascii="宋体" w:hAnsi="宋体" w:cs="宋体"/>
                <w:color w:val="000000"/>
                <w:szCs w:val="18"/>
                <w:lang w:val="en-US"/>
              </w:rPr>
              <w:t>0.00</w:t>
            </w:r>
          </w:p>
        </w:tc>
      </w:tr>
      <w:tr w14:paraId="018392C4">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3614617E">
            <w:pPr>
              <w:spacing w:line="240" w:lineRule="auto"/>
              <w:rPr>
                <w:rFonts w:ascii="宋体" w:hAnsi="宋体" w:cs="宋体"/>
                <w:color w:val="0000FF"/>
                <w:szCs w:val="18"/>
                <w:lang w:val="en-US"/>
              </w:rPr>
            </w:pPr>
            <w:r>
              <w:rPr>
                <w:rFonts w:ascii="宋体" w:hAnsi="宋体" w:cs="宋体"/>
                <w:color w:val="0000FF"/>
                <w:szCs w:val="18"/>
                <w:lang w:val="en-US"/>
              </w:rPr>
              <w:t xml:space="preserve"> 3045[储藏间]</w:t>
            </w:r>
          </w:p>
        </w:tc>
        <w:tc>
          <w:tcPr>
            <w:tcBorders>
              <w:top w:val="nil"/>
              <w:left w:val="nil"/>
              <w:bottom w:val="single" w:color="auto" w:sz="4" w:space="0"/>
              <w:right w:val="single" w:color="auto" w:sz="4" w:space="0"/>
            </w:tcBorders>
            <w:shd w:val="clear" w:color="auto" w:fill="FFFFFF"/>
            <w:noWrap/>
            <w:vAlign w:val="center"/>
          </w:tcPr>
          <w:p w14:paraId="1BB096F2">
            <w:pPr>
              <w:spacing w:line="240" w:lineRule="auto"/>
              <w:rPr>
                <w:rFonts w:ascii="宋体" w:hAnsi="宋体" w:cs="宋体"/>
                <w:color w:val="000000"/>
                <w:szCs w:val="18"/>
                <w:lang w:val="en-US"/>
              </w:rPr>
            </w:pPr>
            <w:r>
              <w:rPr>
                <w:rFonts w:ascii="宋体" w:hAnsi="宋体" w:cs="宋体"/>
                <w:color w:val="000000"/>
                <w:szCs w:val="18"/>
                <w:lang w:val="en-US"/>
              </w:rPr>
              <w:t>14.74</w:t>
            </w:r>
          </w:p>
        </w:tc>
        <w:tc>
          <w:tcPr>
            <w:tcBorders>
              <w:top w:val="nil"/>
              <w:left w:val="nil"/>
              <w:bottom w:val="single" w:color="auto" w:sz="4" w:space="0"/>
              <w:right w:val="single" w:color="auto" w:sz="4" w:space="0"/>
            </w:tcBorders>
            <w:shd w:val="clear" w:color="auto" w:fill="FFFFFF"/>
            <w:noWrap/>
            <w:vAlign w:val="center"/>
          </w:tcPr>
          <w:p w14:paraId="4EDA01B5">
            <w:pPr>
              <w:spacing w:line="240" w:lineRule="auto"/>
              <w:rPr>
                <w:rFonts w:ascii="宋体" w:hAnsi="宋体" w:cs="宋体"/>
                <w:color w:val="000000"/>
                <w:szCs w:val="18"/>
                <w:lang w:val="en-US"/>
              </w:rPr>
            </w:pPr>
            <w:r>
              <w:rPr>
                <w:rFonts w:ascii="宋体" w:hAnsi="宋体" w:cs="宋体"/>
                <w:color w:val="000000"/>
                <w:szCs w:val="18"/>
                <w:lang w:val="en-US"/>
              </w:rPr>
              <w:t>3.78</w:t>
            </w:r>
          </w:p>
        </w:tc>
        <w:tc>
          <w:tcPr>
            <w:tcW w:w="987" w:type="dxa"/>
            <w:tcBorders>
              <w:top w:val="nil"/>
              <w:left w:val="nil"/>
              <w:bottom w:val="single" w:color="auto" w:sz="4" w:space="0"/>
              <w:right w:val="single" w:color="auto" w:sz="4" w:space="0"/>
            </w:tcBorders>
            <w:shd w:val="clear" w:color="auto" w:fill="FFFFFF"/>
            <w:noWrap/>
            <w:vAlign w:val="center"/>
          </w:tcPr>
          <w:p w14:paraId="46B282F3">
            <w:pPr>
              <w:spacing w:line="240" w:lineRule="auto"/>
              <w:rPr>
                <w:rFonts w:ascii="宋体" w:hAnsi="宋体" w:cs="宋体"/>
                <w:color w:val="000000"/>
                <w:szCs w:val="18"/>
                <w:lang w:val="en-US"/>
              </w:rPr>
            </w:pPr>
            <w:r>
              <w:rPr>
                <w:rFonts w:ascii="宋体" w:hAnsi="宋体" w:cs="宋体"/>
                <w:color w:val="000000"/>
                <w:szCs w:val="18"/>
                <w:lang w:val="en-US"/>
              </w:rPr>
              <w:t>0.00</w:t>
            </w:r>
          </w:p>
        </w:tc>
      </w:tr>
      <w:tr w14:paraId="1EE1F3E3">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608217B1">
            <w:pPr>
              <w:spacing w:line="240" w:lineRule="auto"/>
              <w:rPr>
                <w:rFonts w:ascii="宋体" w:hAnsi="宋体" w:cs="宋体"/>
                <w:color w:val="0000FF"/>
                <w:szCs w:val="18"/>
                <w:lang w:val="en-US"/>
              </w:rPr>
            </w:pPr>
            <w:r>
              <w:rPr>
                <w:rFonts w:ascii="宋体" w:hAnsi="宋体" w:cs="宋体"/>
                <w:color w:val="0000FF"/>
                <w:szCs w:val="18"/>
                <w:lang w:val="en-US"/>
              </w:rPr>
              <w:t xml:space="preserve"> 3047[备餐区]</w:t>
            </w:r>
          </w:p>
        </w:tc>
        <w:tc>
          <w:tcPr>
            <w:tcBorders>
              <w:top w:val="nil"/>
              <w:left w:val="nil"/>
              <w:bottom w:val="single" w:color="auto" w:sz="4" w:space="0"/>
              <w:right w:val="single" w:color="auto" w:sz="4" w:space="0"/>
            </w:tcBorders>
            <w:shd w:val="clear" w:color="auto" w:fill="FFFFFF"/>
            <w:noWrap/>
            <w:vAlign w:val="center"/>
          </w:tcPr>
          <w:p w14:paraId="70016FC5">
            <w:pPr>
              <w:spacing w:line="240" w:lineRule="auto"/>
              <w:rPr>
                <w:rFonts w:ascii="宋体" w:hAnsi="宋体" w:cs="宋体"/>
                <w:color w:val="000000"/>
                <w:szCs w:val="18"/>
                <w:lang w:val="en-US"/>
              </w:rPr>
            </w:pPr>
            <w:r>
              <w:rPr>
                <w:rFonts w:ascii="宋体" w:hAnsi="宋体" w:cs="宋体"/>
                <w:color w:val="000000"/>
                <w:szCs w:val="18"/>
                <w:lang w:val="en-US"/>
              </w:rPr>
              <w:t>13.10</w:t>
            </w:r>
          </w:p>
        </w:tc>
        <w:tc>
          <w:tcPr>
            <w:tcBorders>
              <w:top w:val="nil"/>
              <w:left w:val="nil"/>
              <w:bottom w:val="single" w:color="auto" w:sz="4" w:space="0"/>
              <w:right w:val="single" w:color="auto" w:sz="4" w:space="0"/>
            </w:tcBorders>
            <w:shd w:val="clear" w:color="auto" w:fill="FFFFFF"/>
            <w:noWrap/>
            <w:vAlign w:val="center"/>
          </w:tcPr>
          <w:p w14:paraId="48E2E17B">
            <w:pPr>
              <w:spacing w:line="240" w:lineRule="auto"/>
              <w:rPr>
                <w:rFonts w:ascii="宋体" w:hAnsi="宋体" w:cs="宋体"/>
                <w:color w:val="000000"/>
                <w:szCs w:val="18"/>
                <w:lang w:val="en-US"/>
              </w:rPr>
            </w:pPr>
            <w:r>
              <w:rPr>
                <w:rFonts w:ascii="宋体" w:hAnsi="宋体" w:cs="宋体"/>
                <w:color w:val="000000"/>
                <w:szCs w:val="18"/>
                <w:lang w:val="en-US"/>
              </w:rPr>
              <w:t>3.36</w:t>
            </w:r>
          </w:p>
        </w:tc>
        <w:tc>
          <w:tcPr>
            <w:tcW w:w="987" w:type="dxa"/>
            <w:tcBorders>
              <w:top w:val="nil"/>
              <w:left w:val="nil"/>
              <w:bottom w:val="single" w:color="auto" w:sz="4" w:space="0"/>
              <w:right w:val="single" w:color="auto" w:sz="4" w:space="0"/>
            </w:tcBorders>
            <w:shd w:val="clear" w:color="auto" w:fill="FFFFFF"/>
            <w:noWrap/>
            <w:vAlign w:val="center"/>
          </w:tcPr>
          <w:p w14:paraId="3D875336">
            <w:pPr>
              <w:spacing w:line="240" w:lineRule="auto"/>
              <w:rPr>
                <w:rFonts w:ascii="宋体" w:hAnsi="宋体" w:cs="宋体"/>
                <w:color w:val="000000"/>
                <w:szCs w:val="18"/>
                <w:lang w:val="en-US"/>
              </w:rPr>
            </w:pPr>
            <w:r>
              <w:rPr>
                <w:rFonts w:ascii="宋体" w:hAnsi="宋体" w:cs="宋体"/>
                <w:color w:val="000000"/>
                <w:szCs w:val="18"/>
                <w:lang w:val="en-US"/>
              </w:rPr>
              <w:t>0.00</w:t>
            </w:r>
          </w:p>
        </w:tc>
      </w:tr>
      <w:tr w14:paraId="61BE45E6">
        <w:tblPrEx>
          <w:tblCellMar>
            <w:top w:w="0" w:type="dxa"/>
            <w:left w:w="108" w:type="dxa"/>
            <w:bottom w:w="0" w:type="dxa"/>
            <w:right w:w="108" w:type="dxa"/>
          </w:tblCellMar>
        </w:tblPrEx>
        <w:trPr>
          <w:trHeight w:val="270" w:hRule="atLeast"/>
        </w:trPr>
        <w:tc>
          <w:tcPr>
            <w:tcBorders>
              <w:top w:val="nil"/>
              <w:left w:val="single" w:color="auto" w:sz="4" w:space="0"/>
              <w:bottom w:val="single" w:color="auto" w:sz="4" w:space="0"/>
              <w:right w:val="single" w:color="auto" w:sz="4" w:space="0"/>
            </w:tcBorders>
            <w:shd w:val="clear" w:color="auto" w:fill="FFFFFF"/>
            <w:noWrap/>
            <w:vAlign w:val="center"/>
          </w:tcPr>
          <w:p w14:paraId="511678B2">
            <w:pPr>
              <w:spacing w:line="240" w:lineRule="auto"/>
              <w:rPr>
                <w:rFonts w:ascii="宋体" w:hAnsi="宋体" w:cs="宋体"/>
                <w:color w:val="0000FF"/>
                <w:szCs w:val="18"/>
                <w:lang w:val="en-US"/>
              </w:rPr>
            </w:pPr>
            <w:r>
              <w:rPr>
                <w:rFonts w:ascii="宋体" w:hAnsi="宋体" w:cs="宋体"/>
                <w:color w:val="0000FF"/>
                <w:szCs w:val="18"/>
                <w:lang w:val="en-US"/>
              </w:rPr>
              <w:t xml:space="preserve"> 4层</w:t>
            </w:r>
          </w:p>
        </w:tc>
        <w:tc>
          <w:tcPr>
            <w:tcBorders>
              <w:top w:val="nil"/>
              <w:left w:val="nil"/>
              <w:bottom w:val="single" w:color="auto" w:sz="4" w:space="0"/>
              <w:right w:val="single" w:color="auto" w:sz="4" w:space="0"/>
            </w:tcBorders>
            <w:shd w:val="clear" w:color="auto" w:fill="FFFFFF"/>
            <w:noWrap/>
            <w:vAlign w:val="center"/>
          </w:tcPr>
          <w:p w14:paraId="1B6952EB">
            <w:pPr>
              <w:spacing w:line="240" w:lineRule="auto"/>
              <w:rPr>
                <w:rFonts w:ascii="宋体" w:hAnsi="宋体" w:cs="宋体"/>
                <w:color w:val="000000"/>
                <w:szCs w:val="18"/>
                <w:lang w:val="en-US"/>
              </w:rPr>
            </w:pPr>
          </w:p>
        </w:tc>
        <w:tc>
          <w:tcPr>
            <w:tcBorders>
              <w:top w:val="nil"/>
              <w:left w:val="nil"/>
              <w:bottom w:val="single" w:color="auto" w:sz="4" w:space="0"/>
              <w:right w:val="single" w:color="auto" w:sz="4" w:space="0"/>
            </w:tcBorders>
            <w:shd w:val="clear" w:color="auto" w:fill="FFFFFF"/>
            <w:noWrap/>
            <w:vAlign w:val="center"/>
          </w:tcPr>
          <w:p w14:paraId="33499E76">
            <w:pPr>
              <w:spacing w:line="240" w:lineRule="auto"/>
              <w:rPr>
                <w:rFonts w:ascii="宋体" w:hAnsi="宋体" w:cs="宋体"/>
                <w:color w:val="000000"/>
                <w:szCs w:val="18"/>
                <w:lang w:val="en-US"/>
              </w:rPr>
            </w:pPr>
          </w:p>
        </w:tc>
        <w:tc>
          <w:tcPr>
            <w:tcW w:w="987" w:type="dxa"/>
            <w:tcBorders>
              <w:top w:val="nil"/>
              <w:left w:val="nil"/>
              <w:bottom w:val="single" w:color="auto" w:sz="4" w:space="0"/>
              <w:right w:val="single" w:color="auto" w:sz="4" w:space="0"/>
            </w:tcBorders>
            <w:shd w:val="clear" w:color="auto" w:fill="FFFFFF"/>
            <w:noWrap/>
            <w:vAlign w:val="center"/>
          </w:tcPr>
          <w:p w14:paraId="3D3F9563">
            <w:pPr>
              <w:spacing w:line="240" w:lineRule="auto"/>
              <w:rPr>
                <w:rFonts w:ascii="宋体" w:hAnsi="宋体" w:cs="宋体"/>
                <w:color w:val="000000"/>
                <w:szCs w:val="18"/>
                <w:lang w:val="en-US"/>
              </w:rPr>
            </w:pPr>
          </w:p>
        </w:tc>
      </w:tr>
      <w:bookmarkEnd w:id="5"/>
    </w:tbl>
    <w:p w14:paraId="2EFD93FD">
      <w:pPr>
        <w:pStyle w:val="3"/>
        <w:ind w:left="360" w:firstLine="0" w:firstLineChars="0"/>
        <w:rPr>
          <w:rFonts w:hint="eastAsia"/>
          <w:kern w:val="2"/>
          <w:szCs w:val="24"/>
          <w:lang w:val="en-US"/>
        </w:rPr>
      </w:pPr>
      <w:bookmarkStart w:id="6" w:name="总结论"/>
    </w:p>
    <w:p w14:paraId="77991ED1">
      <w:pPr>
        <w:pStyle w:val="3"/>
        <w:ind w:left="360" w:firstLine="0" w:firstLineChars="0"/>
        <w:rPr>
          <w:rFonts w:hint="eastAsia"/>
          <w:kern w:val="2"/>
          <w:szCs w:val="24"/>
          <w:lang w:val="en-US"/>
        </w:rPr>
      </w:pPr>
    </w:p>
    <w:p w14:paraId="41E28271">
      <w:pPr>
        <w:pStyle w:val="3"/>
        <w:ind w:left="360" w:firstLine="0" w:firstLineChars="0"/>
        <w:rPr>
          <w:rFonts w:hint="eastAsia"/>
          <w:kern w:val="2"/>
          <w:szCs w:val="24"/>
          <w:lang w:val="en-US"/>
        </w:rPr>
      </w:pPr>
    </w:p>
    <w:p w14:paraId="78ADA82E">
      <w:pPr>
        <w:pStyle w:val="3"/>
        <w:ind w:left="360" w:firstLine="0" w:firstLineChars="0"/>
        <w:rPr>
          <w:rFonts w:hint="eastAsia"/>
          <w:kern w:val="2"/>
          <w:szCs w:val="24"/>
          <w:lang w:val="en-US"/>
        </w:rPr>
      </w:pPr>
    </w:p>
    <w:bookmarkEnd w:id="6"/>
    <w:p w14:paraId="74F59EBB">
      <w:pPr>
        <w:pStyle w:val="3"/>
        <w:ind w:left="360" w:firstLine="0" w:firstLineChars="0"/>
        <w:rPr>
          <w:kern w:val="2"/>
          <w:szCs w:val="24"/>
          <w:lang w:val="en-US"/>
        </w:rPr>
      </w:pPr>
      <w:r>
        <w:rPr>
          <w:rFonts w:hint="eastAsia"/>
          <w:kern w:val="2"/>
          <w:szCs w:val="24"/>
          <w:lang w:val="en-US"/>
        </w:rPr>
        <w:t>该建筑</w:t>
      </w:r>
      <w:r>
        <w:rPr>
          <w:rFonts w:hint="eastAsia"/>
        </w:rPr>
        <w:t>主要功能房间</w:t>
      </w:r>
      <w:bookmarkStart w:id="7" w:name="最小比例值"/>
      <w:r>
        <w:rPr>
          <w:rFonts w:hint="eastAsia"/>
          <w:kern w:val="2"/>
          <w:szCs w:val="24"/>
          <w:lang w:val="en-US"/>
        </w:rPr>
        <w:t>换气次数</w:t>
      </w:r>
      <w:bookmarkEnd w:id="7"/>
      <w:r>
        <w:rPr>
          <w:rFonts w:hint="eastAsia"/>
          <w:kern w:val="2"/>
          <w:szCs w:val="24"/>
          <w:lang w:val="en-US"/>
        </w:rPr>
        <w:t>大于2次</w:t>
      </w:r>
      <w:r>
        <w:rPr>
          <w:rFonts w:hint="eastAsia"/>
          <w:b/>
          <w:kern w:val="2"/>
          <w:szCs w:val="24"/>
          <w:lang w:val="en-US"/>
        </w:rPr>
        <w:t>/</w:t>
      </w:r>
      <w:r>
        <w:rPr>
          <w:rFonts w:hint="eastAsia"/>
          <w:kern w:val="2"/>
          <w:szCs w:val="24"/>
          <w:lang w:val="en-US"/>
        </w:rPr>
        <w:t>h的面积比例</w:t>
      </w:r>
      <w:r>
        <w:rPr>
          <w:kern w:val="2"/>
          <w:szCs w:val="24"/>
          <w:lang w:val="en-US"/>
        </w:rPr>
        <w:t>为</w:t>
      </w:r>
      <w:bookmarkStart w:id="8" w:name="面积比2"/>
      <w:r>
        <w:rPr>
          <w:rFonts w:hint="eastAsia"/>
          <w:kern w:val="2"/>
          <w:szCs w:val="24"/>
          <w:lang w:val="en-US"/>
        </w:rPr>
        <w:t>84.96</w:t>
      </w:r>
      <w:bookmarkEnd w:id="8"/>
      <w:r>
        <w:rPr>
          <w:kern w:val="2"/>
          <w:szCs w:val="24"/>
          <w:lang w:val="en-US"/>
        </w:rPr>
        <w:t>%</w:t>
      </w:r>
      <w:r>
        <w:rPr>
          <w:rFonts w:hint="eastAsia"/>
          <w:kern w:val="2"/>
          <w:szCs w:val="24"/>
          <w:lang w:val="en-US"/>
        </w:rPr>
        <w:t>，按照绿标5.2.10条款</w:t>
      </w:r>
      <w:r>
        <w:rPr>
          <w:kern w:val="2"/>
          <w:szCs w:val="24"/>
          <w:lang w:val="en-US"/>
        </w:rPr>
        <w:t>要求得</w:t>
      </w:r>
      <w:bookmarkStart w:id="9" w:name="得分"/>
      <w:r>
        <w:rPr>
          <w:rFonts w:hint="eastAsia"/>
          <w:kern w:val="2"/>
          <w:szCs w:val="24"/>
          <w:lang w:val="en-US"/>
        </w:rPr>
        <w:t>6.0</w:t>
      </w:r>
      <w:bookmarkEnd w:id="9"/>
      <w:r>
        <w:rPr>
          <w:rFonts w:hint="eastAsia"/>
          <w:kern w:val="2"/>
          <w:szCs w:val="24"/>
          <w:lang w:val="en-US"/>
        </w:rPr>
        <w:t>分。</w:t>
      </w:r>
    </w:p>
    <w:p w14:paraId="18B3DAD3">
      <w:pPr>
        <w:numPr>
          <w:ilvl w:val="0"/>
          <w:numId w:val="1"/>
        </w:numPr>
        <w:ind w:left="0"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有机物</w:t>
      </w:r>
    </w:p>
    <w:p w14:paraId="28831022">
      <w:pPr>
        <w:ind w:left="-567" w:leftChars="-270" w:firstLine="420" w:firstLineChars="200"/>
        <w:jc w:val="center"/>
        <w:rPr>
          <w:rFonts w:ascii="Times New Roman" w:hAnsi="Times New Roman" w:eastAsia="等线" w:cs="Times New Roman"/>
          <w:bCs/>
        </w:rPr>
      </w:pPr>
      <w:r>
        <w:drawing>
          <wp:inline distT="0" distB="0" distL="0" distR="0">
            <wp:extent cx="5667375" cy="3667125"/>
            <wp:effectExtent l="0" t="0" r="1905" b="571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9"/>
                    <a:stretch>
                      <a:fillRect/>
                    </a:stretch>
                  </pic:blipFill>
                  <pic:spPr>
                    <a:xfrm>
                      <a:off x="0" y="0"/>
                      <a:ext cx="5667375" cy="3667125"/>
                    </a:xfrm>
                    <a:prstGeom prst="rect">
                      <a:avLst/>
                    </a:prstGeom>
                  </pic:spPr>
                </pic:pic>
              </a:graphicData>
            </a:graphic>
          </wp:inline>
        </w:drawing>
      </w:r>
    </w:p>
    <w:p w14:paraId="7F36ED33">
      <w:pPr>
        <w:tabs>
          <w:tab w:val="center" w:pos="4153"/>
          <w:tab w:val="right" w:pos="8306"/>
        </w:tabs>
        <w:jc w:val="left"/>
        <w:rPr>
          <w:rFonts w:ascii="微软雅黑" w:hAnsi="微软雅黑" w:eastAsia="微软雅黑" w:cs="Times New Roman"/>
          <w:b/>
          <w:sz w:val="18"/>
          <w:szCs w:val="18"/>
        </w:rPr>
      </w:pPr>
      <w:r>
        <w:rPr>
          <w:rFonts w:ascii="微软雅黑" w:hAnsi="微软雅黑" w:eastAsia="微软雅黑" w:cs="Times New Roman"/>
          <w:b/>
          <w:sz w:val="18"/>
          <w:szCs w:val="18"/>
        </w:rPr>
        <w:tab/>
      </w:r>
      <w:r>
        <w:rPr>
          <w:rFonts w:ascii="微软雅黑" w:hAnsi="微软雅黑" w:eastAsia="微软雅黑" w:cs="Times New Roman"/>
          <w:b/>
          <w:sz w:val="18"/>
          <w:szCs w:val="18"/>
        </w:rPr>
        <w:t>图6-1 达标统计图</w:t>
      </w:r>
      <w:r>
        <w:rPr>
          <w:rFonts w:ascii="微软雅黑" w:hAnsi="微软雅黑" w:eastAsia="微软雅黑" w:cs="Times New Roman"/>
          <w:b/>
          <w:sz w:val="18"/>
          <w:szCs w:val="18"/>
        </w:rPr>
        <w:tab/>
      </w:r>
    </w:p>
    <w:p w14:paraId="4DE11F48">
      <w:pPr>
        <w:ind w:firstLine="420"/>
        <w:rPr>
          <w:rFonts w:ascii="Times New Roman" w:hAnsi="Times New Roman" w:cs="Times New Roman"/>
        </w:rPr>
      </w:pPr>
      <w:r>
        <w:rPr>
          <w:rFonts w:ascii="Times New Roman" w:hAnsi="Times New Roman" w:cs="Times New Roman"/>
        </w:rPr>
        <w:t>本项目按照标准要求对所有参评房间进行了有机挥发物浓度的计算，并对结果进行评价如下：</w:t>
      </w:r>
    </w:p>
    <w:tbl>
      <w:tblPr>
        <w:tblStyle w:val="5"/>
        <w:tblW w:w="831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6"/>
        <w:gridCol w:w="3347"/>
        <w:gridCol w:w="675"/>
        <w:gridCol w:w="1754"/>
        <w:gridCol w:w="1028"/>
        <w:gridCol w:w="512"/>
      </w:tblGrid>
      <w:tr w14:paraId="5A53B9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96" w:type="dxa"/>
            <w:shd w:val="clear" w:color="auto" w:fill="D8D8D8" w:themeFill="background1" w:themeFillShade="D9"/>
            <w:noWrap/>
            <w:vAlign w:val="center"/>
          </w:tcPr>
          <w:p w14:paraId="4DF68C86">
            <w:pPr>
              <w:jc w:val="center"/>
              <w:rPr>
                <w:rFonts w:ascii="Times New Roman" w:hAnsi="Times New Roman" w:cs="Times New Roman"/>
                <w:b/>
              </w:rPr>
            </w:pPr>
            <w:r>
              <w:rPr>
                <w:rFonts w:cs="Times New Roman" w:eastAsiaTheme="minorHAnsi"/>
                <w:b/>
                <w:bCs/>
                <w:color w:val="000000"/>
                <w:kern w:val="0"/>
                <w:sz w:val="20"/>
                <w:szCs w:val="20"/>
              </w:rPr>
              <w:t>检查项</w:t>
            </w:r>
          </w:p>
        </w:tc>
        <w:tc>
          <w:tcPr>
            <w:tcW w:w="4022" w:type="dxa"/>
            <w:gridSpan w:val="2"/>
            <w:shd w:val="clear" w:color="auto" w:fill="D8D8D8" w:themeFill="background1" w:themeFillShade="D9"/>
            <w:noWrap/>
            <w:vAlign w:val="center"/>
          </w:tcPr>
          <w:p w14:paraId="4CC8A0CE">
            <w:pPr>
              <w:jc w:val="center"/>
              <w:rPr>
                <w:rFonts w:ascii="Times New Roman" w:hAnsi="Times New Roman" w:cs="Times New Roman"/>
                <w:b/>
              </w:rPr>
            </w:pPr>
            <w:r>
              <w:rPr>
                <w:rFonts w:cs="Times New Roman" w:eastAsiaTheme="minorHAnsi"/>
                <w:b/>
                <w:bCs/>
                <w:color w:val="000000"/>
                <w:kern w:val="0"/>
                <w:sz w:val="20"/>
                <w:szCs w:val="20"/>
              </w:rPr>
              <w:t>标准要求</w:t>
            </w:r>
          </w:p>
        </w:tc>
        <w:tc>
          <w:tcPr>
            <w:tcW w:w="1754" w:type="dxa"/>
            <w:shd w:val="clear" w:color="auto" w:fill="D8D8D8" w:themeFill="background1" w:themeFillShade="D9"/>
            <w:vAlign w:val="center"/>
          </w:tcPr>
          <w:p w14:paraId="51E500A4">
            <w:pPr>
              <w:jc w:val="center"/>
              <w:rPr>
                <w:rFonts w:ascii="Times New Roman" w:hAnsi="Times New Roman" w:cs="Times New Roman"/>
                <w:b/>
              </w:rPr>
            </w:pPr>
            <w:r>
              <w:rPr>
                <w:rFonts w:cs="Times New Roman" w:eastAsiaTheme="minorHAnsi"/>
                <w:b/>
                <w:bCs/>
                <w:color w:val="000000"/>
                <w:kern w:val="0"/>
                <w:sz w:val="20"/>
                <w:szCs w:val="20"/>
              </w:rPr>
              <w:t>计算结果</w:t>
            </w:r>
          </w:p>
        </w:tc>
        <w:tc>
          <w:tcPr>
            <w:tcW w:w="1028" w:type="dxa"/>
            <w:shd w:val="clear" w:color="auto" w:fill="D8D8D8" w:themeFill="background1" w:themeFillShade="D9"/>
            <w:noWrap/>
            <w:vAlign w:val="center"/>
          </w:tcPr>
          <w:p w14:paraId="68ABB291">
            <w:pPr>
              <w:jc w:val="center"/>
              <w:rPr>
                <w:rFonts w:ascii="Times New Roman" w:hAnsi="Times New Roman" w:cs="Times New Roman"/>
                <w:b/>
              </w:rPr>
            </w:pPr>
            <w:r>
              <w:rPr>
                <w:rFonts w:cs="Times New Roman" w:eastAsiaTheme="minorHAnsi"/>
                <w:b/>
                <w:bCs/>
                <w:color w:val="000000"/>
                <w:kern w:val="0"/>
                <w:sz w:val="20"/>
                <w:szCs w:val="20"/>
              </w:rPr>
              <w:t>结论</w:t>
            </w:r>
          </w:p>
        </w:tc>
        <w:tc>
          <w:tcPr>
            <w:tcW w:w="512" w:type="dxa"/>
            <w:shd w:val="clear" w:color="auto" w:fill="D8D8D8" w:themeFill="background1" w:themeFillShade="D9"/>
            <w:noWrap/>
            <w:vAlign w:val="center"/>
          </w:tcPr>
          <w:p w14:paraId="2CB2A260">
            <w:pPr>
              <w:jc w:val="center"/>
              <w:rPr>
                <w:rFonts w:ascii="Times New Roman" w:hAnsi="Times New Roman" w:cs="Times New Roman"/>
                <w:b/>
              </w:rPr>
            </w:pPr>
            <w:r>
              <w:rPr>
                <w:rFonts w:cs="Times New Roman" w:eastAsiaTheme="minorHAnsi"/>
                <w:b/>
                <w:bCs/>
                <w:color w:val="000000"/>
                <w:kern w:val="0"/>
                <w:sz w:val="20"/>
                <w:szCs w:val="20"/>
              </w:rPr>
              <w:t>得分</w:t>
            </w:r>
          </w:p>
        </w:tc>
      </w:tr>
      <w:tr w14:paraId="5E7452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0" w:hRule="atLeast"/>
          <w:jc w:val="center"/>
        </w:trPr>
        <w:tc>
          <w:tcPr>
            <w:tcW w:w="996" w:type="dxa"/>
            <w:shd w:val="clear" w:color="000000" w:fill="D0CECE"/>
            <w:noWrap/>
            <w:vAlign w:val="center"/>
          </w:tcPr>
          <w:p w14:paraId="5D6E0277">
            <w:pPr>
              <w:jc w:val="center"/>
              <w:rPr>
                <w:rFonts w:cs="Times New Roman" w:eastAsiaTheme="minorHAnsi"/>
                <w:b/>
                <w:bCs/>
                <w:color w:val="000000"/>
                <w:kern w:val="0"/>
                <w:sz w:val="20"/>
                <w:szCs w:val="20"/>
              </w:rPr>
            </w:pPr>
            <w:r>
              <w:rPr>
                <w:rFonts w:cs="Times New Roman" w:eastAsiaTheme="minorHAnsi"/>
                <w:b/>
                <w:bCs/>
                <w:color w:val="000000"/>
                <w:kern w:val="0"/>
                <w:sz w:val="20"/>
                <w:szCs w:val="20"/>
              </w:rPr>
              <w:t>控制项</w:t>
            </w:r>
          </w:p>
          <w:p w14:paraId="7A346C06">
            <w:pPr>
              <w:jc w:val="center"/>
              <w:rPr>
                <w:rFonts w:ascii="Times New Roman" w:hAnsi="Times New Roman" w:cs="Times New Roman"/>
                <w:b/>
              </w:rPr>
            </w:pPr>
            <w:r>
              <w:rPr>
                <w:rFonts w:cs="Times New Roman" w:eastAsiaTheme="minorHAnsi"/>
                <w:b/>
                <w:bCs/>
                <w:color w:val="000000"/>
                <w:kern w:val="0"/>
                <w:sz w:val="20"/>
                <w:szCs w:val="20"/>
              </w:rPr>
              <w:t>5.1.1</w:t>
            </w:r>
          </w:p>
        </w:tc>
        <w:tc>
          <w:tcPr>
            <w:tcW w:w="4022" w:type="dxa"/>
            <w:gridSpan w:val="2"/>
            <w:shd w:val="clear" w:color="auto" w:fill="auto"/>
            <w:vAlign w:val="center"/>
          </w:tcPr>
          <w:p w14:paraId="175E397C">
            <w:pPr>
              <w:jc w:val="left"/>
              <w:rPr>
                <w:rFonts w:ascii="Times New Roman" w:hAnsi="Times New Roman" w:cs="Times New Roman"/>
                <w:bCs/>
              </w:rPr>
            </w:pPr>
            <w:r>
              <w:rPr>
                <w:rFonts w:ascii="Times New Roman" w:hAnsi="Times New Roman" w:cs="Times New Roman"/>
                <w:bCs/>
              </w:rPr>
              <w:t>室内空气中甲醛、苯、TVOC浓度限值分别为甲醛0.</w:t>
            </w:r>
            <w:r>
              <w:rPr>
                <w:rFonts w:hint="eastAsia" w:ascii="Times New Roman" w:hAnsi="Times New Roman" w:cs="Times New Roman"/>
                <w:bCs/>
              </w:rPr>
              <w:t>08</w:t>
            </w:r>
            <w:r>
              <w:rPr>
                <w:rFonts w:ascii="Times New Roman" w:hAnsi="Times New Roman" w:cs="Times New Roman"/>
                <w:bCs/>
              </w:rPr>
              <w:t>，苯0.</w:t>
            </w:r>
            <w:r>
              <w:rPr>
                <w:rFonts w:hint="eastAsia" w:ascii="Times New Roman" w:hAnsi="Times New Roman" w:cs="Times New Roman"/>
                <w:bCs/>
              </w:rPr>
              <w:t>03</w:t>
            </w:r>
            <w:r>
              <w:rPr>
                <w:rFonts w:ascii="Times New Roman" w:hAnsi="Times New Roman" w:cs="Times New Roman"/>
                <w:bCs/>
              </w:rPr>
              <w:t>，TVOC 0.6</w:t>
            </w:r>
          </w:p>
        </w:tc>
        <w:tc>
          <w:tcPr>
            <w:tcW w:w="1754" w:type="dxa"/>
            <w:vAlign w:val="center"/>
          </w:tcPr>
          <w:p w14:paraId="35316D31">
            <w:pPr>
              <w:jc w:val="center"/>
              <w:rPr>
                <w:rFonts w:ascii="Times New Roman" w:hAnsi="Times New Roman" w:cs="Times New Roman"/>
                <w:b/>
              </w:rPr>
            </w:pPr>
            <w:bookmarkStart w:id="10" w:name="控制项计算结果"/>
            <w:r>
              <w:rPr>
                <w:rFonts w:ascii="Times New Roman" w:hAnsi="Times New Roman" w:cs="Times New Roman"/>
              </w:rPr>
              <w:t>所有房间均达标</w:t>
            </w:r>
            <w:bookmarkEnd w:id="10"/>
          </w:p>
        </w:tc>
        <w:tc>
          <w:tcPr>
            <w:tcW w:w="1028" w:type="dxa"/>
            <w:shd w:val="clear" w:color="auto" w:fill="E3F1D9" w:themeFill="accent4" w:themeFillTint="33"/>
            <w:noWrap/>
            <w:vAlign w:val="center"/>
          </w:tcPr>
          <w:p w14:paraId="08832F36">
            <w:pPr>
              <w:jc w:val="center"/>
              <w:rPr>
                <w:rFonts w:ascii="Times New Roman" w:hAnsi="Times New Roman" w:cs="Times New Roman"/>
                <w:b/>
              </w:rPr>
            </w:pPr>
            <w:bookmarkStart w:id="11" w:name="控制项计算结论"/>
            <w:r>
              <w:rPr>
                <w:rFonts w:ascii="Times New Roman" w:hAnsi="Times New Roman" w:cs="Times New Roman"/>
                <w:b/>
              </w:rPr>
              <w:t>满足</w:t>
            </w:r>
            <w:bookmarkEnd w:id="11"/>
          </w:p>
        </w:tc>
        <w:tc>
          <w:tcPr>
            <w:tcW w:w="512" w:type="dxa"/>
            <w:shd w:val="clear" w:color="auto" w:fill="E3F1D9" w:themeFill="accent4" w:themeFillTint="33"/>
            <w:noWrap/>
            <w:vAlign w:val="center"/>
          </w:tcPr>
          <w:p w14:paraId="3A1E88D8">
            <w:pPr>
              <w:jc w:val="center"/>
              <w:rPr>
                <w:rFonts w:ascii="Times New Roman" w:hAnsi="Times New Roman" w:cs="Times New Roman"/>
                <w:b/>
              </w:rPr>
            </w:pPr>
            <w:r>
              <w:rPr>
                <w:rFonts w:ascii="Times New Roman" w:hAnsi="Times New Roman" w:cs="Times New Roman"/>
                <w:b/>
              </w:rPr>
              <w:t>/</w:t>
            </w:r>
          </w:p>
        </w:tc>
      </w:tr>
      <w:tr w14:paraId="2CBE3E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5" w:hRule="atLeast"/>
          <w:jc w:val="center"/>
        </w:trPr>
        <w:tc>
          <w:tcPr>
            <w:tcW w:w="996" w:type="dxa"/>
            <w:vMerge w:val="restart"/>
            <w:shd w:val="clear" w:color="000000" w:fill="D0CECE"/>
            <w:noWrap/>
            <w:vAlign w:val="center"/>
          </w:tcPr>
          <w:p w14:paraId="7B4E82D7">
            <w:pPr>
              <w:jc w:val="center"/>
              <w:rPr>
                <w:rFonts w:cs="Times New Roman" w:eastAsiaTheme="minorHAnsi"/>
                <w:b/>
                <w:bCs/>
                <w:color w:val="000000"/>
                <w:kern w:val="0"/>
                <w:sz w:val="20"/>
                <w:szCs w:val="20"/>
              </w:rPr>
            </w:pPr>
            <w:r>
              <w:rPr>
                <w:rFonts w:cs="Times New Roman" w:eastAsiaTheme="minorHAnsi"/>
                <w:b/>
                <w:bCs/>
                <w:color w:val="000000"/>
                <w:kern w:val="0"/>
                <w:sz w:val="20"/>
                <w:szCs w:val="20"/>
              </w:rPr>
              <w:t>评分项</w:t>
            </w:r>
          </w:p>
          <w:p w14:paraId="3F09D09F">
            <w:pPr>
              <w:jc w:val="center"/>
              <w:rPr>
                <w:rFonts w:ascii="Times New Roman" w:hAnsi="Times New Roman" w:cs="Times New Roman"/>
                <w:b/>
              </w:rPr>
            </w:pPr>
            <w:r>
              <w:rPr>
                <w:rFonts w:cs="Times New Roman" w:eastAsiaTheme="minorHAnsi"/>
                <w:b/>
                <w:bCs/>
                <w:color w:val="000000"/>
                <w:kern w:val="0"/>
                <w:sz w:val="20"/>
                <w:szCs w:val="20"/>
              </w:rPr>
              <w:t>5.2.1</w:t>
            </w:r>
          </w:p>
        </w:tc>
        <w:tc>
          <w:tcPr>
            <w:tcW w:w="3347" w:type="dxa"/>
            <w:shd w:val="clear" w:color="auto" w:fill="auto"/>
            <w:vAlign w:val="center"/>
          </w:tcPr>
          <w:p w14:paraId="029063A3">
            <w:pPr>
              <w:jc w:val="left"/>
              <w:rPr>
                <w:rFonts w:ascii="Times New Roman" w:hAnsi="Times New Roman" w:cs="Times New Roman"/>
                <w:bCs/>
              </w:rPr>
            </w:pPr>
            <w:r>
              <w:rPr>
                <w:rFonts w:ascii="Times New Roman" w:hAnsi="Times New Roman" w:cs="Times New Roman"/>
                <w:bCs/>
              </w:rPr>
              <w:t>室内空气中化学类污染物浓度限值分别为甲醛0.0</w:t>
            </w:r>
            <w:r>
              <w:rPr>
                <w:rFonts w:hint="eastAsia" w:ascii="Times New Roman" w:hAnsi="Times New Roman" w:cs="Times New Roman"/>
                <w:bCs/>
              </w:rPr>
              <w:t>72</w:t>
            </w:r>
            <w:r>
              <w:rPr>
                <w:rFonts w:ascii="Times New Roman" w:hAnsi="Times New Roman" w:cs="Times New Roman"/>
                <w:bCs/>
              </w:rPr>
              <w:t>，苯0.0</w:t>
            </w:r>
            <w:r>
              <w:rPr>
                <w:rFonts w:hint="eastAsia" w:ascii="Times New Roman" w:hAnsi="Times New Roman" w:cs="Times New Roman"/>
                <w:bCs/>
              </w:rPr>
              <w:t>27</w:t>
            </w:r>
            <w:r>
              <w:rPr>
                <w:rFonts w:ascii="Times New Roman" w:hAnsi="Times New Roman" w:cs="Times New Roman"/>
                <w:bCs/>
              </w:rPr>
              <w:t>，TVOC 0.54。</w:t>
            </w:r>
          </w:p>
        </w:tc>
        <w:tc>
          <w:tcPr>
            <w:tcW w:w="675" w:type="dxa"/>
            <w:shd w:val="clear" w:color="auto" w:fill="auto"/>
            <w:vAlign w:val="center"/>
          </w:tcPr>
          <w:p w14:paraId="074543CA">
            <w:pPr>
              <w:jc w:val="left"/>
              <w:rPr>
                <w:rFonts w:ascii="Times New Roman" w:hAnsi="Times New Roman" w:cs="Times New Roman"/>
                <w:bCs/>
              </w:rPr>
            </w:pPr>
            <w:r>
              <w:rPr>
                <w:rFonts w:ascii="Times New Roman" w:hAnsi="Times New Roman" w:cs="Times New Roman"/>
                <w:bCs/>
              </w:rPr>
              <w:t>3分</w:t>
            </w:r>
          </w:p>
        </w:tc>
        <w:tc>
          <w:tcPr>
            <w:tcW w:w="1754" w:type="dxa"/>
            <w:vMerge w:val="restart"/>
            <w:vAlign w:val="center"/>
          </w:tcPr>
          <w:p w14:paraId="27C424D7">
            <w:pPr>
              <w:jc w:val="center"/>
              <w:rPr>
                <w:rFonts w:ascii="Times New Roman" w:hAnsi="Times New Roman" w:cs="Times New Roman"/>
                <w:b/>
              </w:rPr>
            </w:pPr>
            <w:bookmarkStart w:id="12" w:name="评分项计算结果"/>
            <w:r>
              <w:rPr>
                <w:rFonts w:ascii="Times New Roman" w:hAnsi="Times New Roman" w:cs="Times New Roman"/>
              </w:rPr>
              <w:t>所有房间均满足要求</w:t>
            </w:r>
            <w:bookmarkEnd w:id="12"/>
          </w:p>
        </w:tc>
        <w:tc>
          <w:tcPr>
            <w:tcW w:w="1028" w:type="dxa"/>
            <w:vMerge w:val="restart"/>
            <w:shd w:val="clear" w:color="auto" w:fill="E3F1D9" w:themeFill="accent4" w:themeFillTint="33"/>
            <w:noWrap/>
            <w:vAlign w:val="center"/>
          </w:tcPr>
          <w:p w14:paraId="483D5CFC">
            <w:pPr>
              <w:jc w:val="center"/>
              <w:rPr>
                <w:rFonts w:ascii="Times New Roman" w:hAnsi="Times New Roman" w:cs="Times New Roman"/>
                <w:b/>
              </w:rPr>
            </w:pPr>
            <w:r>
              <w:rPr>
                <w:rFonts w:ascii="Times New Roman" w:hAnsi="Times New Roman" w:cs="Times New Roman"/>
                <w:b/>
              </w:rPr>
              <w:t>/</w:t>
            </w:r>
          </w:p>
        </w:tc>
        <w:tc>
          <w:tcPr>
            <w:tcW w:w="512" w:type="dxa"/>
            <w:vMerge w:val="restart"/>
            <w:shd w:val="clear" w:color="auto" w:fill="E3F1D9" w:themeFill="accent4" w:themeFillTint="33"/>
            <w:noWrap/>
            <w:vAlign w:val="center"/>
          </w:tcPr>
          <w:p w14:paraId="01587573">
            <w:pPr>
              <w:jc w:val="center"/>
              <w:rPr>
                <w:rFonts w:ascii="Times New Roman" w:hAnsi="Times New Roman" w:cs="Times New Roman"/>
                <w:b/>
              </w:rPr>
            </w:pPr>
            <w:bookmarkStart w:id="13" w:name="评分项计算得分"/>
            <w:r>
              <w:rPr>
                <w:rFonts w:ascii="Times New Roman" w:hAnsi="Times New Roman" w:cs="Times New Roman"/>
                <w:b/>
              </w:rPr>
              <w:t>6</w:t>
            </w:r>
            <w:bookmarkEnd w:id="13"/>
            <w:r>
              <w:rPr>
                <w:rFonts w:ascii="Times New Roman" w:hAnsi="Times New Roman" w:cs="Times New Roman"/>
                <w:b/>
              </w:rPr>
              <w:t>分</w:t>
            </w:r>
          </w:p>
        </w:tc>
      </w:tr>
      <w:tr w14:paraId="2E9009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47" w:hRule="atLeast"/>
          <w:jc w:val="center"/>
        </w:trPr>
        <w:tc>
          <w:tcPr>
            <w:tcW w:w="996" w:type="dxa"/>
            <w:vMerge w:val="continue"/>
            <w:shd w:val="clear" w:color="auto" w:fill="D0CECE"/>
            <w:noWrap/>
            <w:vAlign w:val="center"/>
          </w:tcPr>
          <w:p w14:paraId="1A2EB4A4">
            <w:pPr>
              <w:jc w:val="center"/>
              <w:rPr>
                <w:rFonts w:ascii="Times New Roman" w:hAnsi="Times New Roman" w:cs="Times New Roman"/>
                <w:b/>
              </w:rPr>
            </w:pPr>
          </w:p>
        </w:tc>
        <w:tc>
          <w:tcPr>
            <w:tcW w:w="3347" w:type="dxa"/>
            <w:shd w:val="clear" w:color="auto" w:fill="auto"/>
            <w:vAlign w:val="center"/>
          </w:tcPr>
          <w:p w14:paraId="1AFB10E7">
            <w:pPr>
              <w:jc w:val="left"/>
              <w:rPr>
                <w:rFonts w:ascii="Times New Roman" w:hAnsi="Times New Roman" w:cs="Times New Roman"/>
                <w:bCs/>
              </w:rPr>
            </w:pPr>
            <w:r>
              <w:rPr>
                <w:rFonts w:ascii="Times New Roman" w:hAnsi="Times New Roman" w:cs="Times New Roman"/>
                <w:bCs/>
              </w:rPr>
              <w:t>室内空气中化学类污染物浓度限值分别为甲醛0.0</w:t>
            </w:r>
            <w:r>
              <w:rPr>
                <w:rFonts w:hint="eastAsia" w:ascii="Times New Roman" w:hAnsi="Times New Roman" w:cs="Times New Roman"/>
                <w:bCs/>
              </w:rPr>
              <w:t>64</w:t>
            </w:r>
            <w:r>
              <w:rPr>
                <w:rFonts w:ascii="Times New Roman" w:hAnsi="Times New Roman" w:cs="Times New Roman"/>
                <w:bCs/>
              </w:rPr>
              <w:t>，苯0.0</w:t>
            </w:r>
            <w:r>
              <w:rPr>
                <w:rFonts w:hint="eastAsia" w:ascii="Times New Roman" w:hAnsi="Times New Roman" w:cs="Times New Roman"/>
                <w:bCs/>
              </w:rPr>
              <w:t>24</w:t>
            </w:r>
            <w:r>
              <w:rPr>
                <w:rFonts w:ascii="Times New Roman" w:hAnsi="Times New Roman" w:cs="Times New Roman"/>
                <w:bCs/>
              </w:rPr>
              <w:t>，TVOC 0.48。</w:t>
            </w:r>
          </w:p>
        </w:tc>
        <w:tc>
          <w:tcPr>
            <w:tcW w:w="675" w:type="dxa"/>
            <w:shd w:val="clear" w:color="auto" w:fill="auto"/>
            <w:vAlign w:val="center"/>
          </w:tcPr>
          <w:p w14:paraId="3CC74A07">
            <w:pPr>
              <w:jc w:val="left"/>
              <w:rPr>
                <w:rFonts w:ascii="Times New Roman" w:hAnsi="Times New Roman" w:cs="Times New Roman"/>
                <w:bCs/>
              </w:rPr>
            </w:pPr>
            <w:r>
              <w:rPr>
                <w:rFonts w:ascii="Times New Roman" w:hAnsi="Times New Roman" w:cs="Times New Roman"/>
                <w:bCs/>
              </w:rPr>
              <w:t>6分</w:t>
            </w:r>
          </w:p>
        </w:tc>
        <w:tc>
          <w:tcPr>
            <w:tcW w:w="1754" w:type="dxa"/>
            <w:vMerge w:val="continue"/>
            <w:vAlign w:val="center"/>
          </w:tcPr>
          <w:p w14:paraId="5D7706B3">
            <w:pPr>
              <w:jc w:val="center"/>
              <w:rPr>
                <w:rFonts w:ascii="Times New Roman" w:hAnsi="Times New Roman" w:cs="Times New Roman"/>
                <w:b/>
              </w:rPr>
            </w:pPr>
          </w:p>
        </w:tc>
        <w:tc>
          <w:tcPr>
            <w:tcW w:w="1028" w:type="dxa"/>
            <w:vMerge w:val="continue"/>
            <w:shd w:val="clear" w:color="auto" w:fill="E3F1D9" w:themeFill="accent4" w:themeFillTint="33"/>
            <w:noWrap/>
            <w:vAlign w:val="center"/>
          </w:tcPr>
          <w:p w14:paraId="24E65448">
            <w:pPr>
              <w:jc w:val="center"/>
              <w:rPr>
                <w:rFonts w:ascii="Times New Roman" w:hAnsi="Times New Roman" w:cs="Times New Roman"/>
                <w:b/>
              </w:rPr>
            </w:pPr>
          </w:p>
        </w:tc>
        <w:tc>
          <w:tcPr>
            <w:tcW w:w="512" w:type="dxa"/>
            <w:vMerge w:val="continue"/>
            <w:shd w:val="clear" w:color="auto" w:fill="E3F1D9" w:themeFill="accent4" w:themeFillTint="33"/>
            <w:noWrap/>
            <w:vAlign w:val="center"/>
          </w:tcPr>
          <w:p w14:paraId="02B4BFAA">
            <w:pPr>
              <w:jc w:val="center"/>
              <w:rPr>
                <w:rFonts w:ascii="Times New Roman" w:hAnsi="Times New Roman" w:cs="Times New Roman"/>
                <w:b/>
              </w:rPr>
            </w:pPr>
          </w:p>
        </w:tc>
      </w:tr>
    </w:tbl>
    <w:p w14:paraId="50522F3C">
      <w:pPr>
        <w:ind w:left="-567" w:leftChars="-270"/>
        <w:jc w:val="center"/>
        <w:rPr>
          <w:rFonts w:ascii="Times New Roman" w:hAnsi="Times New Roman" w:eastAsia="等线" w:cs="Times New Roman"/>
          <w:bCs/>
          <w:vertAlign w:val="superscript"/>
        </w:rPr>
      </w:pPr>
      <w:r>
        <w:rPr>
          <w:rFonts w:ascii="Times New Roman" w:hAnsi="Times New Roman" w:eastAsia="等线" w:cs="Times New Roman"/>
          <w:bCs/>
        </w:rPr>
        <w:t>说明:甲醛、苯数值为1小时均值,单位mg/m</w:t>
      </w:r>
      <w:r>
        <w:rPr>
          <w:rFonts w:ascii="Times New Roman" w:hAnsi="Times New Roman" w:eastAsia="等线" w:cs="Times New Roman"/>
          <w:bCs/>
          <w:vertAlign w:val="superscript"/>
        </w:rPr>
        <w:t>3</w:t>
      </w:r>
      <w:r>
        <w:rPr>
          <w:rFonts w:ascii="Times New Roman" w:hAnsi="Times New Roman" w:eastAsia="等线" w:cs="Times New Roman"/>
          <w:bCs/>
        </w:rPr>
        <w:t>；TVOC为8小时均值单位mg/m</w:t>
      </w:r>
      <w:r>
        <w:rPr>
          <w:rFonts w:ascii="Times New Roman" w:hAnsi="Times New Roman" w:eastAsia="等线" w:cs="Times New Roman"/>
          <w:bCs/>
          <w:vertAlign w:val="superscript"/>
        </w:rPr>
        <w:t>3</w:t>
      </w:r>
    </w:p>
    <w:p w14:paraId="3A8C2934">
      <w:pPr>
        <w:numPr>
          <w:ilvl w:val="0"/>
          <w:numId w:val="1"/>
        </w:numPr>
        <w:ind w:left="0"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颗粒物</w:t>
      </w:r>
    </w:p>
    <w:p w14:paraId="5DF1BB9A">
      <w:pPr>
        <w:jc w:val="center"/>
        <w:rPr>
          <w:rFonts w:ascii="Times New Roman" w:hAnsi="Times New Roman" w:cs="Times New Roman"/>
          <w:b/>
          <w:szCs w:val="21"/>
        </w:rPr>
      </w:pPr>
      <w:r>
        <w:drawing>
          <wp:inline distT="0" distB="0" distL="0" distR="0">
            <wp:extent cx="5667375" cy="2781300"/>
            <wp:effectExtent l="0" t="0" r="1905" b="762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0"/>
                    <a:stretch>
                      <a:fillRect/>
                    </a:stretch>
                  </pic:blipFill>
                  <pic:spPr>
                    <a:xfrm>
                      <a:off x="0" y="0"/>
                      <a:ext cx="5667375" cy="2781300"/>
                    </a:xfrm>
                    <a:prstGeom prst="rect">
                      <a:avLst/>
                    </a:prstGeom>
                  </pic:spPr>
                </pic:pic>
              </a:graphicData>
            </a:graphic>
          </wp:inline>
        </w:drawing>
      </w:r>
    </w:p>
    <w:p w14:paraId="51DDAED7">
      <w:pPr>
        <w:jc w:val="center"/>
        <w:rPr>
          <w:rFonts w:ascii="微软雅黑" w:hAnsi="微软雅黑" w:eastAsia="微软雅黑" w:cs="Times New Roman"/>
          <w:b/>
          <w:bCs/>
        </w:rPr>
      </w:pPr>
      <w:r>
        <w:rPr>
          <w:rFonts w:ascii="微软雅黑" w:hAnsi="微软雅黑" w:eastAsia="微软雅黑" w:cs="Times New Roman"/>
          <w:b/>
          <w:bCs/>
          <w:sz w:val="18"/>
        </w:rPr>
        <w:t xml:space="preserve"> PM</w:t>
      </w:r>
      <w:r>
        <w:rPr>
          <w:rFonts w:ascii="微软雅黑" w:hAnsi="微软雅黑" w:eastAsia="微软雅黑" w:cs="Times New Roman"/>
          <w:b/>
          <w:bCs/>
          <w:sz w:val="18"/>
          <w:vertAlign w:val="subscript"/>
        </w:rPr>
        <w:t>10</w:t>
      </w:r>
      <w:r>
        <w:rPr>
          <w:rFonts w:hint="eastAsia" w:ascii="微软雅黑" w:hAnsi="微软雅黑" w:eastAsia="微软雅黑" w:cs="Times New Roman"/>
          <w:b/>
          <w:bCs/>
          <w:sz w:val="18"/>
        </w:rPr>
        <w:t>颗粒物逐日均值</w:t>
      </w:r>
      <w:r>
        <w:rPr>
          <w:rFonts w:ascii="微软雅黑" w:hAnsi="微软雅黑" w:eastAsia="微软雅黑" w:cs="Times New Roman"/>
          <w:b/>
          <w:bCs/>
          <w:sz w:val="18"/>
        </w:rPr>
        <w:t>图</w:t>
      </w:r>
    </w:p>
    <w:p w14:paraId="6865FEFB">
      <w:pPr>
        <w:jc w:val="center"/>
        <w:rPr>
          <w:rFonts w:ascii="Times New Roman" w:hAnsi="Times New Roman" w:cs="Times New Roman"/>
          <w:b/>
          <w:szCs w:val="21"/>
        </w:rPr>
      </w:pPr>
    </w:p>
    <w:p w14:paraId="7273DCA9">
      <w:pPr>
        <w:jc w:val="center"/>
        <w:rPr>
          <w:rFonts w:ascii="微软雅黑" w:hAnsi="微软雅黑" w:eastAsia="微软雅黑" w:cs="Times New Roman"/>
          <w:b/>
        </w:rPr>
      </w:pPr>
      <w:r>
        <w:rPr>
          <w:rFonts w:ascii="微软雅黑" w:hAnsi="微软雅黑" w:eastAsia="微软雅黑" w:cs="Times New Roman"/>
          <w:b/>
          <w:bCs/>
        </w:rPr>
        <w:t xml:space="preserve"> 各房间室内颗粒物</w:t>
      </w:r>
      <w:r>
        <w:rPr>
          <w:rFonts w:hint="eastAsia" w:ascii="微软雅黑" w:hAnsi="微软雅黑" w:eastAsia="微软雅黑" w:cs="Times New Roman"/>
          <w:b/>
          <w:bCs/>
        </w:rPr>
        <w:t>P</w:t>
      </w:r>
      <w:r>
        <w:rPr>
          <w:rFonts w:ascii="微软雅黑" w:hAnsi="微软雅黑" w:eastAsia="微软雅黑" w:cs="Times New Roman"/>
          <w:b/>
          <w:bCs/>
        </w:rPr>
        <w:t>M</w:t>
      </w:r>
      <w:r>
        <w:rPr>
          <w:rFonts w:hint="eastAsia" w:ascii="微软雅黑" w:hAnsi="微软雅黑" w:eastAsia="微软雅黑" w:cs="Times New Roman"/>
          <w:b/>
          <w:bCs/>
          <w:vertAlign w:val="subscript"/>
        </w:rPr>
        <w:t>2.5</w:t>
      </w:r>
      <w:r>
        <w:rPr>
          <w:rFonts w:hint="eastAsia" w:ascii="微软雅黑" w:hAnsi="微软雅黑" w:eastAsia="微软雅黑" w:cs="Times New Roman"/>
          <w:b/>
          <w:bCs/>
        </w:rPr>
        <w:t>日</w:t>
      </w:r>
      <w:r>
        <w:rPr>
          <w:rFonts w:ascii="微软雅黑" w:hAnsi="微软雅黑" w:eastAsia="微软雅黑" w:cs="Times New Roman"/>
          <w:b/>
          <w:bCs/>
        </w:rPr>
        <w:t>平均浓度及达标判定（单位：mg/m³）</w:t>
      </w:r>
    </w:p>
    <w:tbl>
      <w:tblPr>
        <w:tblStyle w:val="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79"/>
        <w:gridCol w:w="1075"/>
        <w:gridCol w:w="1301"/>
        <w:gridCol w:w="905"/>
        <w:gridCol w:w="2150"/>
        <w:gridCol w:w="2150"/>
      </w:tblGrid>
      <w:tr w14:paraId="36BDCE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86CFCDC">
            <w:pPr>
              <w:jc w:val="center"/>
              <w:rPr>
                <w:sz w:val="21"/>
                <w:szCs w:val="21"/>
              </w:rPr>
            </w:pPr>
            <w:r>
              <w:rPr>
                <w:b/>
                <w:sz w:val="21"/>
                <w:szCs w:val="21"/>
              </w:rPr>
              <w:t>楼层</w:t>
            </w:r>
          </w:p>
        </w:tc>
        <w:tc>
          <w:tcPr>
            <w:shd w:val="clear" w:color="auto" w:fill="E6E6E6"/>
            <w:vAlign w:val="center"/>
          </w:tcPr>
          <w:p w14:paraId="6D407F16">
            <w:pPr>
              <w:jc w:val="center"/>
              <w:rPr>
                <w:sz w:val="21"/>
                <w:szCs w:val="21"/>
              </w:rPr>
            </w:pPr>
            <w:r>
              <w:rPr>
                <w:b/>
                <w:sz w:val="21"/>
                <w:szCs w:val="21"/>
              </w:rPr>
              <w:t>房间编号</w:t>
            </w:r>
          </w:p>
        </w:tc>
        <w:tc>
          <w:tcPr>
            <w:shd w:val="clear" w:color="auto" w:fill="E6E6E6"/>
            <w:vAlign w:val="center"/>
          </w:tcPr>
          <w:p w14:paraId="0F08AAC1">
            <w:pPr>
              <w:jc w:val="center"/>
              <w:rPr>
                <w:sz w:val="21"/>
                <w:szCs w:val="21"/>
              </w:rPr>
            </w:pPr>
            <w:r>
              <w:rPr>
                <w:b/>
                <w:sz w:val="21"/>
                <w:szCs w:val="21"/>
              </w:rPr>
              <w:t>房间名称</w:t>
            </w:r>
          </w:p>
        </w:tc>
        <w:tc>
          <w:tcPr>
            <w:shd w:val="clear" w:color="auto" w:fill="E6E6E6"/>
            <w:vAlign w:val="center"/>
          </w:tcPr>
          <w:p w14:paraId="0D4BE6E5">
            <w:pPr>
              <w:jc w:val="center"/>
              <w:rPr>
                <w:sz w:val="21"/>
                <w:szCs w:val="21"/>
              </w:rPr>
            </w:pPr>
            <w:r>
              <w:rPr>
                <w:b/>
                <w:sz w:val="21"/>
                <w:szCs w:val="21"/>
              </w:rPr>
              <w:t>浓度值</w:t>
            </w:r>
          </w:p>
        </w:tc>
        <w:tc>
          <w:tcPr>
            <w:shd w:val="clear" w:color="auto" w:fill="E6E6E6"/>
            <w:vAlign w:val="center"/>
          </w:tcPr>
          <w:p w14:paraId="53F15DD3">
            <w:pPr>
              <w:jc w:val="center"/>
              <w:rPr>
                <w:sz w:val="21"/>
                <w:szCs w:val="21"/>
              </w:rPr>
            </w:pPr>
            <w:r>
              <w:rPr>
                <w:b/>
                <w:sz w:val="21"/>
                <w:szCs w:val="21"/>
              </w:rPr>
              <w:t>一星级</w:t>
            </w:r>
            <w:r>
              <w:rPr>
                <w:b/>
                <w:sz w:val="21"/>
                <w:szCs w:val="21"/>
              </w:rPr>
              <w:br w:type="textWrapping"/>
            </w:r>
            <w:r>
              <w:rPr>
                <w:b/>
                <w:sz w:val="21"/>
                <w:szCs w:val="21"/>
              </w:rPr>
              <w:t>&lt;0.045（降低10%）</w:t>
            </w:r>
          </w:p>
        </w:tc>
        <w:tc>
          <w:tcPr>
            <w:shd w:val="clear" w:color="auto" w:fill="E6E6E6"/>
            <w:vAlign w:val="center"/>
          </w:tcPr>
          <w:p w14:paraId="19CD2A4D">
            <w:pPr>
              <w:jc w:val="center"/>
              <w:rPr>
                <w:sz w:val="21"/>
                <w:szCs w:val="21"/>
              </w:rPr>
            </w:pPr>
            <w:r>
              <w:rPr>
                <w:b/>
                <w:sz w:val="21"/>
                <w:szCs w:val="21"/>
              </w:rPr>
              <w:t>二/三星级</w:t>
            </w:r>
            <w:r>
              <w:rPr>
                <w:b/>
                <w:sz w:val="21"/>
                <w:szCs w:val="21"/>
              </w:rPr>
              <w:br w:type="textWrapping"/>
            </w:r>
            <w:r>
              <w:rPr>
                <w:b/>
                <w:sz w:val="21"/>
                <w:szCs w:val="21"/>
              </w:rPr>
              <w:t>&lt;0.040（降低20%）</w:t>
            </w:r>
          </w:p>
        </w:tc>
      </w:tr>
      <w:tr w14:paraId="471611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CD53B05">
            <w:pPr>
              <w:jc w:val="center"/>
              <w:rPr>
                <w:sz w:val="21"/>
                <w:szCs w:val="21"/>
              </w:rPr>
            </w:pPr>
            <w:r>
              <w:rPr>
                <w:sz w:val="21"/>
                <w:szCs w:val="21"/>
              </w:rPr>
              <w:t>1层</w:t>
            </w:r>
          </w:p>
        </w:tc>
        <w:tc>
          <w:tcPr>
            <w:vAlign w:val="center"/>
          </w:tcPr>
          <w:p w14:paraId="4E24C92E">
            <w:pPr>
              <w:jc w:val="center"/>
              <w:rPr>
                <w:sz w:val="21"/>
                <w:szCs w:val="21"/>
              </w:rPr>
            </w:pPr>
            <w:r>
              <w:rPr>
                <w:sz w:val="21"/>
                <w:szCs w:val="21"/>
              </w:rPr>
              <w:t>1015</w:t>
            </w:r>
          </w:p>
        </w:tc>
        <w:tc>
          <w:tcPr>
            <w:vAlign w:val="center"/>
          </w:tcPr>
          <w:p w14:paraId="41E2DB55">
            <w:pPr>
              <w:jc w:val="center"/>
              <w:rPr>
                <w:sz w:val="21"/>
                <w:szCs w:val="21"/>
              </w:rPr>
            </w:pPr>
            <w:r>
              <w:rPr>
                <w:sz w:val="21"/>
                <w:szCs w:val="21"/>
              </w:rPr>
              <w:t>厨房</w:t>
            </w:r>
          </w:p>
        </w:tc>
        <w:tc>
          <w:tcPr>
            <w:vAlign w:val="center"/>
          </w:tcPr>
          <w:p w14:paraId="16E73550">
            <w:pPr>
              <w:jc w:val="center"/>
              <w:rPr>
                <w:sz w:val="21"/>
                <w:szCs w:val="21"/>
              </w:rPr>
            </w:pPr>
            <w:r>
              <w:rPr>
                <w:sz w:val="21"/>
                <w:szCs w:val="21"/>
              </w:rPr>
              <w:t>0.015</w:t>
            </w:r>
          </w:p>
        </w:tc>
        <w:tc>
          <w:tcPr>
            <w:vAlign w:val="center"/>
          </w:tcPr>
          <w:p w14:paraId="11CA23F7">
            <w:pPr>
              <w:jc w:val="center"/>
              <w:rPr>
                <w:sz w:val="21"/>
                <w:szCs w:val="21"/>
              </w:rPr>
            </w:pPr>
            <w:r>
              <w:rPr>
                <w:b/>
                <w:sz w:val="21"/>
                <w:szCs w:val="21"/>
              </w:rPr>
              <w:t>达标</w:t>
            </w:r>
          </w:p>
        </w:tc>
        <w:tc>
          <w:tcPr>
            <w:vAlign w:val="center"/>
          </w:tcPr>
          <w:p w14:paraId="37A71447">
            <w:pPr>
              <w:jc w:val="center"/>
              <w:rPr>
                <w:sz w:val="21"/>
                <w:szCs w:val="21"/>
              </w:rPr>
            </w:pPr>
            <w:r>
              <w:rPr>
                <w:b/>
                <w:sz w:val="21"/>
                <w:szCs w:val="21"/>
              </w:rPr>
              <w:t>达标</w:t>
            </w:r>
          </w:p>
        </w:tc>
      </w:tr>
      <w:tr w14:paraId="3034E5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5EF0440">
            <w:pPr>
              <w:jc w:val="center"/>
              <w:rPr>
                <w:sz w:val="21"/>
                <w:szCs w:val="21"/>
              </w:rPr>
            </w:pPr>
            <w:r>
              <w:rPr>
                <w:sz w:val="21"/>
                <w:szCs w:val="21"/>
              </w:rPr>
              <w:t>2层</w:t>
            </w:r>
          </w:p>
        </w:tc>
        <w:tc>
          <w:tcPr>
            <w:vAlign w:val="center"/>
          </w:tcPr>
          <w:p w14:paraId="2122422E">
            <w:pPr>
              <w:jc w:val="center"/>
              <w:rPr>
                <w:sz w:val="21"/>
                <w:szCs w:val="21"/>
              </w:rPr>
            </w:pPr>
            <w:r>
              <w:rPr>
                <w:sz w:val="21"/>
                <w:szCs w:val="21"/>
              </w:rPr>
              <w:t>2020</w:t>
            </w:r>
          </w:p>
        </w:tc>
        <w:tc>
          <w:tcPr>
            <w:vAlign w:val="center"/>
          </w:tcPr>
          <w:p w14:paraId="5D088505">
            <w:pPr>
              <w:jc w:val="center"/>
              <w:rPr>
                <w:sz w:val="21"/>
                <w:szCs w:val="21"/>
              </w:rPr>
            </w:pPr>
            <w:r>
              <w:rPr>
                <w:sz w:val="21"/>
                <w:szCs w:val="21"/>
              </w:rPr>
              <w:t>会议室</w:t>
            </w:r>
          </w:p>
        </w:tc>
        <w:tc>
          <w:tcPr>
            <w:vAlign w:val="center"/>
          </w:tcPr>
          <w:p w14:paraId="12144177">
            <w:pPr>
              <w:jc w:val="center"/>
              <w:rPr>
                <w:sz w:val="21"/>
                <w:szCs w:val="21"/>
              </w:rPr>
            </w:pPr>
            <w:r>
              <w:rPr>
                <w:sz w:val="21"/>
                <w:szCs w:val="21"/>
              </w:rPr>
              <w:t>0.016</w:t>
            </w:r>
          </w:p>
        </w:tc>
        <w:tc>
          <w:tcPr>
            <w:vAlign w:val="center"/>
          </w:tcPr>
          <w:p w14:paraId="1095EA79">
            <w:pPr>
              <w:jc w:val="center"/>
              <w:rPr>
                <w:sz w:val="21"/>
                <w:szCs w:val="21"/>
              </w:rPr>
            </w:pPr>
            <w:r>
              <w:rPr>
                <w:b/>
                <w:sz w:val="21"/>
                <w:szCs w:val="21"/>
              </w:rPr>
              <w:t>达标</w:t>
            </w:r>
          </w:p>
        </w:tc>
        <w:tc>
          <w:tcPr>
            <w:vAlign w:val="center"/>
          </w:tcPr>
          <w:p w14:paraId="58D15CC2">
            <w:pPr>
              <w:jc w:val="center"/>
              <w:rPr>
                <w:sz w:val="21"/>
                <w:szCs w:val="21"/>
              </w:rPr>
            </w:pPr>
            <w:r>
              <w:rPr>
                <w:b/>
                <w:sz w:val="21"/>
                <w:szCs w:val="21"/>
              </w:rPr>
              <w:t>达标</w:t>
            </w:r>
          </w:p>
        </w:tc>
      </w:tr>
    </w:tbl>
    <w:p w14:paraId="72A9F3B2">
      <w:pPr>
        <w:jc w:val="center"/>
        <w:rPr>
          <w:rFonts w:ascii="Times New Roman" w:hAnsi="Times New Roman" w:cs="Times New Roman"/>
          <w:b/>
          <w:szCs w:val="21"/>
        </w:rPr>
      </w:pPr>
      <w:bookmarkStart w:id="14" w:name="室内PM25日均值达标判定表"/>
      <w:bookmarkEnd w:id="14"/>
    </w:p>
    <w:p w14:paraId="4F713865">
      <w:pPr>
        <w:jc w:val="center"/>
        <w:rPr>
          <w:rFonts w:ascii="Times New Roman" w:hAnsi="Times New Roman" w:cs="Times New Roman"/>
          <w:b/>
          <w:szCs w:val="21"/>
        </w:rPr>
      </w:pPr>
    </w:p>
    <w:p w14:paraId="6ACBA658">
      <w:pPr>
        <w:jc w:val="center"/>
        <w:rPr>
          <w:rFonts w:ascii="Times New Roman" w:hAnsi="Times New Roman" w:cs="Times New Roman"/>
          <w:b/>
          <w:szCs w:val="21"/>
        </w:rPr>
      </w:pPr>
      <w:bookmarkStart w:id="15" w:name="PM25颗粒物逐日均值图"/>
      <w:bookmarkEnd w:id="15"/>
      <w:r>
        <w:drawing>
          <wp:inline distT="0" distB="0" distL="0" distR="0">
            <wp:extent cx="5667375" cy="2781300"/>
            <wp:effectExtent l="0" t="0" r="1905" b="762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1"/>
                    <a:stretch>
                      <a:fillRect/>
                    </a:stretch>
                  </pic:blipFill>
                  <pic:spPr>
                    <a:xfrm>
                      <a:off x="0" y="0"/>
                      <a:ext cx="5667375" cy="2781300"/>
                    </a:xfrm>
                    <a:prstGeom prst="rect">
                      <a:avLst/>
                    </a:prstGeom>
                  </pic:spPr>
                </pic:pic>
              </a:graphicData>
            </a:graphic>
          </wp:inline>
        </w:drawing>
      </w:r>
    </w:p>
    <w:p w14:paraId="442ED12B">
      <w:pPr>
        <w:jc w:val="center"/>
        <w:rPr>
          <w:rFonts w:ascii="微软雅黑" w:hAnsi="微软雅黑" w:eastAsia="微软雅黑" w:cs="Times New Roman"/>
          <w:b/>
          <w:bCs/>
        </w:rPr>
      </w:pPr>
      <w:r>
        <w:rPr>
          <w:rFonts w:ascii="微软雅黑" w:hAnsi="微软雅黑" w:eastAsia="微软雅黑" w:cs="Times New Roman"/>
          <w:b/>
          <w:bCs/>
          <w:sz w:val="18"/>
        </w:rPr>
        <w:t xml:space="preserve"> PM</w:t>
      </w:r>
      <w:r>
        <w:rPr>
          <w:rFonts w:ascii="微软雅黑" w:hAnsi="微软雅黑" w:eastAsia="微软雅黑" w:cs="Times New Roman"/>
          <w:b/>
          <w:bCs/>
          <w:sz w:val="18"/>
          <w:vertAlign w:val="subscript"/>
        </w:rPr>
        <w:t>2.5</w:t>
      </w:r>
      <w:r>
        <w:rPr>
          <w:rFonts w:hint="eastAsia" w:ascii="微软雅黑" w:hAnsi="微软雅黑" w:eastAsia="微软雅黑" w:cs="Times New Roman"/>
          <w:b/>
          <w:bCs/>
          <w:sz w:val="18"/>
        </w:rPr>
        <w:t>颗粒物逐日均值</w:t>
      </w:r>
      <w:r>
        <w:rPr>
          <w:rFonts w:ascii="微软雅黑" w:hAnsi="微软雅黑" w:eastAsia="微软雅黑" w:cs="Times New Roman"/>
          <w:b/>
          <w:bCs/>
          <w:sz w:val="18"/>
        </w:rPr>
        <w:t>图</w:t>
      </w:r>
    </w:p>
    <w:p w14:paraId="1752196D">
      <w:pPr>
        <w:jc w:val="center"/>
        <w:rPr>
          <w:rFonts w:ascii="Times New Roman" w:hAnsi="Times New Roman" w:cs="Times New Roman"/>
          <w:b/>
          <w:szCs w:val="21"/>
        </w:rPr>
      </w:pPr>
    </w:p>
    <w:p w14:paraId="05DD6BDF">
      <w:pPr>
        <w:spacing w:after="156" w:afterLines="50"/>
        <w:ind w:firstLine="420"/>
      </w:pPr>
      <w:r>
        <w:rPr>
          <w:rFonts w:hint="eastAsia"/>
        </w:rPr>
        <w:t>本项目按照标准要求对所有参评房间进行了颗粒物浓度的计算，并对结果进行评价如下：</w:t>
      </w:r>
    </w:p>
    <w:tbl>
      <w:tblPr>
        <w:tblStyle w:val="5"/>
        <w:tblW w:w="827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0"/>
        <w:gridCol w:w="3227"/>
        <w:gridCol w:w="2555"/>
        <w:gridCol w:w="850"/>
        <w:gridCol w:w="794"/>
      </w:tblGrid>
      <w:tr w14:paraId="1B6D6F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50" w:type="dxa"/>
            <w:shd w:val="clear" w:color="000000" w:fill="D0CECE"/>
            <w:noWrap/>
            <w:vAlign w:val="center"/>
          </w:tcPr>
          <w:p w14:paraId="4F8EAC62">
            <w:pPr>
              <w:jc w:val="center"/>
              <w:rPr>
                <w:b/>
              </w:rPr>
            </w:pPr>
            <w:r>
              <w:rPr>
                <w:rFonts w:hint="eastAsia"/>
                <w:b/>
              </w:rPr>
              <w:t>检查项</w:t>
            </w:r>
          </w:p>
        </w:tc>
        <w:tc>
          <w:tcPr>
            <w:tcW w:w="3227" w:type="dxa"/>
            <w:shd w:val="clear" w:color="000000" w:fill="D0CECE"/>
            <w:noWrap/>
            <w:vAlign w:val="center"/>
          </w:tcPr>
          <w:p w14:paraId="10FABA04">
            <w:pPr>
              <w:jc w:val="center"/>
              <w:rPr>
                <w:b/>
              </w:rPr>
            </w:pPr>
            <w:r>
              <w:rPr>
                <w:rFonts w:hint="eastAsia"/>
                <w:b/>
              </w:rPr>
              <w:t>评价依据</w:t>
            </w:r>
          </w:p>
        </w:tc>
        <w:tc>
          <w:tcPr>
            <w:tcW w:w="2555" w:type="dxa"/>
            <w:shd w:val="clear" w:color="000000" w:fill="D0CECE"/>
            <w:noWrap/>
            <w:vAlign w:val="center"/>
          </w:tcPr>
          <w:p w14:paraId="76EBAF1D">
            <w:pPr>
              <w:jc w:val="center"/>
              <w:rPr>
                <w:b/>
              </w:rPr>
            </w:pPr>
            <w:r>
              <w:rPr>
                <w:rFonts w:hint="eastAsia"/>
                <w:b/>
              </w:rPr>
              <w:t>计算结果</w:t>
            </w:r>
          </w:p>
        </w:tc>
        <w:tc>
          <w:tcPr>
            <w:tcW w:w="850" w:type="dxa"/>
            <w:shd w:val="clear" w:color="000000" w:fill="D0CECE"/>
            <w:noWrap/>
            <w:vAlign w:val="center"/>
          </w:tcPr>
          <w:p w14:paraId="2643F05D">
            <w:pPr>
              <w:jc w:val="center"/>
              <w:rPr>
                <w:b/>
              </w:rPr>
            </w:pPr>
            <w:r>
              <w:rPr>
                <w:rFonts w:hint="eastAsia"/>
                <w:b/>
              </w:rPr>
              <w:t>结论</w:t>
            </w:r>
          </w:p>
        </w:tc>
        <w:tc>
          <w:tcPr>
            <w:tcW w:w="794" w:type="dxa"/>
            <w:shd w:val="clear" w:color="000000" w:fill="D0CECE"/>
            <w:noWrap/>
            <w:vAlign w:val="center"/>
          </w:tcPr>
          <w:p w14:paraId="3D21BCB1">
            <w:pPr>
              <w:jc w:val="center"/>
              <w:rPr>
                <w:b/>
              </w:rPr>
            </w:pPr>
            <w:r>
              <w:rPr>
                <w:rFonts w:hint="eastAsia"/>
                <w:b/>
              </w:rPr>
              <w:t>得分</w:t>
            </w:r>
          </w:p>
        </w:tc>
      </w:tr>
      <w:tr w14:paraId="284CD9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10" w:hRule="atLeast"/>
        </w:trPr>
        <w:tc>
          <w:tcPr>
            <w:tcW w:w="850" w:type="dxa"/>
            <w:shd w:val="clear" w:color="000000" w:fill="D0CECE"/>
            <w:noWrap/>
            <w:vAlign w:val="center"/>
          </w:tcPr>
          <w:p w14:paraId="705AB968">
            <w:pPr>
              <w:jc w:val="center"/>
              <w:rPr>
                <w:b/>
              </w:rPr>
            </w:pPr>
            <w:r>
              <w:rPr>
                <w:rFonts w:hint="eastAsia"/>
                <w:b/>
              </w:rPr>
              <w:t>评分项</w:t>
            </w:r>
          </w:p>
        </w:tc>
        <w:tc>
          <w:tcPr>
            <w:tcW w:w="3227" w:type="dxa"/>
            <w:shd w:val="clear" w:color="auto" w:fill="auto"/>
            <w:vAlign w:val="center"/>
          </w:tcPr>
          <w:p w14:paraId="7160F84D">
            <w:pPr>
              <w:jc w:val="left"/>
              <w:rPr>
                <w:rFonts w:ascii="Times New Roman" w:hAnsi="Times New Roman" w:cs="Times New Roman"/>
                <w:bCs/>
                <w:szCs w:val="20"/>
              </w:rPr>
            </w:pPr>
            <w:r>
              <w:rPr>
                <w:rFonts w:ascii="Times New Roman" w:hAnsi="Times New Roman" w:cs="Times New Roman"/>
                <w:bCs/>
                <w:szCs w:val="20"/>
              </w:rPr>
              <w:t>PM</w:t>
            </w:r>
            <w:r>
              <w:rPr>
                <w:rFonts w:ascii="Times New Roman" w:hAnsi="Times New Roman" w:cs="Times New Roman"/>
                <w:bCs/>
                <w:szCs w:val="20"/>
                <w:vertAlign w:val="subscript"/>
              </w:rPr>
              <w:t>2.5</w:t>
            </w:r>
            <w:r>
              <w:rPr>
                <w:rFonts w:ascii="Times New Roman" w:hAnsi="Times New Roman" w:cs="Times New Roman"/>
                <w:bCs/>
                <w:szCs w:val="20"/>
              </w:rPr>
              <w:t>年均浓度不高于25μg/m³，PM</w:t>
            </w:r>
            <w:r>
              <w:rPr>
                <w:rFonts w:ascii="Times New Roman" w:hAnsi="Times New Roman" w:cs="Times New Roman"/>
                <w:bCs/>
                <w:szCs w:val="20"/>
                <w:vertAlign w:val="subscript"/>
              </w:rPr>
              <w:t>10</w:t>
            </w:r>
            <w:r>
              <w:rPr>
                <w:rFonts w:ascii="Times New Roman" w:hAnsi="Times New Roman" w:cs="Times New Roman"/>
                <w:bCs/>
                <w:szCs w:val="20"/>
              </w:rPr>
              <w:t>年均浓度不高于50μg/m³，</w:t>
            </w:r>
          </w:p>
          <w:p w14:paraId="33655DA5">
            <w:pPr>
              <w:jc w:val="left"/>
              <w:rPr>
                <w:rFonts w:ascii="Times New Roman" w:hAnsi="Times New Roman" w:cs="Times New Roman"/>
                <w:bCs/>
                <w:szCs w:val="20"/>
              </w:rPr>
            </w:pPr>
            <w:r>
              <w:rPr>
                <w:rFonts w:ascii="Times New Roman" w:hAnsi="Times New Roman" w:cs="Times New Roman"/>
                <w:bCs/>
                <w:szCs w:val="20"/>
              </w:rPr>
              <w:t>评价分值为6分。</w:t>
            </w:r>
          </w:p>
        </w:tc>
        <w:tc>
          <w:tcPr>
            <w:tcW w:w="2555" w:type="dxa"/>
            <w:shd w:val="clear" w:color="auto" w:fill="auto"/>
            <w:vAlign w:val="center"/>
          </w:tcPr>
          <w:p w14:paraId="41663CE3">
            <w:pPr>
              <w:jc w:val="left"/>
              <w:rPr>
                <w:rFonts w:ascii="Times New Roman" w:hAnsi="Times New Roman" w:cs="Times New Roman"/>
                <w:b/>
                <w:szCs w:val="20"/>
              </w:rPr>
            </w:pPr>
            <w:bookmarkStart w:id="16" w:name="颗粒物计算结果"/>
            <w:r>
              <w:rPr>
                <w:rFonts w:ascii="Times New Roman" w:hAnsi="Times New Roman" w:cs="Times New Roman"/>
                <w:szCs w:val="20"/>
              </w:rPr>
              <w:t>PM2.5年均浓度6μg/m³
PM10年均浓度12μg/m³</w:t>
            </w:r>
            <w:bookmarkEnd w:id="16"/>
          </w:p>
        </w:tc>
        <w:tc>
          <w:tcPr>
            <w:tcW w:w="850" w:type="dxa"/>
            <w:shd w:val="clear" w:color="auto" w:fill="E3F1D9" w:themeFill="accent4" w:themeFillTint="33"/>
            <w:noWrap/>
            <w:vAlign w:val="center"/>
          </w:tcPr>
          <w:p w14:paraId="7796613A">
            <w:pPr>
              <w:jc w:val="center"/>
              <w:rPr>
                <w:b/>
                <w:bCs/>
              </w:rPr>
            </w:pPr>
            <w:bookmarkStart w:id="17" w:name="颗粒物评分项结论"/>
            <w:r>
              <w:rPr>
                <w:b/>
                <w:bCs/>
              </w:rPr>
              <w:t>满足</w:t>
            </w:r>
            <w:bookmarkEnd w:id="17"/>
          </w:p>
        </w:tc>
        <w:tc>
          <w:tcPr>
            <w:tcW w:w="794" w:type="dxa"/>
            <w:shd w:val="clear" w:color="auto" w:fill="E3F1D9" w:themeFill="accent4" w:themeFillTint="33"/>
            <w:noWrap/>
            <w:vAlign w:val="center"/>
          </w:tcPr>
          <w:p w14:paraId="123AF798">
            <w:pPr>
              <w:jc w:val="center"/>
              <w:rPr>
                <w:b/>
                <w:bCs/>
              </w:rPr>
            </w:pPr>
            <w:bookmarkStart w:id="18" w:name="颗粒物评分项得分"/>
            <w:r>
              <w:rPr>
                <w:b/>
                <w:bCs/>
              </w:rPr>
              <w:t>6</w:t>
            </w:r>
            <w:bookmarkEnd w:id="18"/>
            <w:r>
              <w:rPr>
                <w:rFonts w:hint="eastAsia"/>
                <w:b/>
                <w:bCs/>
              </w:rPr>
              <w:t>分</w:t>
            </w:r>
          </w:p>
        </w:tc>
      </w:tr>
      <w:tr w14:paraId="1D415E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10" w:hRule="atLeast"/>
        </w:trPr>
        <w:tc>
          <w:tcPr>
            <w:tcW w:w="850" w:type="dxa"/>
            <w:shd w:val="clear" w:color="000000" w:fill="D0CECE"/>
            <w:noWrap/>
            <w:vAlign w:val="center"/>
          </w:tcPr>
          <w:p w14:paraId="36A611F6">
            <w:pPr>
              <w:jc w:val="center"/>
              <w:rPr>
                <w:b/>
              </w:rPr>
            </w:pPr>
            <w:r>
              <w:rPr>
                <w:rFonts w:hint="eastAsia"/>
                <w:b/>
              </w:rPr>
              <w:t>技术项</w:t>
            </w:r>
          </w:p>
        </w:tc>
        <w:tc>
          <w:tcPr>
            <w:tcW w:w="3227" w:type="dxa"/>
            <w:shd w:val="clear" w:color="auto" w:fill="auto"/>
            <w:vAlign w:val="center"/>
          </w:tcPr>
          <w:p w14:paraId="47F7187D">
            <w:pPr>
              <w:jc w:val="left"/>
              <w:rPr>
                <w:rFonts w:ascii="Times New Roman" w:hAnsi="Times New Roman" w:cs="Times New Roman"/>
                <w:bCs/>
                <w:szCs w:val="20"/>
              </w:rPr>
            </w:pPr>
            <w:r>
              <w:rPr>
                <w:rFonts w:ascii="Times New Roman" w:hAnsi="Times New Roman" w:cs="Times New Roman"/>
                <w:bCs/>
                <w:szCs w:val="20"/>
              </w:rPr>
              <w:t>PM</w:t>
            </w:r>
            <w:r>
              <w:rPr>
                <w:rFonts w:hint="eastAsia" w:ascii="Times New Roman" w:hAnsi="Times New Roman" w:cs="Times New Roman"/>
                <w:bCs/>
                <w:szCs w:val="20"/>
                <w:vertAlign w:val="subscript"/>
              </w:rPr>
              <w:t>2.5</w:t>
            </w:r>
            <w:r>
              <w:rPr>
                <w:rFonts w:hint="eastAsia" w:ascii="Times New Roman" w:hAnsi="Times New Roman" w:cs="Times New Roman"/>
                <w:bCs/>
                <w:szCs w:val="20"/>
              </w:rPr>
              <w:t>日</w:t>
            </w:r>
            <w:r>
              <w:rPr>
                <w:rFonts w:ascii="Times New Roman" w:hAnsi="Times New Roman" w:cs="Times New Roman"/>
                <w:bCs/>
                <w:szCs w:val="20"/>
              </w:rPr>
              <w:t>均浓度浓度降低比例，达到10 %（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045</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）为一星级要求</w:t>
            </w:r>
            <w:r>
              <w:rPr>
                <w:rFonts w:hint="eastAsia" w:ascii="Times New Roman" w:hAnsi="Times New Roman" w:cs="Times New Roman"/>
                <w:bCs/>
                <w:szCs w:val="20"/>
              </w:rPr>
              <w:t>；</w:t>
            </w:r>
            <w:r>
              <w:rPr>
                <w:rFonts w:ascii="Times New Roman" w:hAnsi="Times New Roman" w:cs="Times New Roman"/>
                <w:bCs/>
                <w:szCs w:val="20"/>
              </w:rPr>
              <w:t>达到20 %（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040</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）为二星级和三星级要求。</w:t>
            </w:r>
          </w:p>
          <w:p w14:paraId="48A46210">
            <w:pPr>
              <w:jc w:val="left"/>
              <w:rPr>
                <w:rFonts w:ascii="Times New Roman" w:hAnsi="Times New Roman" w:cs="Times New Roman"/>
                <w:bCs/>
                <w:szCs w:val="20"/>
              </w:rPr>
            </w:pPr>
          </w:p>
          <w:p w14:paraId="1195A39A">
            <w:pPr>
              <w:jc w:val="left"/>
              <w:rPr>
                <w:rFonts w:ascii="Times New Roman" w:hAnsi="Times New Roman" w:cs="Times New Roman"/>
                <w:bCs/>
                <w:szCs w:val="20"/>
              </w:rPr>
            </w:pPr>
            <w:r>
              <w:rPr>
                <w:rFonts w:ascii="Times New Roman" w:hAnsi="Times New Roman" w:cs="Times New Roman"/>
                <w:bCs/>
                <w:szCs w:val="20"/>
              </w:rPr>
              <w:t>PM</w:t>
            </w:r>
            <w:r>
              <w:rPr>
                <w:rFonts w:ascii="Times New Roman" w:hAnsi="Times New Roman" w:cs="Times New Roman"/>
                <w:bCs/>
                <w:szCs w:val="20"/>
                <w:vertAlign w:val="subscript"/>
              </w:rPr>
              <w:t>10</w:t>
            </w:r>
            <w:r>
              <w:rPr>
                <w:rFonts w:hint="eastAsia" w:ascii="Times New Roman" w:hAnsi="Times New Roman" w:cs="Times New Roman"/>
                <w:bCs/>
                <w:szCs w:val="20"/>
              </w:rPr>
              <w:t>日</w:t>
            </w:r>
            <w:r>
              <w:rPr>
                <w:rFonts w:ascii="Times New Roman" w:hAnsi="Times New Roman" w:cs="Times New Roman"/>
                <w:bCs/>
                <w:szCs w:val="20"/>
              </w:rPr>
              <w:t>均浓度浓度降低比例，达到10 %（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09</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）为一星级要求</w:t>
            </w:r>
            <w:r>
              <w:rPr>
                <w:rFonts w:hint="eastAsia" w:ascii="Times New Roman" w:hAnsi="Times New Roman" w:cs="Times New Roman"/>
                <w:bCs/>
                <w:szCs w:val="20"/>
              </w:rPr>
              <w:t>；</w:t>
            </w:r>
            <w:r>
              <w:rPr>
                <w:rFonts w:ascii="Times New Roman" w:hAnsi="Times New Roman" w:cs="Times New Roman"/>
                <w:bCs/>
                <w:szCs w:val="20"/>
              </w:rPr>
              <w:t>达到20 %（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08</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）为二星级和三星级要求。</w:t>
            </w:r>
          </w:p>
        </w:tc>
        <w:tc>
          <w:tcPr>
            <w:tcW w:w="2555" w:type="dxa"/>
            <w:shd w:val="clear" w:color="auto" w:fill="auto"/>
            <w:vAlign w:val="center"/>
          </w:tcPr>
          <w:p w14:paraId="751E29A5">
            <w:pPr>
              <w:jc w:val="left"/>
              <w:rPr>
                <w:rFonts w:ascii="Times New Roman" w:hAnsi="Times New Roman" w:cs="Times New Roman"/>
                <w:color w:val="FF0000"/>
                <w:kern w:val="0"/>
                <w:szCs w:val="21"/>
              </w:rPr>
            </w:pPr>
            <w:bookmarkStart w:id="19" w:name="PM25颗粒物技术项计算结果二星级"/>
            <w:r>
              <w:rPr>
                <w:rFonts w:hint="eastAsia" w:ascii="Times New Roman" w:hAnsi="Times New Roman" w:cs="Times New Roman"/>
                <w:color w:val="00B050"/>
                <w:kern w:val="0"/>
                <w:szCs w:val="21"/>
              </w:rPr>
              <w:t>PM25最大日均浓度0.016mg/m³</w:t>
            </w:r>
            <w:bookmarkEnd w:id="19"/>
          </w:p>
          <w:p w14:paraId="309FA019">
            <w:pPr>
              <w:jc w:val="left"/>
              <w:rPr>
                <w:rFonts w:ascii="Times New Roman" w:hAnsi="Times New Roman" w:cs="Times New Roman"/>
                <w:color w:val="FF0000"/>
                <w:kern w:val="0"/>
                <w:szCs w:val="21"/>
              </w:rPr>
            </w:pPr>
          </w:p>
          <w:p w14:paraId="3A795B13">
            <w:pPr>
              <w:jc w:val="left"/>
              <w:rPr>
                <w:rFonts w:ascii="Times New Roman" w:hAnsi="Times New Roman" w:cs="Times New Roman"/>
                <w:color w:val="FF0000"/>
                <w:kern w:val="0"/>
                <w:szCs w:val="21"/>
              </w:rPr>
            </w:pPr>
            <w:bookmarkStart w:id="20" w:name="PM10颗粒物技术项计算结果二星级"/>
            <w:r>
              <w:rPr>
                <w:rFonts w:hint="eastAsia" w:ascii="Times New Roman" w:hAnsi="Times New Roman" w:cs="Times New Roman"/>
                <w:color w:val="00B050"/>
                <w:kern w:val="0"/>
                <w:szCs w:val="21"/>
              </w:rPr>
              <w:t>PM10最大日均浓度0.027mg/m³</w:t>
            </w:r>
            <w:bookmarkEnd w:id="20"/>
          </w:p>
        </w:tc>
        <w:tc>
          <w:tcPr>
            <w:tcW w:w="850" w:type="dxa"/>
            <w:shd w:val="clear" w:color="auto" w:fill="E3F1D9" w:themeFill="accent4" w:themeFillTint="33"/>
            <w:noWrap/>
            <w:vAlign w:val="center"/>
          </w:tcPr>
          <w:p w14:paraId="63BB6779">
            <w:pPr>
              <w:jc w:val="center"/>
              <w:rPr>
                <w:b/>
                <w:bCs/>
              </w:rPr>
            </w:pPr>
            <w:bookmarkStart w:id="21" w:name="颗粒物技术项结论二星级"/>
            <w:r>
              <w:rPr>
                <w:rFonts w:hint="eastAsia"/>
                <w:b/>
                <w:bCs/>
                <w:color w:val="00B050"/>
              </w:rPr>
              <w:t>满足二/三星级要求</w:t>
            </w:r>
            <w:bookmarkEnd w:id="21"/>
          </w:p>
        </w:tc>
        <w:tc>
          <w:tcPr>
            <w:tcW w:w="794" w:type="dxa"/>
            <w:shd w:val="clear" w:color="auto" w:fill="E3F1D9" w:themeFill="accent4" w:themeFillTint="33"/>
            <w:noWrap/>
            <w:vAlign w:val="center"/>
          </w:tcPr>
          <w:p w14:paraId="24AFC8AD">
            <w:pPr>
              <w:jc w:val="center"/>
              <w:rPr>
                <w:b/>
                <w:bCs/>
              </w:rPr>
            </w:pPr>
            <w:r>
              <w:rPr>
                <w:rFonts w:hint="eastAsia"/>
                <w:b/>
                <w:bCs/>
              </w:rPr>
              <w:t>/</w:t>
            </w:r>
          </w:p>
        </w:tc>
      </w:tr>
    </w:tbl>
    <w:p w14:paraId="3D2537CF">
      <w:pPr>
        <w:rPr>
          <w:lang w:val="zh-CN" w:eastAsia="zh-CN"/>
        </w:rPr>
      </w:pPr>
    </w:p>
    <w:p w14:paraId="5FBD55DE">
      <w:pPr>
        <w:numPr>
          <w:ilvl w:val="0"/>
          <w:numId w:val="0"/>
        </w:numPr>
        <w:ind w:leftChars="0"/>
        <w:jc w:val="both"/>
        <w:rPr>
          <w:rFonts w:hint="default"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9F2B4D"/>
    <w:multiLevelType w:val="singleLevel"/>
    <w:tmpl w:val="B39F2B4D"/>
    <w:lvl w:ilvl="0" w:tentative="0">
      <w:start w:val="1"/>
      <w:numFmt w:val="decimal"/>
      <w:lvlText w:val="%1."/>
      <w:lvlJc w:val="left"/>
      <w:pPr>
        <w:tabs>
          <w:tab w:val="left" w:pos="312"/>
        </w:tabs>
      </w:pPr>
    </w:lvl>
  </w:abstractNum>
  <w:abstractNum w:abstractNumId="1">
    <w:nsid w:val="63AEDBCD"/>
    <w:multiLevelType w:val="singleLevel"/>
    <w:tmpl w:val="63AEDBCD"/>
    <w:lvl w:ilvl="0" w:tentative="0">
      <w:start w:val="5"/>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CA2919"/>
    <w:rsid w:val="02471C60"/>
    <w:rsid w:val="220D2219"/>
    <w:rsid w:val="267C7F4C"/>
    <w:rsid w:val="305F0BA8"/>
    <w:rsid w:val="3ADD4CEB"/>
    <w:rsid w:val="41CA2919"/>
    <w:rsid w:val="546333C1"/>
    <w:rsid w:val="56A343DD"/>
    <w:rsid w:val="5CB46946"/>
    <w:rsid w:val="5E67000D"/>
    <w:rsid w:val="5E8C75FC"/>
    <w:rsid w:val="62BA0545"/>
    <w:rsid w:val="65222F01"/>
    <w:rsid w:val="704520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6">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4">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1902</Words>
  <Characters>2544</Characters>
  <Lines>0</Lines>
  <Paragraphs>0</Paragraphs>
  <TotalTime>3</TotalTime>
  <ScaleCrop>false</ScaleCrop>
  <LinksUpToDate>false</LinksUpToDate>
  <CharactersWithSpaces>2598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2024-12-26T10:03:00Z</dcterms:created>
  <dc:creator>蘭</dc:creator>
  <cp:lastModifiedBy>杨一成</cp:lastModifiedBy>
  <dcterms:modified xsi:type="dcterms:W3CDTF">2024-12-28T05:10:50Z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8C48EA7E5C334C53888216EB5563997F_13</vt:lpwstr>
  </property>
  <property fmtid="{D5CDD505-2E9C-101B-9397-08002B2CF9AE}" pid="4" name="KSOTemplateDocerSaveRecord">
    <vt:lpwstr>eyJoZGlkIjoiYWNkMTVjOGE2MTU4N2I3OWY5ZGZhYjA5MzUzMTA1NDgiLCJ1c2VySWQiOiIxNjE2NzI5NTMyIn0=</vt:lpwstr>
  </property>
</Properties>
</file>