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F4E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02EE47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39BEAA2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D77C835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CA346D5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93AF19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D300E9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DAE809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010FE5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F4D4302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1EC38D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3235121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14:paraId="6CB732DF"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4408B8C7"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 w14:paraId="0BFCE09E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 w14:paraId="7322333F">
      <w:pPr>
        <w:numPr>
          <w:ilvl w:val="1"/>
          <w:numId w:val="1"/>
        </w:numPr>
        <w:tabs>
          <w:tab w:val="left" w:pos="605"/>
          <w:tab w:val="clear" w:pos="312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项目概况</w:t>
      </w:r>
    </w:p>
    <w:p w14:paraId="7EFE3829">
      <w:pPr>
        <w:tabs>
          <w:tab w:val="left" w:pos="290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项目基地位于福建省平潭县，平潭作为国际旅游岛，发展绿色建筑有助于减少能源消耗和污染物排放，保护海洋生态环境和岛上的自然景观，提升旅游环境质量。以此为背景，我们根据当地的自然环境、气候条件、地理特征等因素进行设计，充分利用当地的资源和条件；关注用户的需求和体验，提供舒适、安全、便捷的空间和设施；</w:t>
      </w:r>
    </w:p>
    <w:p w14:paraId="6719BE35">
      <w:pPr>
        <w:tabs>
          <w:tab w:val="left" w:pos="290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 xml:space="preserve"> 秉持生态优先保护生态环境，维护生态平衡，促进可持续发展的理念进行绿色办公楼设计。通过绿色低碳的思考，我们打造出绿色可持续的办公空间，提高空间利用率，以求达到最大限度利用资源，降低建筑运营成本，低碳化节能的建筑空间，使之成为舒适理想的办公空间。</w:t>
      </w:r>
    </w:p>
    <w:p w14:paraId="5FB5275C"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 w14:paraId="571CAAE5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 w14:paraId="4A75654B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15F31EC0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 w14:paraId="4AC30900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69BE3983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 w14:paraId="134BCBDB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4CE64337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2ADB0F50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36CE49E3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41AB913F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 w14:paraId="61957BBA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10ABFF39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 w14:paraId="2FCE1BDB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7804ED80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709"/>
        <w:gridCol w:w="850"/>
        <w:gridCol w:w="851"/>
      </w:tblGrid>
      <w:tr w14:paraId="4974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127" w:type="dxa"/>
            <w:vAlign w:val="center"/>
          </w:tcPr>
          <w:p w14:paraId="5110513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6350</wp:posOffset>
                      </wp:positionV>
                      <wp:extent cx="1356995" cy="161925"/>
                      <wp:effectExtent l="635" t="4445" r="13970" b="16510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995" cy="1619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-6.1pt;margin-top:0.5pt;height:12.75pt;width:106.85pt;z-index:251659264;mso-width-relative:page;mso-height-relative:page;" filled="f" stroked="t" coordsize="21600,21600" o:gfxdata="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SMACdUAAAAIAQAADwAAAAAAAAABACAAAAAiAAAAZHJzL2Rvd25yZXYueG1sUEsB&#10;AhQAFAAAAAgAh07iQAP9fuj4AQAA6AMAAA4AAAAAAAAAAQAgAAAAJA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1CCA74F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0B7EC2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022CE4D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 w14:paraId="5ABDBB8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612966A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 w14:paraId="6998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127" w:type="dxa"/>
            <w:vAlign w:val="center"/>
          </w:tcPr>
          <w:p w14:paraId="0C0D9FE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19EF08E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14:paraId="27825AC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14:paraId="64273A6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0" w:type="dxa"/>
            <w:vAlign w:val="center"/>
          </w:tcPr>
          <w:p w14:paraId="59A4C00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 w14:paraId="76C852D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</w:tr>
      <w:tr w14:paraId="0EC2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127" w:type="dxa"/>
            <w:vAlign w:val="center"/>
          </w:tcPr>
          <w:p w14:paraId="1DD18FE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790F3B0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14:paraId="76B92E7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14:paraId="086BAD1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0" w:type="dxa"/>
            <w:vAlign w:val="center"/>
          </w:tcPr>
          <w:p w14:paraId="26DF550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 w14:paraId="1DE9D96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</w:tr>
      <w:tr w14:paraId="382B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127" w:type="dxa"/>
            <w:vAlign w:val="center"/>
          </w:tcPr>
          <w:p w14:paraId="52538C6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5F0AC5A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14:paraId="5F56DA9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14:paraId="0F1AC97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0" w:type="dxa"/>
            <w:vAlign w:val="center"/>
          </w:tcPr>
          <w:p w14:paraId="1226BCC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 w14:paraId="3CD980C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</w:tr>
      <w:tr w14:paraId="308F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gridSpan w:val="3"/>
            <w:vAlign w:val="center"/>
          </w:tcPr>
          <w:p w14:paraId="6C919ACA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2410" w:type="dxa"/>
            <w:gridSpan w:val="3"/>
            <w:vAlign w:val="center"/>
          </w:tcPr>
          <w:p w14:paraId="4035AF4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7808</w:t>
            </w:r>
          </w:p>
        </w:tc>
      </w:tr>
    </w:tbl>
    <w:p w14:paraId="3CB9F577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2B066210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26473029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60408E15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 w14:paraId="5C319DE5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7D578311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  <w:gridCol w:w="709"/>
        <w:gridCol w:w="709"/>
      </w:tblGrid>
      <w:tr w14:paraId="3F6A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943" w:type="dxa"/>
            <w:vAlign w:val="center"/>
          </w:tcPr>
          <w:p w14:paraId="2F0A2FE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14:paraId="23DACB9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1层</w:t>
            </w:r>
          </w:p>
        </w:tc>
        <w:tc>
          <w:tcPr>
            <w:tcW w:w="851" w:type="dxa"/>
            <w:vAlign w:val="center"/>
          </w:tcPr>
          <w:p w14:paraId="28D7779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174F098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3963F67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74728B5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 w14:paraId="69B5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943" w:type="dxa"/>
            <w:vAlign w:val="center"/>
          </w:tcPr>
          <w:p w14:paraId="2A839DD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40130A6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7A87A55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 w14:paraId="2248BC9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14:paraId="5F9EC0C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14:paraId="61215E3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</w:tr>
      <w:tr w14:paraId="7941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3EE8D6E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3686" w:type="dxa"/>
            <w:gridSpan w:val="5"/>
            <w:vAlign w:val="center"/>
          </w:tcPr>
          <w:p w14:paraId="1BCFBCEA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5397</w:t>
            </w:r>
          </w:p>
        </w:tc>
      </w:tr>
    </w:tbl>
    <w:p w14:paraId="445F6368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 w14:paraId="7D60943B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 w14:paraId="59083D8E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506E479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灵活隔断的面积比例=5397/7808×100%=69.1%；</w:t>
      </w:r>
    </w:p>
    <w:p w14:paraId="40670DFF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非灵活隔断的面积比例=1-69.1%=30.9%。</w:t>
      </w:r>
    </w:p>
    <w:p w14:paraId="4B11C5C6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14320B31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 w14:paraId="5F5560B2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146E20E5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B69AF"/>
    <w:multiLevelType w:val="multilevel"/>
    <w:tmpl w:val="0DCB69A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4"/>
    <w:rsid w:val="00022519"/>
    <w:rsid w:val="00897ADE"/>
    <w:rsid w:val="00900B4A"/>
    <w:rsid w:val="00E40C34"/>
    <w:rsid w:val="664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1046</Characters>
  <Lines>8</Lines>
  <Paragraphs>2</Paragraphs>
  <TotalTime>29</TotalTime>
  <ScaleCrop>false</ScaleCrop>
  <LinksUpToDate>false</LinksUpToDate>
  <CharactersWithSpaces>1046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Alicia</cp:lastModifiedBy>
  <dcterms:modified xsi:type="dcterms:W3CDTF">2025-03-15T10:52:37Z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eyJoZGlkIjoiYTY4MzBlNzI0ZTUzMzk3MzI0YzVmMzc1M2U3NzBhZGMiLCJ1c2VySWQiOiIxMzkzMTYzNDk0In0=</vt:lpwstr>
  </property>
  <property fmtid="{D5CDD505-2E9C-101B-9397-08002B2CF9AE}" pid="5" name="KSOProductBuildVer">
    <vt:lpwstr>2052-12.1.0.20305</vt:lpwstr>
  </property>
  <property fmtid="{D5CDD505-2E9C-101B-9397-08002B2CF9AE}" pid="6" name="ICV">
    <vt:lpwstr>EDD5921CFA04441683FD449200ECD8A5_13</vt:lpwstr>
  </property>
</Properties>
</file>