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ind w:left="-1418" w:leftChars="-675" w:firstLine="420"/>
        <w:rPr>
          <w:rFonts w:ascii="宋体" w:hAnsi="宋体"/>
          <w:b/>
          <w:bCs/>
          <w:sz w:val="32"/>
          <w:szCs w:val="32"/>
        </w:rPr>
      </w:pPr>
      <w:r>
        <w:rPr>
          <w:lang w:val="en-US"/>
        </w:rPr>
        <w:drawing>
          <wp:anchor distT="0" distB="0" distL="114300" distR="114300" simplePos="0" relativeHeight="251659264" behindDoc="1" locked="0" layoutInCell="1" allowOverlap="1">
            <wp:simplePos x="0" y="0"/>
            <wp:positionH relativeFrom="column">
              <wp:posOffset>-941070</wp:posOffset>
            </wp:positionH>
            <wp:positionV relativeFrom="paragraph">
              <wp:posOffset>-273050</wp:posOffset>
            </wp:positionV>
            <wp:extent cx="7738110" cy="2261235"/>
            <wp:effectExtent l="0" t="0" r="0" b="6350"/>
            <wp:wrapTight wrapText="bothSides">
              <wp:wrapPolygon>
                <wp:start x="0" y="0"/>
                <wp:lineTo x="0" y="21479"/>
                <wp:lineTo x="21536" y="21479"/>
                <wp:lineTo x="21536"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738280" cy="2261089"/>
                    </a:xfrm>
                    <a:prstGeom prst="rect">
                      <a:avLst/>
                    </a:prstGeom>
                    <a:noFill/>
                    <a:ln>
                      <a:noFill/>
                    </a:ln>
                  </pic:spPr>
                </pic:pic>
              </a:graphicData>
            </a:graphic>
          </wp:anchor>
        </w:drawing>
      </w:r>
    </w:p>
    <w:p>
      <w:pPr>
        <w:spacing w:line="180" w:lineRule="atLeast"/>
        <w:rPr>
          <w:rFonts w:ascii="微软雅黑" w:hAnsi="微软雅黑" w:eastAsia="微软雅黑"/>
          <w:bCs/>
          <w:sz w:val="40"/>
          <w:szCs w:val="21"/>
          <w:lang w:val="en-US"/>
        </w:rPr>
      </w:pPr>
    </w:p>
    <w:p>
      <w:pPr>
        <w:spacing w:line="180" w:lineRule="atLeast"/>
        <w:ind w:firstLine="800"/>
        <w:jc w:val="center"/>
        <w:rPr>
          <w:rFonts w:ascii="微软雅黑" w:hAnsi="微软雅黑" w:eastAsia="微软雅黑"/>
          <w:b/>
          <w:bCs/>
          <w:sz w:val="40"/>
          <w:szCs w:val="40"/>
          <w:lang w:val="en-US"/>
        </w:rPr>
      </w:pPr>
      <w:bookmarkStart w:id="0" w:name="项目名称"/>
      <w:r>
        <w:rPr>
          <w:rFonts w:hint="eastAsia" w:ascii="微软雅黑" w:hAnsi="微软雅黑" w:eastAsia="微软雅黑"/>
          <w:bCs/>
          <w:sz w:val="40"/>
          <w:szCs w:val="21"/>
          <w:lang w:val="en-US"/>
        </w:rPr>
        <w:t>二食堂</w:t>
      </w:r>
      <w:bookmarkEnd w:id="0"/>
    </w:p>
    <w:p>
      <w:pPr>
        <w:spacing w:line="180" w:lineRule="atLeast"/>
        <w:ind w:firstLine="800"/>
        <w:rPr>
          <w:rFonts w:ascii="微软雅黑" w:hAnsi="微软雅黑" w:eastAsia="微软雅黑"/>
          <w:bCs/>
          <w:sz w:val="40"/>
          <w:szCs w:val="21"/>
          <w:lang w:val="en-US"/>
        </w:rPr>
      </w:pPr>
      <w:r>
        <w:rPr>
          <w:rFonts w:hint="eastAsia" w:ascii="微软雅黑" w:hAnsi="微软雅黑" w:eastAsia="微软雅黑"/>
          <w:bCs/>
          <w:sz w:val="40"/>
          <w:szCs w:val="21"/>
          <w:lang w:val="en-US"/>
        </w:rPr>
        <w:t>绿色建筑全生命期碳排放计算（核算）报告</w:t>
      </w:r>
    </w:p>
    <w:p>
      <w:pPr>
        <w:jc w:val="center"/>
        <w:rPr>
          <w:rFonts w:ascii="宋体" w:hAnsi="宋体" w:cs="宋体"/>
          <w:sz w:val="24"/>
          <w:szCs w:val="24"/>
          <w:lang w:val="en-US"/>
        </w:rPr>
      </w:pPr>
      <w:r>
        <w:rPr>
          <w:rFonts w:hint="eastAsia" w:ascii="微软雅黑" w:hAnsi="微软雅黑" w:eastAsia="微软雅黑" w:cs="宋体"/>
          <w:color w:val="000000"/>
          <w:sz w:val="28"/>
          <w:szCs w:val="28"/>
          <w:lang w:val="en-US"/>
        </w:rPr>
        <w:t>Life Cycle Assessment Report of Green Building Carbon Emission</w:t>
      </w:r>
    </w:p>
    <w:p>
      <w:pPr>
        <w:ind w:firstLine="602"/>
        <w:jc w:val="center"/>
        <w:rPr>
          <w:rFonts w:ascii="宋体" w:hAnsi="宋体"/>
          <w:b/>
          <w:bCs/>
          <w:sz w:val="30"/>
          <w:szCs w:val="32"/>
          <w:lang w:val="en-US"/>
        </w:rPr>
      </w:pPr>
    </w:p>
    <w:p>
      <w:pPr>
        <w:ind w:firstLine="602"/>
        <w:jc w:val="center"/>
        <w:rPr>
          <w:rFonts w:ascii="宋体" w:hAnsi="宋体"/>
          <w:b/>
          <w:bCs/>
          <w:sz w:val="30"/>
          <w:szCs w:val="32"/>
          <w:lang w:val="en-US"/>
        </w:rPr>
      </w:pPr>
    </w:p>
    <w:p>
      <w:pPr>
        <w:ind w:firstLine="602"/>
        <w:jc w:val="center"/>
        <w:rPr>
          <w:rFonts w:ascii="宋体" w:hAnsi="宋体"/>
          <w:b/>
          <w:bCs/>
          <w:sz w:val="30"/>
          <w:szCs w:val="32"/>
          <w:lang w:val="en-US"/>
        </w:rPr>
      </w:pPr>
      <w:bookmarkStart w:id="1" w:name="二维码"/>
      <w:bookmarkEnd w:id="1"/>
      <w:r>
        <w:drawing>
          <wp:inline distT="0" distB="0" distL="0" distR="0">
            <wp:extent cx="1514475" cy="151447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11"/>
                    <a:stretch>
                      <a:fillRect/>
                    </a:stretch>
                  </pic:blipFill>
                  <pic:spPr>
                    <a:xfrm>
                      <a:off x="0" y="0"/>
                      <a:ext cx="1514634" cy="1514634"/>
                    </a:xfrm>
                    <a:prstGeom prst="rect">
                      <a:avLst/>
                    </a:prstGeom>
                  </pic:spPr>
                </pic:pic>
              </a:graphicData>
            </a:graphic>
          </wp:inline>
        </w:drawing>
      </w:r>
    </w:p>
    <w:p>
      <w:pPr>
        <w:ind w:firstLine="602"/>
        <w:jc w:val="center"/>
        <w:rPr>
          <w:rFonts w:ascii="宋体" w:hAnsi="宋体"/>
          <w:b/>
          <w:bCs/>
          <w:sz w:val="30"/>
          <w:szCs w:val="32"/>
          <w:lang w:val="en-US"/>
        </w:rPr>
      </w:pPr>
    </w:p>
    <w:p>
      <w:pPr>
        <w:ind w:firstLine="602"/>
        <w:jc w:val="center"/>
        <w:rPr>
          <w:rFonts w:ascii="宋体" w:hAnsi="宋体"/>
          <w:b/>
          <w:bCs/>
          <w:sz w:val="30"/>
          <w:szCs w:val="32"/>
          <w:lang w:val="en-US"/>
        </w:rPr>
      </w:pPr>
    </w:p>
    <w:p>
      <w:pPr>
        <w:rPr>
          <w:rFonts w:ascii="宋体" w:hAnsi="宋体"/>
          <w:b/>
          <w:bCs/>
          <w:sz w:val="30"/>
          <w:szCs w:val="32"/>
          <w:lang w:val="en-US"/>
        </w:rPr>
      </w:pPr>
    </w:p>
    <w:p>
      <w:pPr>
        <w:ind w:firstLine="560"/>
        <w:rPr>
          <w:rFonts w:ascii="宋体" w:hAnsi="宋体" w:cs="宋体"/>
          <w:sz w:val="24"/>
          <w:szCs w:val="24"/>
          <w:lang w:val="en-US"/>
        </w:rPr>
      </w:pPr>
      <w:r>
        <w:rPr>
          <w:rFonts w:hint="eastAsia" w:ascii="微软雅黑" w:hAnsi="微软雅黑" w:eastAsia="微软雅黑" w:cs="宋体"/>
          <w:color w:val="000000"/>
          <w:sz w:val="28"/>
          <w:szCs w:val="28"/>
          <w:lang w:val="en-US"/>
        </w:rPr>
        <w:t>编制单位：</w:t>
      </w:r>
    </w:p>
    <w:p>
      <w:pPr>
        <w:ind w:firstLine="560"/>
        <w:rPr>
          <w:rFonts w:ascii="宋体" w:hAnsi="宋体"/>
          <w:b/>
          <w:bCs/>
          <w:sz w:val="28"/>
          <w:szCs w:val="28"/>
          <w:lang w:val="en-US"/>
        </w:rPr>
      </w:pPr>
      <w:r>
        <w:rPr>
          <w:rFonts w:hint="eastAsia" w:ascii="微软雅黑" w:hAnsi="微软雅黑" w:eastAsia="微软雅黑" w:cs="宋体"/>
          <w:color w:val="000000"/>
          <w:sz w:val="28"/>
          <w:szCs w:val="28"/>
          <w:lang w:val="en-US"/>
        </w:rPr>
        <w:t>编制时间：</w:t>
      </w:r>
      <w:bookmarkStart w:id="2" w:name="报告日期"/>
      <w:r>
        <w:rPr>
          <w:rFonts w:hint="eastAsia" w:ascii="微软雅黑" w:hAnsi="微软雅黑" w:eastAsia="微软雅黑" w:cs="宋体"/>
          <w:color w:val="000000"/>
          <w:sz w:val="28"/>
          <w:szCs w:val="28"/>
          <w:lang w:val="en-US"/>
        </w:rPr>
        <w:t>2024年11月26日</w:t>
      </w:r>
      <w:bookmarkEnd w:id="2"/>
    </w:p>
    <w:p>
      <w:pPr>
        <w:spacing w:line="1000" w:lineRule="exact"/>
        <w:ind w:firstLine="643"/>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tabs>
          <w:tab w:val="right" w:leader="dot" w:pos="9070"/>
          <w:tab w:val="clear" w:pos="180"/>
          <w:tab w:val="clear" w:pos="420"/>
          <w:tab w:val="clear" w:pos="9360"/>
        </w:tabs>
      </w:pPr>
      <w:bookmarkStart w:id="3"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_Toc17405 </w:instrText>
      </w:r>
      <w:r>
        <w:rPr>
          <w:rFonts w:ascii="宋体" w:hAnsi="宋体"/>
          <w:bCs w:val="0"/>
          <w:caps/>
        </w:rPr>
        <w:fldChar w:fldCharType="separate"/>
      </w:r>
      <w:r>
        <w:rPr>
          <w:lang w:bidi="zh-CN"/>
        </w:rPr>
        <w:t xml:space="preserve">1 </w:t>
      </w:r>
      <w:r>
        <w:rPr>
          <w:rFonts w:hint="eastAsia"/>
        </w:rPr>
        <w:t>建筑概况 B</w:t>
      </w:r>
      <w:r>
        <w:t>uilding description</w:t>
      </w:r>
      <w:r>
        <w:tab/>
      </w:r>
      <w:r>
        <w:fldChar w:fldCharType="begin"/>
      </w:r>
      <w:r>
        <w:instrText xml:space="preserve"> PAGEREF _Toc17405 \h </w:instrText>
      </w:r>
      <w:r>
        <w:fldChar w:fldCharType="separate"/>
      </w:r>
      <w:r>
        <w:t>4</w:t>
      </w:r>
      <w:r>
        <w:fldChar w:fldCharType="end"/>
      </w:r>
      <w:r>
        <w:rPr>
          <w:rFonts w:ascii="宋体" w:hAnsi="宋体"/>
          <w:bCs w:val="0"/>
          <w:caps/>
        </w:rPr>
        <w:fldChar w:fldCharType="end"/>
      </w:r>
    </w:p>
    <w:p>
      <w:pPr>
        <w:pStyle w:val="18"/>
        <w:tabs>
          <w:tab w:val="right" w:leader="dot" w:pos="9070"/>
          <w:tab w:val="clear" w:pos="540"/>
          <w:tab w:val="clear" w:pos="840"/>
          <w:tab w:val="clear" w:pos="9360"/>
        </w:tabs>
      </w:pPr>
      <w:r>
        <w:fldChar w:fldCharType="begin"/>
      </w:r>
      <w:r>
        <w:instrText xml:space="preserve"> HYPERLINK \l _Toc10520 </w:instrText>
      </w:r>
      <w:r>
        <w:fldChar w:fldCharType="separate"/>
      </w:r>
      <w:r>
        <w:rPr>
          <w:lang w:bidi="zh-CN"/>
        </w:rPr>
        <w:t xml:space="preserve">1.1 </w:t>
      </w:r>
      <w:r>
        <w:rPr>
          <w:rFonts w:hint="eastAsia"/>
        </w:rPr>
        <w:t>建筑模型图</w:t>
      </w:r>
      <w:r>
        <w:tab/>
      </w:r>
      <w:r>
        <w:fldChar w:fldCharType="begin"/>
      </w:r>
      <w:r>
        <w:instrText xml:space="preserve"> PAGEREF _Toc10520 \h </w:instrText>
      </w:r>
      <w:r>
        <w:fldChar w:fldCharType="separate"/>
      </w:r>
      <w:r>
        <w:t>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_Toc5058 </w:instrText>
      </w:r>
      <w:r>
        <w:fldChar w:fldCharType="separate"/>
      </w:r>
      <w:r>
        <w:rPr>
          <w:lang w:bidi="zh-CN"/>
        </w:rPr>
        <w:t xml:space="preserve">1.2 </w:t>
      </w:r>
      <w:r>
        <w:t>主要技术措施</w:t>
      </w:r>
      <w:r>
        <w:tab/>
      </w:r>
      <w:r>
        <w:fldChar w:fldCharType="begin"/>
      </w:r>
      <w:r>
        <w:instrText xml:space="preserve"> PAGEREF _Toc5058 \h </w:instrText>
      </w:r>
      <w:r>
        <w:fldChar w:fldCharType="separate"/>
      </w:r>
      <w:r>
        <w:t>4</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_Toc29504 </w:instrText>
      </w:r>
      <w:r>
        <w:fldChar w:fldCharType="separate"/>
      </w:r>
      <w:r>
        <w:rPr>
          <w:lang w:bidi="zh-CN"/>
        </w:rPr>
        <w:t xml:space="preserve">2 </w:t>
      </w:r>
      <w:r>
        <w:rPr>
          <w:rFonts w:hint="eastAsia"/>
        </w:rPr>
        <w:t>分析目的和工具 Pur</w:t>
      </w:r>
      <w:r>
        <w:t>pose of the assessment and tools</w:t>
      </w:r>
      <w:r>
        <w:tab/>
      </w:r>
      <w:r>
        <w:fldChar w:fldCharType="begin"/>
      </w:r>
      <w:r>
        <w:instrText xml:space="preserve"> PAGEREF _Toc29504 \h </w:instrText>
      </w:r>
      <w:r>
        <w:fldChar w:fldCharType="separate"/>
      </w:r>
      <w:r>
        <w:t>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_Toc28167 </w:instrText>
      </w:r>
      <w:r>
        <w:fldChar w:fldCharType="separate"/>
      </w:r>
      <w:r>
        <w:rPr>
          <w:lang w:bidi="zh-CN"/>
        </w:rPr>
        <w:t xml:space="preserve">2.1 </w:t>
      </w:r>
      <w:r>
        <w:rPr>
          <w:rFonts w:hint="eastAsia"/>
        </w:rPr>
        <w:t>分析目的 P</w:t>
      </w:r>
      <w:r>
        <w:t>urpose of the analysis</w:t>
      </w:r>
      <w:r>
        <w:tab/>
      </w:r>
      <w:r>
        <w:fldChar w:fldCharType="begin"/>
      </w:r>
      <w:r>
        <w:instrText xml:space="preserve"> PAGEREF _Toc28167 \h </w:instrText>
      </w:r>
      <w:r>
        <w:fldChar w:fldCharType="separate"/>
      </w:r>
      <w:r>
        <w:t>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_Toc2781 </w:instrText>
      </w:r>
      <w:r>
        <w:fldChar w:fldCharType="separate"/>
      </w:r>
      <w:r>
        <w:rPr>
          <w:lang w:bidi="zh-CN"/>
        </w:rPr>
        <w:t xml:space="preserve">2.2 </w:t>
      </w:r>
      <w:r>
        <w:rPr>
          <w:rFonts w:hint="eastAsia"/>
        </w:rPr>
        <w:t>分析工具 A</w:t>
      </w:r>
      <w:r>
        <w:t>ssessment software</w:t>
      </w:r>
      <w:r>
        <w:tab/>
      </w:r>
      <w:r>
        <w:fldChar w:fldCharType="begin"/>
      </w:r>
      <w:r>
        <w:instrText xml:space="preserve"> PAGEREF _Toc2781 \h </w:instrText>
      </w:r>
      <w:r>
        <w:fldChar w:fldCharType="separate"/>
      </w:r>
      <w:r>
        <w:t>5</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_Toc16906 </w:instrText>
      </w:r>
      <w:r>
        <w:fldChar w:fldCharType="separate"/>
      </w:r>
      <w:r>
        <w:rPr>
          <w:lang w:bidi="zh-CN"/>
        </w:rPr>
        <w:t xml:space="preserve">3 </w:t>
      </w:r>
      <w:r>
        <w:rPr>
          <w:rFonts w:hint="eastAsia"/>
        </w:rPr>
        <w:t>建筑的全生命周期分析 Life</w:t>
      </w:r>
      <w:r>
        <w:t xml:space="preserve"> Cycle Assessment methodology</w:t>
      </w:r>
      <w:r>
        <w:tab/>
      </w:r>
      <w:r>
        <w:fldChar w:fldCharType="begin"/>
      </w:r>
      <w:r>
        <w:instrText xml:space="preserve"> PAGEREF _Toc16906 \h </w:instrText>
      </w:r>
      <w:r>
        <w:fldChar w:fldCharType="separate"/>
      </w:r>
      <w:r>
        <w:t>5</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_Toc5099 </w:instrText>
      </w:r>
      <w:r>
        <w:fldChar w:fldCharType="separate"/>
      </w:r>
      <w:r>
        <w:rPr>
          <w:lang w:bidi="zh-CN"/>
        </w:rPr>
        <w:t xml:space="preserve">3.1 </w:t>
      </w:r>
      <w:r>
        <w:rPr>
          <w:rFonts w:hint="eastAsia"/>
        </w:rPr>
        <w:t xml:space="preserve">建筑的全生命周期分析 </w:t>
      </w:r>
      <w:r>
        <w:t>About Life Cycle Assessment for Building</w:t>
      </w:r>
      <w:r>
        <w:tab/>
      </w:r>
      <w:r>
        <w:fldChar w:fldCharType="begin"/>
      </w:r>
      <w:r>
        <w:instrText xml:space="preserve"> PAGEREF _Toc5099 \h </w:instrText>
      </w:r>
      <w:r>
        <w:fldChar w:fldCharType="separate"/>
      </w:r>
      <w:r>
        <w:t>5</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_Toc5824 </w:instrText>
      </w:r>
      <w:r>
        <w:fldChar w:fldCharType="separate"/>
      </w:r>
      <w:r>
        <w:rPr>
          <w:lang w:bidi="zh-CN"/>
        </w:rPr>
        <w:t xml:space="preserve">3.2 </w:t>
      </w:r>
      <w:r>
        <w:t>执行标准</w:t>
      </w:r>
      <w:r>
        <w:rPr>
          <w:rFonts w:hint="eastAsia"/>
        </w:rPr>
        <w:t xml:space="preserve"> App</w:t>
      </w:r>
      <w:r>
        <w:t>licable Standards</w:t>
      </w:r>
      <w:r>
        <w:tab/>
      </w:r>
      <w:r>
        <w:fldChar w:fldCharType="begin"/>
      </w:r>
      <w:r>
        <w:instrText xml:space="preserve"> PAGEREF _Toc5824 \h </w:instrText>
      </w:r>
      <w:r>
        <w:fldChar w:fldCharType="separate"/>
      </w:r>
      <w:r>
        <w:t>5</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_Toc18631 </w:instrText>
      </w:r>
      <w:r>
        <w:fldChar w:fldCharType="separate"/>
      </w:r>
      <w:r>
        <w:rPr>
          <w:lang w:bidi="zh-CN"/>
        </w:rPr>
        <w:t xml:space="preserve">3.3 </w:t>
      </w:r>
      <w:r>
        <w:rPr>
          <w:rFonts w:hint="eastAsia"/>
        </w:rPr>
        <w:t xml:space="preserve">碳排放计算边界 </w:t>
      </w:r>
      <w:r>
        <w:t>System boundary</w:t>
      </w:r>
      <w:r>
        <w:tab/>
      </w:r>
      <w:r>
        <w:fldChar w:fldCharType="begin"/>
      </w:r>
      <w:r>
        <w:instrText xml:space="preserve"> PAGEREF _Toc18631 \h </w:instrText>
      </w:r>
      <w:r>
        <w:fldChar w:fldCharType="separate"/>
      </w:r>
      <w:r>
        <w:t>6</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_Toc22349 </w:instrText>
      </w:r>
      <w:r>
        <w:fldChar w:fldCharType="separate"/>
      </w:r>
      <w:r>
        <w:rPr>
          <w:lang w:bidi="zh-CN"/>
        </w:rPr>
        <w:t xml:space="preserve">3.4 </w:t>
      </w:r>
      <w:r>
        <w:rPr>
          <w:rFonts w:hint="eastAsia"/>
        </w:rPr>
        <w:t>影响因素 Impact categories</w:t>
      </w:r>
      <w:r>
        <w:tab/>
      </w:r>
      <w:r>
        <w:fldChar w:fldCharType="begin"/>
      </w:r>
      <w:r>
        <w:instrText xml:space="preserve"> PAGEREF _Toc22349 \h </w:instrText>
      </w:r>
      <w:r>
        <w:fldChar w:fldCharType="separate"/>
      </w:r>
      <w:r>
        <w:t>7</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_Toc349 </w:instrText>
      </w:r>
      <w:r>
        <w:fldChar w:fldCharType="separate"/>
      </w:r>
      <w:r>
        <w:rPr>
          <w:lang w:bidi="zh-CN"/>
        </w:rPr>
        <w:t xml:space="preserve">4 </w:t>
      </w:r>
      <w:r>
        <w:rPr>
          <w:rFonts w:hint="eastAsia"/>
        </w:rPr>
        <w:t>数据来源与取舍原则 Analysis data sources and cut-off principle</w:t>
      </w:r>
      <w:r>
        <w:tab/>
      </w:r>
      <w:r>
        <w:fldChar w:fldCharType="begin"/>
      </w:r>
      <w:r>
        <w:instrText xml:space="preserve"> PAGEREF _Toc349 \h </w:instrText>
      </w:r>
      <w:r>
        <w:fldChar w:fldCharType="separate"/>
      </w:r>
      <w:r>
        <w:t>7</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_Toc30711 </w:instrText>
      </w:r>
      <w:r>
        <w:fldChar w:fldCharType="separate"/>
      </w:r>
      <w:r>
        <w:rPr>
          <w:lang w:bidi="zh-CN"/>
        </w:rPr>
        <w:t xml:space="preserve">4.1 </w:t>
      </w:r>
      <w:r>
        <w:rPr>
          <w:rFonts w:hint="eastAsia"/>
        </w:rPr>
        <w:t>用量（活动）数据来源 Activity data sources</w:t>
      </w:r>
      <w:r>
        <w:tab/>
      </w:r>
      <w:r>
        <w:fldChar w:fldCharType="begin"/>
      </w:r>
      <w:r>
        <w:instrText xml:space="preserve"> PAGEREF _Toc30711 \h </w:instrText>
      </w:r>
      <w:r>
        <w:fldChar w:fldCharType="separate"/>
      </w:r>
      <w:r>
        <w:t>7</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_Toc5304 </w:instrText>
      </w:r>
      <w:r>
        <w:fldChar w:fldCharType="separate"/>
      </w:r>
      <w:r>
        <w:rPr>
          <w:lang w:bidi="zh-CN"/>
        </w:rPr>
        <w:t xml:space="preserve">4.2 </w:t>
      </w:r>
      <w:r>
        <w:rPr>
          <w:rFonts w:hint="eastAsia"/>
        </w:rPr>
        <w:t>排放数据来源 Emission factor data sources</w:t>
      </w:r>
      <w:r>
        <w:tab/>
      </w:r>
      <w:r>
        <w:fldChar w:fldCharType="begin"/>
      </w:r>
      <w:r>
        <w:instrText xml:space="preserve"> PAGEREF _Toc5304 \h </w:instrText>
      </w:r>
      <w:r>
        <w:fldChar w:fldCharType="separate"/>
      </w:r>
      <w:r>
        <w:t>8</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_Toc24567 </w:instrText>
      </w:r>
      <w:r>
        <w:fldChar w:fldCharType="separate"/>
      </w:r>
      <w:r>
        <w:rPr>
          <w:lang w:bidi="zh-CN"/>
        </w:rPr>
        <w:t xml:space="preserve">4.3 </w:t>
      </w:r>
      <w:r>
        <w:rPr>
          <w:rFonts w:hint="eastAsia"/>
        </w:rPr>
        <w:t>取舍原则 Cut-off</w:t>
      </w:r>
      <w:r>
        <w:tab/>
      </w:r>
      <w:r>
        <w:fldChar w:fldCharType="begin"/>
      </w:r>
      <w:r>
        <w:instrText xml:space="preserve"> PAGEREF _Toc24567 \h </w:instrText>
      </w:r>
      <w:r>
        <w:fldChar w:fldCharType="separate"/>
      </w:r>
      <w:r>
        <w:t>8</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_Toc28707 </w:instrText>
      </w:r>
      <w:r>
        <w:fldChar w:fldCharType="separate"/>
      </w:r>
      <w:r>
        <w:rPr>
          <w:lang w:bidi="zh-CN"/>
        </w:rPr>
        <w:t xml:space="preserve">5 </w:t>
      </w:r>
      <w:r>
        <w:rPr>
          <w:rFonts w:hint="eastAsia"/>
        </w:rPr>
        <w:t>全生命周期分析结果</w:t>
      </w:r>
      <w:r>
        <w:t>Life Cycle Assessment Results</w:t>
      </w:r>
      <w:r>
        <w:tab/>
      </w:r>
      <w:r>
        <w:fldChar w:fldCharType="begin"/>
      </w:r>
      <w:r>
        <w:instrText xml:space="preserve"> PAGEREF _Toc28707 \h </w:instrText>
      </w:r>
      <w:r>
        <w:fldChar w:fldCharType="separate"/>
      </w:r>
      <w:r>
        <w:t>8</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_Toc9881 </w:instrText>
      </w:r>
      <w:r>
        <w:fldChar w:fldCharType="separate"/>
      </w:r>
      <w:r>
        <w:rPr>
          <w:lang w:bidi="zh-CN"/>
        </w:rPr>
        <w:t xml:space="preserve">5.1 </w:t>
      </w:r>
      <w:r>
        <w:t>建材生产运输碳排放</w:t>
      </w:r>
      <w:r>
        <w:rPr>
          <w:rFonts w:hint="eastAsia"/>
        </w:rPr>
        <w:t xml:space="preserve"> </w:t>
      </w:r>
      <w:r>
        <w:t>Product and transport stage</w:t>
      </w:r>
      <w:r>
        <w:tab/>
      </w:r>
      <w:r>
        <w:fldChar w:fldCharType="begin"/>
      </w:r>
      <w:r>
        <w:instrText xml:space="preserve"> PAGEREF _Toc9881 \h </w:instrText>
      </w:r>
      <w:r>
        <w:fldChar w:fldCharType="separate"/>
      </w:r>
      <w:r>
        <w:t>8</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_Toc22584 </w:instrText>
      </w:r>
      <w:r>
        <w:fldChar w:fldCharType="separate"/>
      </w:r>
      <w:r>
        <w:rPr>
          <w:rFonts w:hint="eastAsia" w:eastAsia="宋体"/>
          <w:szCs w:val="24"/>
          <w:lang w:val="en-GB"/>
        </w:rPr>
        <w:t xml:space="preserve">5.1.1 </w:t>
      </w:r>
      <w:r>
        <w:t>建材生产阶段</w:t>
      </w:r>
      <w:r>
        <w:rPr>
          <w:rFonts w:hint="eastAsia"/>
        </w:rPr>
        <w:t xml:space="preserve"> </w:t>
      </w:r>
      <w:r>
        <w:t>Product stage</w:t>
      </w:r>
      <w:r>
        <w:tab/>
      </w:r>
      <w:r>
        <w:fldChar w:fldCharType="begin"/>
      </w:r>
      <w:r>
        <w:instrText xml:space="preserve"> PAGEREF _Toc22584 \h </w:instrText>
      </w:r>
      <w:r>
        <w:fldChar w:fldCharType="separate"/>
      </w:r>
      <w:r>
        <w:t>8</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_Toc26245 </w:instrText>
      </w:r>
      <w:r>
        <w:fldChar w:fldCharType="separate"/>
      </w:r>
      <w:r>
        <w:rPr>
          <w:rFonts w:hint="eastAsia" w:eastAsia="宋体"/>
          <w:szCs w:val="24"/>
          <w:lang w:val="en-GB"/>
        </w:rPr>
        <w:t xml:space="preserve">5.1.2 </w:t>
      </w:r>
      <w:r>
        <w:t>建材运输阶段</w:t>
      </w:r>
      <w:r>
        <w:rPr>
          <w:rFonts w:hint="eastAsia"/>
        </w:rPr>
        <w:t xml:space="preserve"> </w:t>
      </w:r>
      <w:r>
        <w:t>Transport stage</w:t>
      </w:r>
      <w:r>
        <w:tab/>
      </w:r>
      <w:r>
        <w:fldChar w:fldCharType="begin"/>
      </w:r>
      <w:r>
        <w:instrText xml:space="preserve"> PAGEREF _Toc26245 \h </w:instrText>
      </w:r>
      <w:r>
        <w:fldChar w:fldCharType="separate"/>
      </w:r>
      <w:r>
        <w:t>9</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_Toc11158 </w:instrText>
      </w:r>
      <w:r>
        <w:fldChar w:fldCharType="separate"/>
      </w:r>
      <w:r>
        <w:rPr>
          <w:lang w:bidi="zh-CN"/>
        </w:rPr>
        <w:t xml:space="preserve">5.2 </w:t>
      </w:r>
      <w:r>
        <w:t>建造</w:t>
      </w:r>
      <w:r>
        <w:rPr>
          <w:rFonts w:hint="eastAsia"/>
        </w:rPr>
        <w:t>阶段</w:t>
      </w:r>
      <w:r>
        <w:t>Construction process stage</w:t>
      </w:r>
      <w:r>
        <w:tab/>
      </w:r>
      <w:r>
        <w:fldChar w:fldCharType="begin"/>
      </w:r>
      <w:r>
        <w:instrText xml:space="preserve"> PAGEREF _Toc11158 \h </w:instrText>
      </w:r>
      <w:r>
        <w:fldChar w:fldCharType="separate"/>
      </w:r>
      <w:r>
        <w:t>9</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_Toc16424 </w:instrText>
      </w:r>
      <w:r>
        <w:fldChar w:fldCharType="separate"/>
      </w:r>
      <w:r>
        <w:rPr>
          <w:lang w:bidi="zh-CN"/>
        </w:rPr>
        <w:t xml:space="preserve">5.3 </w:t>
      </w:r>
      <w:r>
        <w:t>建筑运行</w:t>
      </w:r>
      <w:r>
        <w:rPr>
          <w:rFonts w:hint="eastAsia"/>
        </w:rPr>
        <w:t>使用阶段Use</w:t>
      </w:r>
      <w:r>
        <w:t xml:space="preserve"> stage</w:t>
      </w:r>
      <w:r>
        <w:tab/>
      </w:r>
      <w:r>
        <w:fldChar w:fldCharType="begin"/>
      </w:r>
      <w:r>
        <w:instrText xml:space="preserve"> PAGEREF _Toc16424 \h </w:instrText>
      </w:r>
      <w:r>
        <w:fldChar w:fldCharType="separate"/>
      </w:r>
      <w:r>
        <w:t>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_Toc31764 </w:instrText>
      </w:r>
      <w:r>
        <w:fldChar w:fldCharType="separate"/>
      </w:r>
      <w:r>
        <w:rPr>
          <w:rFonts w:hint="eastAsia" w:eastAsia="宋体"/>
          <w:szCs w:val="24"/>
          <w:lang w:val="en-GB"/>
        </w:rPr>
        <w:t xml:space="preserve">5.3.1 </w:t>
      </w:r>
      <w:r>
        <w:rPr>
          <w:rFonts w:hint="eastAsia"/>
        </w:rPr>
        <w:t>建筑运行阶段能源使用 Operational energy use</w:t>
      </w:r>
      <w:r>
        <w:tab/>
      </w:r>
      <w:r>
        <w:fldChar w:fldCharType="begin"/>
      </w:r>
      <w:r>
        <w:instrText xml:space="preserve"> PAGEREF _Toc31764 \h </w:instrText>
      </w:r>
      <w:r>
        <w:fldChar w:fldCharType="separate"/>
      </w:r>
      <w:r>
        <w:t>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_Toc11415 </w:instrText>
      </w:r>
      <w:r>
        <w:fldChar w:fldCharType="separate"/>
      </w:r>
      <w:r>
        <w:rPr>
          <w:rFonts w:hint="eastAsia" w:eastAsia="宋体"/>
          <w:szCs w:val="24"/>
          <w:lang w:val="en-GB"/>
        </w:rPr>
        <w:t xml:space="preserve">5.3.2 </w:t>
      </w:r>
      <w:r>
        <w:rPr>
          <w:rFonts w:hint="eastAsia"/>
          <w:iCs/>
          <w:szCs w:val="24"/>
        </w:rPr>
        <w:t>建筑维护</w:t>
      </w:r>
      <w:r>
        <w:rPr>
          <w:rFonts w:ascii="微软雅黑" w:cs="微软雅黑"/>
        </w:rPr>
        <w:t xml:space="preserve"> </w:t>
      </w:r>
      <w:r>
        <w:t>Building maintenance</w:t>
      </w:r>
      <w:r>
        <w:tab/>
      </w:r>
      <w:r>
        <w:fldChar w:fldCharType="begin"/>
      </w:r>
      <w:r>
        <w:instrText xml:space="preserve"> PAGEREF _Toc11415 \h </w:instrText>
      </w:r>
      <w:r>
        <w:fldChar w:fldCharType="separate"/>
      </w:r>
      <w:r>
        <w:t>11</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_Toc15013 </w:instrText>
      </w:r>
      <w:r>
        <w:fldChar w:fldCharType="separate"/>
      </w:r>
      <w:r>
        <w:rPr>
          <w:rFonts w:hint="eastAsia" w:eastAsia="宋体"/>
          <w:szCs w:val="24"/>
          <w:lang w:val="en-GB"/>
        </w:rPr>
        <w:t xml:space="preserve">5.3.3 </w:t>
      </w:r>
      <w:r>
        <w:t xml:space="preserve">建筑碳汇 Carbon sink of </w:t>
      </w:r>
      <w:r>
        <w:rPr>
          <w:rFonts w:hint="eastAsia"/>
        </w:rPr>
        <w:t>life</w:t>
      </w:r>
      <w:r>
        <w:t xml:space="preserve"> stage</w:t>
      </w:r>
      <w:r>
        <w:tab/>
      </w:r>
      <w:r>
        <w:fldChar w:fldCharType="begin"/>
      </w:r>
      <w:r>
        <w:instrText xml:space="preserve"> PAGEREF _Toc15013 \h </w:instrText>
      </w:r>
      <w:r>
        <w:fldChar w:fldCharType="separate"/>
      </w:r>
      <w:r>
        <w:t>11</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_Toc3176 </w:instrText>
      </w:r>
      <w:r>
        <w:fldChar w:fldCharType="separate"/>
      </w:r>
      <w:r>
        <w:rPr>
          <w:rFonts w:hint="eastAsia"/>
          <w:lang w:bidi="zh-CN"/>
        </w:rPr>
        <w:t xml:space="preserve">5.4 </w:t>
      </w:r>
      <w:r>
        <w:rPr>
          <w:rFonts w:hint="eastAsia"/>
        </w:rPr>
        <w:t>报废阶段 End of life stage</w:t>
      </w:r>
      <w:r>
        <w:tab/>
      </w:r>
      <w:r>
        <w:fldChar w:fldCharType="begin"/>
      </w:r>
      <w:r>
        <w:instrText xml:space="preserve"> PAGEREF _Toc3176 \h </w:instrText>
      </w:r>
      <w:r>
        <w:fldChar w:fldCharType="separate"/>
      </w:r>
      <w:r>
        <w:t>12</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_Toc21323 </w:instrText>
      </w:r>
      <w:r>
        <w:fldChar w:fldCharType="separate"/>
      </w:r>
      <w:r>
        <w:rPr>
          <w:rFonts w:hint="eastAsia" w:eastAsia="宋体"/>
          <w:szCs w:val="24"/>
          <w:lang w:val="en-GB"/>
        </w:rPr>
        <w:t xml:space="preserve">5.4.1 </w:t>
      </w:r>
      <w:r>
        <w:rPr>
          <w:rFonts w:hint="eastAsia"/>
        </w:rPr>
        <w:t>建材回收阶段</w:t>
      </w:r>
      <w:r>
        <w:tab/>
      </w:r>
      <w:r>
        <w:fldChar w:fldCharType="begin"/>
      </w:r>
      <w:r>
        <w:instrText xml:space="preserve"> PAGEREF _Toc21323 \h </w:instrText>
      </w:r>
      <w:r>
        <w:fldChar w:fldCharType="separate"/>
      </w:r>
      <w:r>
        <w:t>12</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_Toc31303 </w:instrText>
      </w:r>
      <w:r>
        <w:fldChar w:fldCharType="separate"/>
      </w:r>
      <w:r>
        <w:rPr>
          <w:rFonts w:hint="eastAsia" w:eastAsia="宋体"/>
          <w:szCs w:val="24"/>
          <w:lang w:val="en-GB"/>
        </w:rPr>
        <w:t xml:space="preserve">5.4.2 </w:t>
      </w:r>
      <w:r>
        <w:t>建筑拆除阶段</w:t>
      </w:r>
      <w:r>
        <w:tab/>
      </w:r>
      <w:r>
        <w:fldChar w:fldCharType="begin"/>
      </w:r>
      <w:r>
        <w:instrText xml:space="preserve"> PAGEREF _Toc31303 \h </w:instrText>
      </w:r>
      <w:r>
        <w:fldChar w:fldCharType="separate"/>
      </w:r>
      <w:r>
        <w:t>12</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_Toc16852 </w:instrText>
      </w:r>
      <w:r>
        <w:fldChar w:fldCharType="separate"/>
      </w:r>
      <w:r>
        <w:rPr>
          <w:lang w:bidi="zh-CN"/>
        </w:rPr>
        <w:t xml:space="preserve">5.5 </w:t>
      </w:r>
      <w:r>
        <w:rPr>
          <w:rFonts w:hint="eastAsia"/>
        </w:rPr>
        <w:t>结果汇总</w:t>
      </w:r>
      <w:r>
        <w:t>Results summary</w:t>
      </w:r>
      <w:r>
        <w:tab/>
      </w:r>
      <w:r>
        <w:fldChar w:fldCharType="begin"/>
      </w:r>
      <w:r>
        <w:instrText xml:space="preserve"> PAGEREF _Toc16852 \h </w:instrText>
      </w:r>
      <w:r>
        <w:fldChar w:fldCharType="separate"/>
      </w:r>
      <w:r>
        <w:t>12</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_Toc26460 </w:instrText>
      </w:r>
      <w:r>
        <w:fldChar w:fldCharType="separate"/>
      </w:r>
      <w:r>
        <w:rPr>
          <w:rFonts w:hint="eastAsia" w:eastAsia="宋体"/>
          <w:szCs w:val="24"/>
          <w:lang w:val="en-GB"/>
        </w:rPr>
        <w:t xml:space="preserve">5.5.1 </w:t>
      </w:r>
      <w:r>
        <w:t>单位面积指标</w:t>
      </w:r>
      <w:r>
        <w:tab/>
      </w:r>
      <w:r>
        <w:fldChar w:fldCharType="begin"/>
      </w:r>
      <w:r>
        <w:instrText xml:space="preserve"> PAGEREF _Toc26460 \h </w:instrText>
      </w:r>
      <w:r>
        <w:fldChar w:fldCharType="separate"/>
      </w:r>
      <w:r>
        <w:t>12</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_Toc11563 </w:instrText>
      </w:r>
      <w:r>
        <w:fldChar w:fldCharType="separate"/>
      </w:r>
      <w:r>
        <w:rPr>
          <w:rFonts w:hint="eastAsia" w:eastAsia="宋体"/>
          <w:szCs w:val="24"/>
          <w:lang w:val="en-GB"/>
        </w:rPr>
        <w:t xml:space="preserve">5.5.2 </w:t>
      </w:r>
      <w:r>
        <w:t>总碳排放量</w:t>
      </w:r>
      <w:r>
        <w:tab/>
      </w:r>
      <w:r>
        <w:fldChar w:fldCharType="begin"/>
      </w:r>
      <w:r>
        <w:instrText xml:space="preserve"> PAGEREF _Toc11563 \h </w:instrText>
      </w:r>
      <w:r>
        <w:fldChar w:fldCharType="separate"/>
      </w:r>
      <w:r>
        <w:t>12</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_Toc30650 </w:instrText>
      </w:r>
      <w:r>
        <w:fldChar w:fldCharType="separate"/>
      </w:r>
      <w:r>
        <w:rPr>
          <w:lang w:bidi="zh-CN"/>
        </w:rPr>
        <w:t xml:space="preserve">6 </w:t>
      </w:r>
      <w:r>
        <w:rPr>
          <w:rFonts w:hint="eastAsia"/>
        </w:rPr>
        <w:t>总结和建议 Summary and</w:t>
      </w:r>
      <w:r>
        <w:t xml:space="preserve"> recommendations</w:t>
      </w:r>
      <w:r>
        <w:tab/>
      </w:r>
      <w:r>
        <w:fldChar w:fldCharType="begin"/>
      </w:r>
      <w:r>
        <w:instrText xml:space="preserve"> PAGEREF _Toc30650 \h </w:instrText>
      </w:r>
      <w:r>
        <w:fldChar w:fldCharType="separate"/>
      </w:r>
      <w:r>
        <w:t>13</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_Toc18053 </w:instrText>
      </w:r>
      <w:r>
        <w:fldChar w:fldCharType="separate"/>
      </w:r>
      <w:r>
        <w:rPr>
          <w:lang w:bidi="zh-CN"/>
        </w:rPr>
        <w:t xml:space="preserve">6.1 </w:t>
      </w:r>
      <w:r>
        <w:rPr>
          <w:rFonts w:hint="eastAsia"/>
        </w:rPr>
        <w:t xml:space="preserve">分析结果的总结与解释 </w:t>
      </w:r>
      <w:r>
        <w:t>Summary and interpretation of the result</w:t>
      </w:r>
      <w:r>
        <w:tab/>
      </w:r>
      <w:r>
        <w:fldChar w:fldCharType="begin"/>
      </w:r>
      <w:r>
        <w:instrText xml:space="preserve"> PAGEREF _Toc18053 \h </w:instrText>
      </w:r>
      <w:r>
        <w:fldChar w:fldCharType="separate"/>
      </w:r>
      <w:r>
        <w:t>13</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_Toc1904 </w:instrText>
      </w:r>
      <w:r>
        <w:fldChar w:fldCharType="separate"/>
      </w:r>
      <w:r>
        <w:t xml:space="preserve">1) </w:t>
      </w:r>
      <w:r>
        <w:rPr>
          <w:rFonts w:hint="eastAsia"/>
        </w:rPr>
        <w:t>完整性说明</w:t>
      </w:r>
      <w:r>
        <w:tab/>
      </w:r>
      <w:r>
        <w:fldChar w:fldCharType="begin"/>
      </w:r>
      <w:r>
        <w:instrText xml:space="preserve"> PAGEREF _Toc1904 \h </w:instrText>
      </w:r>
      <w:r>
        <w:fldChar w:fldCharType="separate"/>
      </w:r>
      <w:r>
        <w:t>13</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_Toc21176 </w:instrText>
      </w:r>
      <w:r>
        <w:fldChar w:fldCharType="separate"/>
      </w:r>
      <w:r>
        <w:t>2) 数据质量评估</w:t>
      </w:r>
      <w:r>
        <w:tab/>
      </w:r>
      <w:r>
        <w:fldChar w:fldCharType="begin"/>
      </w:r>
      <w:r>
        <w:instrText xml:space="preserve"> PAGEREF _Toc21176 \h </w:instrText>
      </w:r>
      <w:r>
        <w:fldChar w:fldCharType="separate"/>
      </w:r>
      <w:r>
        <w:t>13</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_Toc17652 </w:instrText>
      </w:r>
      <w:r>
        <w:fldChar w:fldCharType="separate"/>
      </w:r>
      <w:r>
        <w:rPr>
          <w:lang w:bidi="zh-CN"/>
        </w:rPr>
        <w:t xml:space="preserve">6.2 </w:t>
      </w:r>
      <w:r>
        <w:rPr>
          <w:rFonts w:hint="eastAsia"/>
        </w:rPr>
        <w:t xml:space="preserve">结果应用 </w:t>
      </w:r>
      <w:r>
        <w:t>Application of the LCA analysis</w:t>
      </w:r>
      <w:r>
        <w:tab/>
      </w:r>
      <w:r>
        <w:fldChar w:fldCharType="begin"/>
      </w:r>
      <w:r>
        <w:instrText xml:space="preserve"> PAGEREF _Toc17652 \h </w:instrText>
      </w:r>
      <w:r>
        <w:fldChar w:fldCharType="separate"/>
      </w:r>
      <w:r>
        <w:t>13</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_Toc14198 </w:instrText>
      </w:r>
      <w:r>
        <w:fldChar w:fldCharType="separate"/>
      </w:r>
      <w:r>
        <w:rPr>
          <w:lang w:bidi="zh-CN"/>
        </w:rPr>
        <w:t xml:space="preserve">6.3 </w:t>
      </w:r>
      <w:r>
        <w:rPr>
          <w:rFonts w:hint="eastAsia"/>
        </w:rPr>
        <w:t>改进建议</w:t>
      </w:r>
      <w:r>
        <w:tab/>
      </w:r>
      <w:r>
        <w:fldChar w:fldCharType="begin"/>
      </w:r>
      <w:r>
        <w:instrText xml:space="preserve"> PAGEREF _Toc14198 \h </w:instrText>
      </w:r>
      <w:r>
        <w:fldChar w:fldCharType="separate"/>
      </w:r>
      <w:r>
        <w:t>13</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_Toc29688 </w:instrText>
      </w:r>
      <w:r>
        <w:fldChar w:fldCharType="separate"/>
      </w:r>
      <w:r>
        <w:rPr>
          <w:lang w:bidi="zh-CN"/>
        </w:rPr>
        <w:t xml:space="preserve">7 </w:t>
      </w:r>
      <w:r>
        <w:rPr>
          <w:rFonts w:hint="eastAsia"/>
        </w:rPr>
        <w:t>附录</w:t>
      </w:r>
      <w:r>
        <w:tab/>
      </w:r>
      <w:r>
        <w:fldChar w:fldCharType="begin"/>
      </w:r>
      <w:r>
        <w:instrText xml:space="preserve"> PAGEREF _Toc29688 \h </w:instrText>
      </w:r>
      <w:r>
        <w:fldChar w:fldCharType="separate"/>
      </w:r>
      <w:r>
        <w:t>14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_Toc29517 </w:instrText>
      </w:r>
      <w:r>
        <w:fldChar w:fldCharType="separate"/>
      </w:r>
      <w:r>
        <w:rPr>
          <w:rFonts w:hint="eastAsia"/>
          <w:lang w:val="en-US" w:bidi="zh-CN"/>
        </w:rPr>
        <w:t xml:space="preserve">7.1 </w:t>
      </w:r>
      <w:r>
        <w:rPr>
          <w:rFonts w:hint="eastAsia"/>
          <w:lang w:val="en-US"/>
        </w:rPr>
        <w:t>围护结构概况</w:t>
      </w:r>
      <w:r>
        <w:tab/>
      </w:r>
      <w:r>
        <w:fldChar w:fldCharType="begin"/>
      </w:r>
      <w:r>
        <w:instrText xml:space="preserve"> PAGEREF _Toc29517 \h </w:instrText>
      </w:r>
      <w:r>
        <w:fldChar w:fldCharType="separate"/>
      </w:r>
      <w:r>
        <w:t>14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_Toc17393 </w:instrText>
      </w:r>
      <w:r>
        <w:fldChar w:fldCharType="separate"/>
      </w:r>
      <w:r>
        <w:rPr>
          <w:rFonts w:hint="eastAsia"/>
          <w:lang w:val="en-US" w:bidi="zh-CN"/>
        </w:rPr>
        <w:t xml:space="preserve">7.2 </w:t>
      </w:r>
      <w:r>
        <w:rPr>
          <w:rFonts w:hint="eastAsia"/>
          <w:lang w:val="en-US"/>
        </w:rPr>
        <w:t>房间类型</w:t>
      </w:r>
      <w:r>
        <w:tab/>
      </w:r>
      <w:r>
        <w:fldChar w:fldCharType="begin"/>
      </w:r>
      <w:r>
        <w:instrText xml:space="preserve"> PAGEREF _Toc17393 \h </w:instrText>
      </w:r>
      <w:r>
        <w:fldChar w:fldCharType="separate"/>
      </w:r>
      <w:r>
        <w:t>14</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_Toc24204 </w:instrText>
      </w:r>
      <w:r>
        <w:fldChar w:fldCharType="separate"/>
      </w:r>
      <w:r>
        <w:rPr>
          <w:rFonts w:hint="eastAsia" w:eastAsia="宋体"/>
          <w:szCs w:val="24"/>
          <w:lang w:val="en-GB"/>
        </w:rPr>
        <w:t xml:space="preserve">7.2.1 </w:t>
      </w:r>
      <w:r>
        <w:rPr>
          <w:rFonts w:hint="eastAsia"/>
          <w:lang w:val="en-US"/>
        </w:rPr>
        <w:t>房间参数表</w:t>
      </w:r>
      <w:r>
        <w:tab/>
      </w:r>
      <w:r>
        <w:fldChar w:fldCharType="begin"/>
      </w:r>
      <w:r>
        <w:instrText xml:space="preserve"> PAGEREF _Toc24204 \h </w:instrText>
      </w:r>
      <w:r>
        <w:fldChar w:fldCharType="separate"/>
      </w:r>
      <w:r>
        <w:t>14</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_Toc16345 </w:instrText>
      </w:r>
      <w:r>
        <w:fldChar w:fldCharType="separate"/>
      </w:r>
      <w:r>
        <w:rPr>
          <w:rFonts w:hint="eastAsia" w:eastAsia="宋体"/>
          <w:szCs w:val="24"/>
          <w:lang w:val="en-GB"/>
        </w:rPr>
        <w:t xml:space="preserve">7.2.2 </w:t>
      </w:r>
      <w:r>
        <w:rPr>
          <w:rFonts w:hint="eastAsia"/>
          <w:lang w:val="en-US"/>
        </w:rPr>
        <w:t>作息时间表</w:t>
      </w:r>
      <w:r>
        <w:tab/>
      </w:r>
      <w:r>
        <w:fldChar w:fldCharType="begin"/>
      </w:r>
      <w:r>
        <w:instrText xml:space="preserve"> PAGEREF _Toc16345 \h </w:instrText>
      </w:r>
      <w:r>
        <w:fldChar w:fldCharType="separate"/>
      </w:r>
      <w:r>
        <w:t>14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_Toc17542 </w:instrText>
      </w:r>
      <w:r>
        <w:fldChar w:fldCharType="separate"/>
      </w:r>
      <w:r>
        <w:rPr>
          <w:rFonts w:hint="eastAsia"/>
          <w:lang w:val="en-US" w:bidi="zh-CN"/>
        </w:rPr>
        <w:t xml:space="preserve">7.3 </w:t>
      </w:r>
      <w:r>
        <w:rPr>
          <w:rFonts w:hint="eastAsia"/>
          <w:lang w:val="en-US"/>
        </w:rPr>
        <w:t>暖通空调系统</w:t>
      </w:r>
      <w:r>
        <w:tab/>
      </w:r>
      <w:r>
        <w:fldChar w:fldCharType="begin"/>
      </w:r>
      <w:r>
        <w:instrText xml:space="preserve"> PAGEREF _Toc17542 \h </w:instrText>
      </w:r>
      <w:r>
        <w:fldChar w:fldCharType="separate"/>
      </w:r>
      <w:r>
        <w:t>15</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_Toc18673 </w:instrText>
      </w:r>
      <w:r>
        <w:fldChar w:fldCharType="separate"/>
      </w:r>
      <w:r>
        <w:rPr>
          <w:rFonts w:hint="eastAsia" w:eastAsia="宋体"/>
          <w:szCs w:val="24"/>
          <w:lang w:val="en-GB"/>
        </w:rPr>
        <w:t xml:space="preserve">7.3.1 </w:t>
      </w:r>
      <w:r>
        <w:rPr>
          <w:rFonts w:hint="eastAsia"/>
          <w:lang w:val="en-US"/>
        </w:rPr>
        <w:t>系统类型</w:t>
      </w:r>
      <w:r>
        <w:tab/>
      </w:r>
      <w:r>
        <w:fldChar w:fldCharType="begin"/>
      </w:r>
      <w:r>
        <w:instrText xml:space="preserve"> PAGEREF _Toc18673 \h </w:instrText>
      </w:r>
      <w:r>
        <w:fldChar w:fldCharType="separate"/>
      </w:r>
      <w:r>
        <w:t>15</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_Toc8143 </w:instrText>
      </w:r>
      <w:r>
        <w:fldChar w:fldCharType="separate"/>
      </w:r>
      <w:r>
        <w:rPr>
          <w:rFonts w:hint="eastAsia" w:eastAsia="宋体"/>
          <w:szCs w:val="24"/>
          <w:lang w:val="en-GB"/>
        </w:rPr>
        <w:t xml:space="preserve">7.3.2 </w:t>
      </w:r>
      <w:r>
        <w:rPr>
          <w:rFonts w:hint="eastAsia"/>
          <w:lang w:val="en-US"/>
        </w:rPr>
        <w:t>供暖系统</w:t>
      </w:r>
      <w:r>
        <w:tab/>
      </w:r>
      <w:r>
        <w:fldChar w:fldCharType="begin"/>
      </w:r>
      <w:r>
        <w:instrText xml:space="preserve"> PAGEREF _Toc8143 \h </w:instrText>
      </w:r>
      <w:r>
        <w:fldChar w:fldCharType="separate"/>
      </w:r>
      <w:r>
        <w:t>15</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_Toc23686 </w:instrText>
      </w:r>
      <w:r>
        <w:fldChar w:fldCharType="separate"/>
      </w:r>
      <w:r>
        <w:rPr>
          <w:rFonts w:hint="eastAsia" w:eastAsia="宋体"/>
          <w:szCs w:val="24"/>
          <w:lang w:val="en-GB"/>
        </w:rPr>
        <w:t xml:space="preserve">7.3.3 </w:t>
      </w:r>
      <w:r>
        <w:rPr>
          <w:rFonts w:hint="eastAsia"/>
          <w:lang w:val="en-US"/>
        </w:rPr>
        <w:t>空调风机</w:t>
      </w:r>
      <w:r>
        <w:tab/>
      </w:r>
      <w:r>
        <w:fldChar w:fldCharType="begin"/>
      </w:r>
      <w:r>
        <w:instrText xml:space="preserve"> PAGEREF _Toc23686 \h </w:instrText>
      </w:r>
      <w:r>
        <w:fldChar w:fldCharType="separate"/>
      </w:r>
      <w:r>
        <w:t>16</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_Toc22876 </w:instrText>
      </w:r>
      <w:r>
        <w:fldChar w:fldCharType="separate"/>
      </w:r>
      <w:r>
        <w:rPr>
          <w:rFonts w:hint="eastAsia"/>
          <w:lang w:val="en-US" w:bidi="zh-CN"/>
        </w:rPr>
        <w:t xml:space="preserve">7.4 </w:t>
      </w:r>
      <w:r>
        <w:rPr>
          <w:rFonts w:hint="eastAsia"/>
          <w:lang w:val="en-US"/>
        </w:rPr>
        <w:t>照明</w:t>
      </w:r>
      <w:r>
        <w:tab/>
      </w:r>
      <w:r>
        <w:fldChar w:fldCharType="begin"/>
      </w:r>
      <w:r>
        <w:instrText xml:space="preserve"> PAGEREF _Toc22876 \h </w:instrText>
      </w:r>
      <w:r>
        <w:fldChar w:fldCharType="separate"/>
      </w:r>
      <w:r>
        <w:t>16</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_Toc9491 </w:instrText>
      </w:r>
      <w:r>
        <w:fldChar w:fldCharType="separate"/>
      </w:r>
      <w:r>
        <w:rPr>
          <w:rFonts w:hint="eastAsia"/>
          <w:lang w:val="en-US" w:bidi="zh-CN"/>
        </w:rPr>
        <w:t xml:space="preserve">7.5 </w:t>
      </w:r>
      <w:r>
        <w:rPr>
          <w:rFonts w:hint="eastAsia"/>
          <w:lang w:val="en-US"/>
        </w:rPr>
        <w:t>插座设备</w:t>
      </w:r>
      <w:r>
        <w:tab/>
      </w:r>
      <w:r>
        <w:fldChar w:fldCharType="begin"/>
      </w:r>
      <w:r>
        <w:instrText xml:space="preserve"> PAGEREF _Toc9491 \h </w:instrText>
      </w:r>
      <w:r>
        <w:fldChar w:fldCharType="separate"/>
      </w:r>
      <w:r>
        <w:t>16</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_Toc10677 </w:instrText>
      </w:r>
      <w:r>
        <w:fldChar w:fldCharType="separate"/>
      </w:r>
      <w:r>
        <w:rPr>
          <w:rFonts w:hint="eastAsia"/>
          <w:lang w:val="en-US" w:bidi="zh-CN"/>
        </w:rPr>
        <w:t xml:space="preserve">7.6 </w:t>
      </w:r>
      <w:r>
        <w:rPr>
          <w:rFonts w:hint="eastAsia"/>
          <w:lang w:val="en-US"/>
        </w:rPr>
        <w:t>炊事</w:t>
      </w:r>
      <w:r>
        <w:tab/>
      </w:r>
      <w:r>
        <w:fldChar w:fldCharType="begin"/>
      </w:r>
      <w:r>
        <w:instrText xml:space="preserve"> PAGEREF _Toc10677 \h </w:instrText>
      </w:r>
      <w:r>
        <w:fldChar w:fldCharType="separate"/>
      </w:r>
      <w:r>
        <w:t>17</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_Toc6447 </w:instrText>
      </w:r>
      <w:r>
        <w:fldChar w:fldCharType="separate"/>
      </w:r>
      <w:r>
        <w:rPr>
          <w:rFonts w:hint="eastAsia"/>
          <w:lang w:val="en-US" w:bidi="zh-CN"/>
        </w:rPr>
        <w:t xml:space="preserve">7.7 </w:t>
      </w:r>
      <w:r>
        <w:rPr>
          <w:rFonts w:hint="eastAsia"/>
          <w:lang w:val="en-US"/>
        </w:rPr>
        <w:t>时间表</w:t>
      </w:r>
      <w:r>
        <w:tab/>
      </w:r>
      <w:r>
        <w:fldChar w:fldCharType="begin"/>
      </w:r>
      <w:r>
        <w:instrText xml:space="preserve"> PAGEREF _Toc6447 \h </w:instrText>
      </w:r>
      <w:r>
        <w:fldChar w:fldCharType="separate"/>
      </w:r>
      <w:r>
        <w:t>18</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_Toc29842 </w:instrText>
      </w:r>
      <w:r>
        <w:fldChar w:fldCharType="separate"/>
      </w:r>
      <w:r>
        <w:rPr>
          <w:rFonts w:hint="eastAsia" w:eastAsia="宋体"/>
          <w:szCs w:val="24"/>
          <w:lang w:val="en-GB"/>
        </w:rPr>
        <w:t xml:space="preserve">7.7.1 </w:t>
      </w:r>
      <w:r>
        <w:t>工作日/节假日人员逐时在室率(%)</w:t>
      </w:r>
      <w:r>
        <w:tab/>
      </w:r>
      <w:r>
        <w:fldChar w:fldCharType="begin"/>
      </w:r>
      <w:r>
        <w:instrText xml:space="preserve"> PAGEREF _Toc29842 \h </w:instrText>
      </w:r>
      <w:r>
        <w:fldChar w:fldCharType="separate"/>
      </w:r>
      <w:r>
        <w:t>18</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_Toc16165 </w:instrText>
      </w:r>
      <w:r>
        <w:fldChar w:fldCharType="separate"/>
      </w:r>
      <w:r>
        <w:rPr>
          <w:rFonts w:hint="eastAsia" w:eastAsia="宋体"/>
          <w:szCs w:val="24"/>
          <w:lang w:val="en-GB"/>
        </w:rPr>
        <w:t xml:space="preserve">7.7.2 </w:t>
      </w:r>
      <w:r>
        <w:t>工作日/节假日照明开关时间表(%)</w:t>
      </w:r>
      <w:r>
        <w:tab/>
      </w:r>
      <w:r>
        <w:fldChar w:fldCharType="begin"/>
      </w:r>
      <w:r>
        <w:instrText xml:space="preserve"> PAGEREF _Toc16165 \h </w:instrText>
      </w:r>
      <w:r>
        <w:fldChar w:fldCharType="separate"/>
      </w:r>
      <w:r>
        <w:t>18</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_Toc31395 </w:instrText>
      </w:r>
      <w:r>
        <w:fldChar w:fldCharType="separate"/>
      </w:r>
      <w:r>
        <w:rPr>
          <w:rFonts w:hint="eastAsia" w:eastAsia="宋体"/>
          <w:szCs w:val="24"/>
          <w:lang w:val="en-GB"/>
        </w:rPr>
        <w:t xml:space="preserve">7.7.3 </w:t>
      </w:r>
      <w:r>
        <w:t>工作日/节假日设备逐时使用率(%)</w:t>
      </w:r>
      <w:r>
        <w:tab/>
      </w:r>
      <w:r>
        <w:fldChar w:fldCharType="begin"/>
      </w:r>
      <w:r>
        <w:instrText xml:space="preserve"> PAGEREF _Toc31395 \h </w:instrText>
      </w:r>
      <w:r>
        <w:fldChar w:fldCharType="separate"/>
      </w:r>
      <w:r>
        <w:t>19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_Toc8757 </w:instrText>
      </w:r>
      <w:r>
        <w:fldChar w:fldCharType="separate"/>
      </w:r>
      <w:r>
        <w:rPr>
          <w:rFonts w:hint="eastAsia" w:eastAsia="宋体"/>
          <w:szCs w:val="24"/>
          <w:lang w:val="en-GB"/>
        </w:rPr>
        <w:t xml:space="preserve">7.7.4 </w:t>
      </w:r>
      <w:r>
        <w:t>工作日/节假日空调系统运行时间表(1:开,0:关)</w:t>
      </w:r>
      <w:r>
        <w:tab/>
      </w:r>
      <w:r>
        <w:fldChar w:fldCharType="begin"/>
      </w:r>
      <w:r>
        <w:instrText xml:space="preserve"> PAGEREF _Toc8757 \h </w:instrText>
      </w:r>
      <w:r>
        <w:fldChar w:fldCharType="separate"/>
      </w:r>
      <w:r>
        <w:t>20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_Toc23121 </w:instrText>
      </w:r>
      <w:r>
        <w:fldChar w:fldCharType="separate"/>
      </w:r>
      <w:r>
        <w:rPr>
          <w:rFonts w:hint="eastAsia" w:eastAsia="宋体"/>
          <w:szCs w:val="24"/>
          <w:lang w:val="en-GB"/>
        </w:rPr>
        <w:t xml:space="preserve">7.7.5 </w:t>
      </w:r>
      <w:r>
        <w:t>工作日/节假日新风运行时间表(%)</w:t>
      </w:r>
      <w:r>
        <w:tab/>
      </w:r>
      <w:r>
        <w:fldChar w:fldCharType="begin"/>
      </w:r>
      <w:r>
        <w:instrText xml:space="preserve"> PAGEREF _Toc23121 \h </w:instrText>
      </w:r>
      <w:r>
        <w:fldChar w:fldCharType="separate"/>
      </w:r>
      <w:r>
        <w:t>20</w:t>
      </w:r>
      <w:r>
        <w:fldChar w:fldCharType="end"/>
      </w:r>
      <w:r>
        <w:fldChar w:fldCharType="end"/>
      </w:r>
    </w:p>
    <w:p>
      <w:pPr>
        <w:pStyle w:val="17"/>
        <w:ind w:firstLine="422"/>
        <w:sectPr>
          <w:headerReference r:id="rId5" w:type="first"/>
          <w:footerReference r:id="rId8" w:type="first"/>
          <w:headerReference r:id="rId3" w:type="default"/>
          <w:footerReference r:id="rId6" w:type="default"/>
          <w:headerReference r:id="rId4" w:type="even"/>
          <w:footerReference r:id="rId7" w:type="even"/>
          <w:pgSz w:w="11906" w:h="16838"/>
          <w:pgMar w:top="0" w:right="1418" w:bottom="1440" w:left="1418" w:header="9" w:footer="992" w:gutter="0"/>
          <w:cols w:space="425" w:num="1"/>
          <w:titlePg/>
          <w:docGrid w:type="lines" w:linePitch="312" w:charSpace="0"/>
        </w:sectPr>
      </w:pPr>
      <w:r>
        <w:fldChar w:fldCharType="end"/>
      </w:r>
      <w:bookmarkEnd w:id="3"/>
    </w:p>
    <w:p>
      <w:pPr>
        <w:pStyle w:val="2"/>
      </w:pPr>
      <w:bookmarkStart w:id="4" w:name="_Toc17405"/>
      <w:r>
        <w:rPr>
          <w:rFonts w:hint="eastAsia"/>
        </w:rPr>
        <w:t>建筑概况 B</w:t>
      </w:r>
      <w:r>
        <w:t>uilding description</w:t>
      </w:r>
      <w:bookmarkEnd w:id="4"/>
    </w:p>
    <w:tbl>
      <w:tblPr>
        <w:tblStyle w:val="19"/>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38"/>
        <w:gridCol w:w="3114"/>
        <w:gridCol w:w="3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9" w:type="dxa"/>
            <w:gridSpan w:val="2"/>
          </w:tcPr>
          <w:p>
            <w:pPr>
              <w:pStyle w:val="3"/>
              <w:ind w:firstLine="0" w:firstLineChars="0"/>
              <w:rPr>
                <w:rFonts w:ascii="宋体" w:hAnsi="宋体"/>
                <w:lang w:val="en-US"/>
              </w:rPr>
            </w:pPr>
            <w:bookmarkStart w:id="5" w:name="工程名称"/>
            <w:r>
              <w:t>二食堂</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9" w:type="dxa"/>
            <w:gridSpan w:val="2"/>
          </w:tcPr>
          <w:p>
            <w:pPr>
              <w:pStyle w:val="3"/>
              <w:ind w:firstLine="0" w:firstLineChars="0"/>
              <w:rPr>
                <w:rFonts w:ascii="宋体" w:hAnsi="宋体"/>
                <w:lang w:val="en-US"/>
              </w:rPr>
            </w:pPr>
            <w:bookmarkStart w:id="6" w:name="工程地点"/>
            <w:r>
              <w:t>辽宁-沈阳</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7" w:name="纬度"/>
            <w:r>
              <w:rPr>
                <w:rFonts w:hint="eastAsia" w:ascii="宋体" w:hAnsi="宋体"/>
                <w:lang w:val="en-US"/>
              </w:rPr>
              <w:t>41.81</w:t>
            </w:r>
            <w:bookmarkEnd w:id="7"/>
            <w:r>
              <w:rPr>
                <w:rFonts w:hint="eastAsia" w:ascii="宋体" w:hAnsi="宋体"/>
                <w:lang w:val="en-US"/>
              </w:rPr>
              <w:t>°</w:t>
            </w:r>
          </w:p>
        </w:tc>
        <w:tc>
          <w:tcPr>
            <w:tcW w:w="3037" w:type="dxa"/>
          </w:tcPr>
          <w:p>
            <w:pPr>
              <w:pStyle w:val="3"/>
              <w:ind w:firstLine="0" w:firstLineChars="0"/>
              <w:rPr>
                <w:rFonts w:ascii="宋体" w:hAnsi="宋体"/>
                <w:lang w:val="en-US"/>
              </w:rPr>
            </w:pPr>
            <w:r>
              <w:rPr>
                <w:rFonts w:hint="eastAsia" w:ascii="宋体" w:hAnsi="宋体"/>
                <w:lang w:val="en-US"/>
              </w:rPr>
              <w:t>东经：</w:t>
            </w:r>
            <w:bookmarkStart w:id="8" w:name="经度"/>
            <w:r>
              <w:rPr>
                <w:rFonts w:hint="eastAsia" w:ascii="宋体" w:hAnsi="宋体"/>
                <w:lang w:val="en-US"/>
              </w:rPr>
              <w:t>123.43</w:t>
            </w:r>
            <w:bookmarkEnd w:id="8"/>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pPr>
              <w:pStyle w:val="3"/>
              <w:ind w:firstLine="0" w:firstLineChars="0"/>
              <w:rPr>
                <w:rFonts w:ascii="宋体" w:hAnsi="宋体"/>
                <w:lang w:val="en-US"/>
              </w:rPr>
            </w:pPr>
            <w:r>
              <w:rPr>
                <w:rFonts w:hint="eastAsia" w:ascii="宋体" w:hAnsi="宋体"/>
                <w:lang w:val="en-US"/>
              </w:rPr>
              <w:t>建筑寿命(年)</w:t>
            </w:r>
          </w:p>
        </w:tc>
        <w:tc>
          <w:tcPr>
            <w:tcW w:w="6069" w:type="dxa"/>
            <w:gridSpan w:val="2"/>
          </w:tcPr>
          <w:p>
            <w:pPr>
              <w:pStyle w:val="3"/>
              <w:ind w:firstLine="0" w:firstLineChars="0"/>
              <w:rPr>
                <w:rFonts w:ascii="宋体" w:hAnsi="宋体"/>
                <w:lang w:val="en-US"/>
              </w:rPr>
            </w:pPr>
            <w:bookmarkStart w:id="9" w:name="建筑寿命"/>
            <w:r>
              <w:t>70</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069" w:type="dxa"/>
            <w:gridSpan w:val="2"/>
          </w:tcPr>
          <w:p>
            <w:pPr>
              <w:pStyle w:val="3"/>
              <w:ind w:firstLine="0" w:firstLineChars="0"/>
              <w:rPr>
                <w:rFonts w:ascii="宋体" w:hAnsi="宋体"/>
                <w:lang w:val="en-US"/>
              </w:rPr>
            </w:pPr>
            <w:r>
              <w:rPr>
                <w:rFonts w:hint="eastAsia" w:ascii="宋体" w:hAnsi="宋体"/>
                <w:lang w:val="en-US"/>
              </w:rPr>
              <w:t>地上</w:t>
            </w:r>
            <w:bookmarkStart w:id="10" w:name="地上建筑面积"/>
            <w:r>
              <w:rPr>
                <w:rFonts w:hint="eastAsia" w:ascii="宋体" w:hAnsi="宋体"/>
                <w:lang w:val="en-US"/>
              </w:rPr>
              <w:t>7320.73</w:t>
            </w:r>
            <w:bookmarkEnd w:id="10"/>
            <w:r>
              <w:rPr>
                <w:rFonts w:hint="eastAsia" w:ascii="宋体" w:hAnsi="宋体"/>
                <w:lang w:val="en-US"/>
              </w:rPr>
              <w:t xml:space="preserve">    地下</w:t>
            </w:r>
            <w:bookmarkStart w:id="11" w:name="地下建筑面积"/>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069" w:type="dxa"/>
            <w:gridSpan w:val="2"/>
          </w:tcPr>
          <w:p>
            <w:pPr>
              <w:pStyle w:val="3"/>
              <w:ind w:firstLine="0" w:firstLineChars="0"/>
              <w:rPr>
                <w:rFonts w:ascii="宋体" w:hAnsi="宋体"/>
                <w:lang w:val="en-US"/>
              </w:rPr>
            </w:pPr>
            <w:r>
              <w:rPr>
                <w:rFonts w:hint="eastAsia" w:ascii="宋体" w:hAnsi="宋体"/>
                <w:lang w:val="en-US"/>
              </w:rPr>
              <w:t>地上</w:t>
            </w:r>
            <w:bookmarkStart w:id="12" w:name="地上建筑层数"/>
            <w:r>
              <w:rPr>
                <w:rFonts w:hint="eastAsia" w:ascii="宋体" w:hAnsi="宋体"/>
                <w:lang w:val="en-US"/>
              </w:rPr>
              <w:t>3</w:t>
            </w:r>
            <w:bookmarkEnd w:id="12"/>
            <w:r>
              <w:rPr>
                <w:rFonts w:hint="eastAsia" w:ascii="宋体" w:hAnsi="宋体"/>
                <w:lang w:val="en-US"/>
              </w:rPr>
              <w:t xml:space="preserve">          地下</w:t>
            </w:r>
            <w:bookmarkStart w:id="13" w:name="地下建筑层数"/>
            <w:r>
              <w:t>0</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069" w:type="dxa"/>
            <w:gridSpan w:val="2"/>
          </w:tcPr>
          <w:p>
            <w:pPr>
              <w:pStyle w:val="3"/>
              <w:ind w:firstLine="0" w:firstLineChars="0"/>
              <w:rPr>
                <w:rFonts w:ascii="宋体" w:hAnsi="宋体"/>
                <w:lang w:val="en-US"/>
              </w:rPr>
            </w:pPr>
            <w:r>
              <w:rPr>
                <w:rFonts w:hint="eastAsia" w:ascii="宋体" w:hAnsi="宋体"/>
                <w:lang w:val="en-US"/>
              </w:rPr>
              <w:t>地上</w:t>
            </w:r>
            <w:bookmarkStart w:id="14" w:name="地上建筑高度"/>
            <w:r>
              <w:rPr>
                <w:rFonts w:hint="eastAsia" w:ascii="宋体" w:hAnsi="宋体"/>
                <w:lang w:val="en-US"/>
              </w:rPr>
              <w:t>15.90</w:t>
            </w:r>
            <w:bookmarkEnd w:id="14"/>
            <w:r>
              <w:rPr>
                <w:rFonts w:hint="eastAsia" w:ascii="宋体" w:hAnsi="宋体"/>
                <w:lang w:val="en-US"/>
              </w:rPr>
              <w:t xml:space="preserve">     地下</w:t>
            </w:r>
            <w:bookmarkStart w:id="15" w:name="地下建筑高度"/>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069" w:type="dxa"/>
            <w:gridSpan w:val="2"/>
          </w:tcPr>
          <w:p>
            <w:pPr>
              <w:pStyle w:val="3"/>
              <w:ind w:firstLine="0" w:firstLineChars="0"/>
              <w:rPr>
                <w:rFonts w:ascii="宋体" w:hAnsi="宋体"/>
                <w:lang w:val="en-US"/>
              </w:rPr>
            </w:pPr>
            <w:bookmarkStart w:id="16" w:name="建筑体积"/>
            <w:r>
              <w:t>38799.88</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069" w:type="dxa"/>
            <w:gridSpan w:val="2"/>
          </w:tcPr>
          <w:p>
            <w:pPr>
              <w:pStyle w:val="3"/>
              <w:ind w:firstLine="0" w:firstLineChars="0"/>
              <w:rPr>
                <w:rFonts w:ascii="宋体" w:hAnsi="宋体"/>
                <w:lang w:val="en-US"/>
              </w:rPr>
            </w:pPr>
            <w:bookmarkStart w:id="17" w:name="外表面积"/>
            <w:r>
              <w:t>5344.76</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069" w:type="dxa"/>
            <w:gridSpan w:val="2"/>
          </w:tcPr>
          <w:p>
            <w:pPr>
              <w:pStyle w:val="3"/>
              <w:ind w:firstLine="0" w:firstLineChars="0"/>
              <w:rPr>
                <w:rFonts w:ascii="宋体" w:hAnsi="宋体"/>
                <w:lang w:val="en-US"/>
              </w:rPr>
            </w:pPr>
            <w:bookmarkStart w:id="18" w:name="北向角度"/>
            <w:r>
              <w:t>270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069" w:type="dxa"/>
            <w:gridSpan w:val="2"/>
          </w:tcPr>
          <w:p>
            <w:pPr>
              <w:pStyle w:val="3"/>
              <w:ind w:firstLine="0" w:firstLineChars="0"/>
              <w:rPr>
                <w:rFonts w:ascii="宋体" w:hAnsi="宋体"/>
                <w:lang w:val="en-US"/>
              </w:rPr>
            </w:pPr>
            <w:bookmarkStart w:id="19" w:name="结构类型"/>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pPr>
              <w:pStyle w:val="3"/>
              <w:ind w:firstLine="0" w:firstLineChars="0"/>
              <w:rPr>
                <w:rFonts w:ascii="宋体" w:hAnsi="宋体"/>
                <w:lang w:val="en-US"/>
              </w:rPr>
            </w:pPr>
            <w:r>
              <w:rPr>
                <w:rFonts w:hint="eastAsia"/>
              </w:rPr>
              <w:t>外墙太阳辐射吸收系数</w:t>
            </w:r>
          </w:p>
        </w:tc>
        <w:tc>
          <w:tcPr>
            <w:tcW w:w="6069" w:type="dxa"/>
            <w:gridSpan w:val="2"/>
          </w:tcPr>
          <w:p>
            <w:pPr>
              <w:pStyle w:val="3"/>
              <w:ind w:firstLine="0" w:firstLineChars="0"/>
              <w:rPr>
                <w:rFonts w:ascii="宋体" w:hAnsi="宋体"/>
                <w:lang w:val="en-US"/>
              </w:rPr>
            </w:pPr>
            <w:bookmarkStart w:id="20" w:name="外墙ρ"/>
            <w:r>
              <w:rPr>
                <w:rFonts w:hint="eastAsia"/>
              </w:rPr>
              <w:t>0.75</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pPr>
              <w:pStyle w:val="3"/>
              <w:ind w:firstLine="0" w:firstLineChars="0"/>
              <w:rPr>
                <w:rFonts w:ascii="宋体" w:hAnsi="宋体"/>
                <w:lang w:val="en-US"/>
              </w:rPr>
            </w:pPr>
            <w:r>
              <w:rPr>
                <w:rFonts w:hint="eastAsia"/>
              </w:rPr>
              <w:t>屋顶太阳辐射吸收系数</w:t>
            </w:r>
          </w:p>
        </w:tc>
        <w:tc>
          <w:tcPr>
            <w:tcW w:w="6069" w:type="dxa"/>
            <w:gridSpan w:val="2"/>
          </w:tcPr>
          <w:p>
            <w:pPr>
              <w:pStyle w:val="3"/>
              <w:ind w:firstLine="0" w:firstLineChars="0"/>
              <w:rPr>
                <w:rFonts w:ascii="宋体" w:hAnsi="宋体"/>
                <w:lang w:val="en-US"/>
              </w:rPr>
            </w:pPr>
            <w:bookmarkStart w:id="21" w:name="屋顶ρ"/>
            <w:r>
              <w:rPr>
                <w:rFonts w:hint="eastAsia"/>
              </w:rPr>
              <w:t>0.75</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pPr>
              <w:pStyle w:val="3"/>
              <w:ind w:firstLine="0" w:firstLineChars="0"/>
            </w:pPr>
            <w:r>
              <w:rPr>
                <w:rFonts w:hint="eastAsia"/>
              </w:rPr>
              <w:t>控温期</w:t>
            </w:r>
          </w:p>
        </w:tc>
        <w:tc>
          <w:tcPr>
            <w:tcW w:w="6069" w:type="dxa"/>
            <w:gridSpan w:val="2"/>
          </w:tcPr>
          <w:p>
            <w:pPr>
              <w:pStyle w:val="3"/>
              <w:ind w:firstLine="0" w:firstLineChars="0"/>
            </w:pPr>
            <w:bookmarkStart w:id="22" w:name="控温期"/>
            <w:r>
              <w:t>供暖期:11.1-3.31</w:t>
            </w:r>
            <w:bookmarkEnd w:id="22"/>
          </w:p>
        </w:tc>
      </w:tr>
    </w:tbl>
    <w:p>
      <w:pPr>
        <w:pStyle w:val="4"/>
      </w:pPr>
      <w:bookmarkStart w:id="23" w:name="_Toc10520"/>
      <w:r>
        <w:rPr>
          <w:rFonts w:hint="eastAsia"/>
        </w:rPr>
        <w:t>建筑模型图</w:t>
      </w:r>
      <w:bookmarkEnd w:id="23"/>
    </w:p>
    <w:p>
      <w:pPr>
        <w:pStyle w:val="4"/>
      </w:pPr>
      <w:bookmarkStart w:id="24" w:name="_Toc5058"/>
      <w:r>
        <w:t>主要技术措施</w:t>
      </w:r>
      <w:bookmarkEnd w:id="24"/>
    </w:p>
    <w:p>
      <w:pPr>
        <w:pStyle w:val="3"/>
        <w:ind w:firstLine="0" w:firstLineChars="0"/>
        <w:rPr>
          <w:lang w:val="en-US"/>
        </w:rPr>
      </w:pPr>
      <w:r>
        <w:rPr>
          <w:rFonts w:hint="eastAsia"/>
          <w:lang w:val="en-US"/>
        </w:rPr>
        <w:t>本工程采用的碳减排措施:</w:t>
      </w:r>
    </w:p>
    <w:p>
      <w:pPr>
        <w:pStyle w:val="3"/>
        <w:numPr>
          <w:ilvl w:val="0"/>
          <w:numId w:val="2"/>
        </w:numPr>
        <w:ind w:firstLineChars="0"/>
        <w:rPr>
          <w:color w:val="A6A6A6" w:themeColor="background1" w:themeShade="A6"/>
          <w:lang w:val="en-US"/>
        </w:rPr>
      </w:pPr>
      <w:r>
        <w:rPr>
          <w:color w:val="A6A6A6" w:themeColor="background1" w:themeShade="A6"/>
          <w:lang w:val="en-US"/>
        </w:rPr>
        <w:t>高性能建筑围护结构</w:t>
      </w:r>
    </w:p>
    <w:p>
      <w:pPr>
        <w:pStyle w:val="3"/>
        <w:numPr>
          <w:ilvl w:val="0"/>
          <w:numId w:val="2"/>
        </w:numPr>
        <w:ind w:firstLineChars="0"/>
        <w:rPr>
          <w:color w:val="A6A6A6" w:themeColor="background1" w:themeShade="A6"/>
          <w:lang w:val="en-US"/>
        </w:rPr>
      </w:pPr>
      <w:r>
        <w:rPr>
          <w:color w:val="A6A6A6" w:themeColor="background1" w:themeShade="A6"/>
          <w:lang w:val="en-US"/>
        </w:rPr>
        <w:t>地源热泵</w:t>
      </w:r>
    </w:p>
    <w:p>
      <w:pPr>
        <w:pStyle w:val="3"/>
        <w:numPr>
          <w:ilvl w:val="0"/>
          <w:numId w:val="2"/>
        </w:numPr>
        <w:ind w:firstLineChars="0"/>
        <w:rPr>
          <w:color w:val="A6A6A6" w:themeColor="background1" w:themeShade="A6"/>
          <w:lang w:val="en-US"/>
        </w:rPr>
      </w:pPr>
      <w:r>
        <w:rPr>
          <w:rFonts w:hint="eastAsia"/>
          <w:color w:val="A6A6A6" w:themeColor="background1" w:themeShade="A6"/>
          <w:lang w:val="en-US"/>
        </w:rPr>
        <w:t>太阳能光伏</w:t>
      </w:r>
    </w:p>
    <w:p>
      <w:pPr>
        <w:pStyle w:val="2"/>
      </w:pPr>
      <w:bookmarkStart w:id="25" w:name="_Toc29504"/>
      <w:r>
        <w:rPr>
          <w:rFonts w:hint="eastAsia"/>
        </w:rPr>
        <w:t>分析目的和工具 Pur</w:t>
      </w:r>
      <w:r>
        <w:t>pose of the assessment and tools</w:t>
      </w:r>
      <w:bookmarkEnd w:id="25"/>
    </w:p>
    <w:p>
      <w:pPr>
        <w:pStyle w:val="4"/>
      </w:pPr>
      <w:bookmarkStart w:id="26" w:name="_Toc28167"/>
      <w:r>
        <w:rPr>
          <w:rFonts w:hint="eastAsia"/>
        </w:rPr>
        <w:t>分析目的 P</w:t>
      </w:r>
      <w:r>
        <w:t>urpose of the analysis</w:t>
      </w:r>
      <w:bookmarkEnd w:id="26"/>
    </w:p>
    <w:p>
      <w:pPr>
        <w:ind w:firstLine="420"/>
        <w:rPr>
          <w:lang w:val="en-US"/>
        </w:rPr>
      </w:pPr>
      <w:r>
        <w:rPr>
          <w:rFonts w:hint="eastAsia"/>
          <w:lang w:val="en-US"/>
        </w:rPr>
        <w:t>通过相关计算，引导建筑物在设计阶段考虑</w:t>
      </w:r>
      <w:r>
        <w:rPr>
          <w:lang w:val="en-US"/>
        </w:rPr>
        <w:t>其全生命周期节能减排</w:t>
      </w:r>
      <w:r>
        <w:rPr>
          <w:rFonts w:hint="eastAsia"/>
          <w:lang w:val="en-US"/>
        </w:rPr>
        <w:t>，</w:t>
      </w:r>
      <w:r>
        <w:rPr>
          <w:lang w:val="en-US"/>
        </w:rPr>
        <w:t>增强企业对碳排放核算</w:t>
      </w:r>
      <w:r>
        <w:rPr>
          <w:rFonts w:hint="eastAsia"/>
          <w:lang w:val="en-US"/>
        </w:rPr>
        <w:t>、</w:t>
      </w:r>
      <w:r>
        <w:rPr>
          <w:lang w:val="en-US"/>
        </w:rPr>
        <w:t>报告</w:t>
      </w:r>
      <w:r>
        <w:rPr>
          <w:rFonts w:hint="eastAsia"/>
          <w:lang w:val="en-US"/>
        </w:rPr>
        <w:t>、</w:t>
      </w:r>
      <w:r>
        <w:rPr>
          <w:lang w:val="en-US"/>
        </w:rPr>
        <w:t>审查的意识</w:t>
      </w:r>
      <w:r>
        <w:rPr>
          <w:rFonts w:hint="eastAsia"/>
          <w:lang w:val="en-US"/>
        </w:rPr>
        <w:t>。本报告可满足碳排放审查及绿建相关评价。</w:t>
      </w:r>
    </w:p>
    <w:p>
      <w:pPr>
        <w:ind w:firstLine="420"/>
        <w:rPr>
          <w:lang w:val="en-US"/>
        </w:rPr>
      </w:pPr>
    </w:p>
    <w:p>
      <w:pPr>
        <w:pStyle w:val="3"/>
        <w:numPr>
          <w:ilvl w:val="0"/>
          <w:numId w:val="3"/>
        </w:numPr>
        <w:snapToGrid w:val="0"/>
        <w:spacing w:line="240" w:lineRule="auto"/>
        <w:ind w:firstLineChars="0"/>
        <w:jc w:val="left"/>
      </w:pPr>
      <w:r>
        <w:rPr>
          <w:b/>
        </w:rPr>
        <w:t>《建筑节能与可再生能源利用通用规范》GB 55015-2021</w:t>
      </w:r>
      <w:r>
        <w:rPr>
          <w:rFonts w:hint="eastAsia"/>
          <w:b/>
        </w:rPr>
        <w:t>相关</w:t>
      </w:r>
      <w:r>
        <w:rPr>
          <w:b/>
        </w:rPr>
        <w:t>条文</w:t>
      </w:r>
    </w:p>
    <w:p>
      <w:pPr>
        <w:pStyle w:val="3"/>
        <w:ind w:firstLine="420"/>
      </w:pPr>
      <w:r>
        <w:rPr>
          <w:rFonts w:hint="eastAsia"/>
        </w:rPr>
        <w:t xml:space="preserve">2.0.5 </w:t>
      </w:r>
      <w:r>
        <w:t xml:space="preserve"> 新建</w:t>
      </w:r>
      <w:r>
        <w:rPr>
          <w:rFonts w:hint="eastAsia"/>
        </w:rPr>
        <w:t>、</w:t>
      </w:r>
      <w:r>
        <w:t>扩建和改建建筑以及既有建筑节能改造均应进行建筑节能设计</w:t>
      </w:r>
      <w:r>
        <w:rPr>
          <w:rFonts w:hint="eastAsia"/>
        </w:rPr>
        <w:t>。建设项目可行性研究报告、建设方案和初步设计文件应包含建筑能耗、可再生能源利用及建筑碳排放分析报告。</w:t>
      </w:r>
    </w:p>
    <w:p>
      <w:pPr>
        <w:pStyle w:val="3"/>
        <w:spacing w:line="240" w:lineRule="auto"/>
        <w:ind w:firstLine="420"/>
      </w:pPr>
    </w:p>
    <w:p>
      <w:pPr>
        <w:pStyle w:val="3"/>
        <w:numPr>
          <w:ilvl w:val="0"/>
          <w:numId w:val="3"/>
        </w:numPr>
        <w:snapToGrid w:val="0"/>
        <w:spacing w:line="240" w:lineRule="auto"/>
        <w:ind w:firstLineChars="0"/>
        <w:jc w:val="left"/>
        <w:rPr>
          <w:b/>
        </w:rPr>
      </w:pPr>
      <w:r>
        <w:rPr>
          <w:rFonts w:hint="eastAsia"/>
          <w:b/>
        </w:rPr>
        <w:t>《绿色建筑评价标准》 GB/T50378-2019</w:t>
      </w:r>
    </w:p>
    <w:p>
      <w:pPr>
        <w:ind w:firstLine="420"/>
        <w:rPr>
          <w:b/>
        </w:rPr>
      </w:pPr>
      <w:r>
        <w:rPr>
          <w:rFonts w:hint="eastAsia"/>
        </w:rPr>
        <w:t>9.2.7  进行建筑碳排放计算分析，采取措施降低单位建筑面积碳排放强度，评价分值为12分。</w:t>
      </w:r>
    </w:p>
    <w:p>
      <w:pPr>
        <w:pStyle w:val="4"/>
      </w:pPr>
      <w:bookmarkStart w:id="27" w:name="_Toc2781"/>
      <w:r>
        <w:rPr>
          <w:rFonts w:hint="eastAsia"/>
        </w:rPr>
        <w:t>分析工具 A</w:t>
      </w:r>
      <w:r>
        <w:t>ssessment software</w:t>
      </w:r>
      <w:bookmarkEnd w:id="27"/>
    </w:p>
    <w:p>
      <w:pPr>
        <w:pStyle w:val="3"/>
        <w:ind w:firstLine="420"/>
        <w:rPr>
          <w:lang w:val="en-US"/>
        </w:rPr>
      </w:pPr>
      <w:r>
        <w:rPr>
          <w:rFonts w:hint="eastAsia"/>
          <w:lang w:val="en-US"/>
        </w:rPr>
        <w:t>本报告内容由建筑碳排放CEEB计算并输出，建筑碳排放CEEB以CAD为平台，可与建筑节能模型无缝对接，以国家标准《建筑碳排放计算标准》为主要依据，完整支持建筑全生命周期的碳排放计算，包括建材生产运输、建造拆除、建筑运行和碳汇的计算，以及详细的结果数据分析。</w:t>
      </w:r>
    </w:p>
    <w:p>
      <w:pPr>
        <w:pStyle w:val="3"/>
        <w:ind w:firstLine="420"/>
        <w:rPr>
          <w:lang w:val="en-US"/>
        </w:rPr>
      </w:pPr>
      <w:r>
        <w:rPr>
          <w:lang w:val="en-US"/>
        </w:rPr>
        <w:t>CEEB</w:t>
      </w:r>
      <w:r>
        <w:rPr>
          <w:rFonts w:hint="eastAsia"/>
        </w:rPr>
        <w:t>通过了住房和城乡建设部科技与产业化发展中心专家组评审鉴定，获得《建设行业科技成果评估证书》，编号建科评 [</w:t>
      </w:r>
      <w:r>
        <w:t>2022</w:t>
      </w:r>
      <w:r>
        <w:rPr>
          <w:rFonts w:hint="eastAsia"/>
        </w:rPr>
        <w:t>]0</w:t>
      </w:r>
      <w:r>
        <w:t>55</w:t>
      </w:r>
      <w:r>
        <w:rPr>
          <w:rFonts w:hint="eastAsia"/>
        </w:rPr>
        <w:t>，评估委员会认定软件总体已达到国内领先水平。</w:t>
      </w:r>
    </w:p>
    <w:p>
      <w:pPr>
        <w:pStyle w:val="2"/>
      </w:pPr>
      <w:bookmarkStart w:id="28" w:name="_Toc16906"/>
      <w:bookmarkStart w:id="29" w:name="_Toc59802421"/>
      <w:bookmarkStart w:id="30" w:name="_Toc58336110"/>
      <w:bookmarkStart w:id="31" w:name="_Toc59787735"/>
      <w:bookmarkStart w:id="32" w:name="_Toc59800596"/>
      <w:r>
        <w:rPr>
          <w:rFonts w:hint="eastAsia"/>
        </w:rPr>
        <w:t>建筑的全生命周期分析 Life</w:t>
      </w:r>
      <w:r>
        <w:t xml:space="preserve"> Cycle Assessment methodology</w:t>
      </w:r>
      <w:bookmarkEnd w:id="28"/>
    </w:p>
    <w:p>
      <w:pPr>
        <w:pStyle w:val="4"/>
      </w:pPr>
      <w:bookmarkStart w:id="33" w:name="_Toc5099"/>
      <w:r>
        <w:rPr>
          <w:rFonts w:hint="eastAsia"/>
        </w:rPr>
        <w:t xml:space="preserve">建筑的全生命周期分析 </w:t>
      </w:r>
      <w:r>
        <w:t>About Life Cycle Assessment for Building</w:t>
      </w:r>
      <w:bookmarkEnd w:id="33"/>
    </w:p>
    <w:p>
      <w:pPr>
        <w:pStyle w:val="3"/>
        <w:ind w:firstLine="420"/>
        <w:rPr>
          <w:lang w:val="en-US"/>
        </w:rPr>
      </w:pPr>
      <w:r>
        <w:rPr>
          <w:rFonts w:hint="eastAsia"/>
          <w:lang w:val="en-US"/>
        </w:rPr>
        <w:t>全生命周期评价（Life Cycle Assessment，LCA）是量化评价产品生产消费全过程的资源效率与环境影响的国际标准方法（ISO14040、ISO14044，对应我国国标 GB/T 24040、GB/T 24044），基于标准化的工作方法和严格的定义量化分析生产、服务等活动对大气、土壤、水体等生物圈造成的影响，因其科学严谨、系统化的分析模式，被各行业、各种产品和服务认可，成为环境影响分析的通用标准工具，亦在全球温室气体分析和评价中发挥基础性的作用，是ISO14064、ISO14067 等标准编制和实施的依据。</w:t>
      </w:r>
    </w:p>
    <w:p>
      <w:pPr>
        <w:pStyle w:val="3"/>
        <w:ind w:firstLine="420"/>
        <w:rPr>
          <w:lang w:val="en-US"/>
        </w:rPr>
      </w:pPr>
      <w:r>
        <w:rPr>
          <w:rFonts w:hint="eastAsia"/>
          <w:lang w:val="en-US"/>
        </w:rPr>
        <w:t>全生命周期评价过程既能实现评价目标的系统性分析，又能达到量化分析的目的。基于 LCA 方法所获得的评价结果，能够帮助生产单位识别关键环境问题以及造成环境影响的主要工艺环节，从而避免环境问题从某一个生命周期阶段转移到另一个生命周期阶段，或者从某一类环境影响转化成其他类型的环境影响。</w:t>
      </w:r>
    </w:p>
    <w:p>
      <w:pPr>
        <w:pStyle w:val="3"/>
        <w:ind w:firstLine="420"/>
        <w:rPr>
          <w:lang w:val="en-US"/>
        </w:rPr>
      </w:pPr>
      <w:r>
        <w:rPr>
          <w:rFonts w:hint="eastAsia"/>
          <w:lang w:val="en-US"/>
        </w:rPr>
        <w:t>在分析指标方面，温室气体均可转化为全球变暖潜能（Global warming potential，GWP），以二氧化碳当量表示。此外臭氧消耗、酸化、富营养化和烟雾也可作为环境分析内容的补充。</w:t>
      </w:r>
    </w:p>
    <w:p>
      <w:pPr>
        <w:pStyle w:val="3"/>
        <w:ind w:firstLine="0" w:firstLineChars="0"/>
        <w:rPr>
          <w:lang w:val="en-US"/>
        </w:rPr>
      </w:pPr>
    </w:p>
    <w:p>
      <w:pPr>
        <w:pStyle w:val="4"/>
        <w:tabs>
          <w:tab w:val="clear" w:pos="432"/>
        </w:tabs>
      </w:pPr>
      <w:bookmarkStart w:id="34" w:name="_Toc5824"/>
      <w:r>
        <w:t>执行标准</w:t>
      </w:r>
      <w:r>
        <w:rPr>
          <w:rFonts w:hint="eastAsia"/>
        </w:rPr>
        <w:t xml:space="preserve"> App</w:t>
      </w:r>
      <w:r>
        <w:t>licable Standards</w:t>
      </w:r>
      <w:bookmarkEnd w:id="34"/>
    </w:p>
    <w:p>
      <w:pPr>
        <w:pStyle w:val="3"/>
        <w:ind w:firstLine="420"/>
        <w:rPr>
          <w:lang w:val="en-US"/>
        </w:rPr>
      </w:pPr>
      <w:bookmarkStart w:id="35" w:name="计算依据"/>
      <w:bookmarkEnd w:id="35"/>
      <w:r>
        <w:rPr>
          <w:lang w:val="en-US"/>
        </w:rPr>
        <w:t>1. 《建筑节能与可再生能源利用通用规范》GB 55015-2021</w:t>
      </w:r>
    </w:p>
    <w:p>
      <w:pPr>
        <w:pStyle w:val="3"/>
        <w:ind w:firstLine="420"/>
        <w:rPr>
          <w:lang w:val="en-US"/>
        </w:rPr>
      </w:pPr>
      <w:r>
        <w:rPr>
          <w:lang w:val="en-US"/>
        </w:rPr>
        <w:t>2. 《建筑碳排放计算标准》GB/T 51366-2019</w:t>
      </w:r>
    </w:p>
    <w:p>
      <w:pPr>
        <w:pStyle w:val="3"/>
        <w:ind w:firstLine="420"/>
        <w:rPr>
          <w:lang w:val="en-US"/>
        </w:rPr>
      </w:pPr>
      <w:r>
        <w:rPr>
          <w:lang w:val="en-US"/>
        </w:rPr>
        <w:t>3. 《绿色建筑评价标准》GB/T50378-2019</w:t>
      </w:r>
    </w:p>
    <w:p>
      <w:pPr>
        <w:pStyle w:val="3"/>
        <w:ind w:firstLine="420"/>
        <w:rPr>
          <w:lang w:val="en-US"/>
        </w:rPr>
      </w:pPr>
      <w:r>
        <w:rPr>
          <w:lang w:val="en-US"/>
        </w:rPr>
        <w:t>4. 《民用建筑绿色性能计算标准》JGJ/T 449-2018</w:t>
      </w:r>
    </w:p>
    <w:p>
      <w:pPr>
        <w:pStyle w:val="3"/>
        <w:ind w:firstLine="420"/>
        <w:rPr>
          <w:lang w:val="en-US"/>
        </w:rPr>
      </w:pPr>
    </w:p>
    <w:p>
      <w:pPr>
        <w:pStyle w:val="4"/>
      </w:pPr>
      <w:bookmarkStart w:id="36" w:name="_Toc18631"/>
      <w:r>
        <w:rPr>
          <w:rFonts w:hint="eastAsia"/>
        </w:rPr>
        <w:t xml:space="preserve">碳排放计算边界 </w:t>
      </w:r>
      <w:r>
        <w:t>System boundary</w:t>
      </w:r>
      <w:bookmarkEnd w:id="36"/>
    </w:p>
    <w:p>
      <w:pPr>
        <w:pStyle w:val="3"/>
        <w:ind w:firstLine="420"/>
        <w:rPr>
          <w:lang w:val="en-US"/>
        </w:rPr>
      </w:pPr>
      <w:r>
        <w:rPr>
          <w:rFonts w:hint="eastAsia"/>
          <w:lang w:val="en-US"/>
        </w:rPr>
        <w:t xml:space="preserve">本报告的系统边界为“从原料开采到拆除回收”（from Cradle to Grave），生命周期阶段如下图，该图的绘制依据是 ISO21930 :2017 Sustainability </w:t>
      </w:r>
      <w:r>
        <w:rPr>
          <w:lang w:val="en-US"/>
        </w:rPr>
        <w:t>in buildings and civil engineering works—Core rules for environmental</w:t>
      </w:r>
      <w:r>
        <w:rPr>
          <w:rFonts w:hint="eastAsia"/>
          <w:lang w:val="en-US"/>
        </w:rPr>
        <w:t xml:space="preserve"> product declarations of construction products and services。</w:t>
      </w:r>
    </w:p>
    <w:p>
      <w:pPr>
        <w:pStyle w:val="3"/>
        <w:ind w:firstLine="420"/>
        <w:rPr>
          <w:lang w:val="en-US"/>
        </w:rPr>
      </w:pPr>
      <w:r>
        <w:rPr>
          <w:lang w:val="en-US"/>
        </w:rPr>
        <w:drawing>
          <wp:inline distT="0" distB="0" distL="0" distR="0">
            <wp:extent cx="5166995" cy="30378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74524" cy="3042267"/>
                    </a:xfrm>
                    <a:prstGeom prst="rect">
                      <a:avLst/>
                    </a:prstGeom>
                    <a:noFill/>
                    <a:ln>
                      <a:noFill/>
                    </a:ln>
                  </pic:spPr>
                </pic:pic>
              </a:graphicData>
            </a:graphic>
          </wp:inline>
        </w:drawing>
      </w:r>
      <w:bookmarkStart w:id="158" w:name="_GoBack"/>
      <w:bookmarkEnd w:id="158"/>
    </w:p>
    <w:p>
      <w:pPr>
        <w:pStyle w:val="3"/>
        <w:ind w:firstLine="440"/>
        <w:jc w:val="center"/>
        <w:rPr>
          <w:rFonts w:ascii="宋体" w:hAnsi="宋体"/>
          <w:lang w:val="en-US"/>
        </w:rPr>
      </w:pPr>
      <w:r>
        <w:rPr>
          <w:rFonts w:hint="eastAsia" w:ascii="宋体" w:hAnsi="宋体"/>
          <w:color w:val="000000"/>
          <w:sz w:val="22"/>
          <w:szCs w:val="22"/>
        </w:rPr>
        <w:t>建筑全生命期碳排放计算系统边界</w:t>
      </w:r>
    </w:p>
    <w:p>
      <w:pPr>
        <w:pStyle w:val="3"/>
        <w:ind w:firstLine="420"/>
        <w:rPr>
          <w:lang w:val="en-US"/>
        </w:rPr>
      </w:pPr>
      <w:r>
        <w:rPr>
          <w:rFonts w:hint="eastAsia"/>
          <w:lang w:val="en-US"/>
        </w:rPr>
        <w:t>各阶段的系统边界及对环境影响的原因见下表所示：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4"/>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left w:val="nil"/>
              <w:bottom w:val="single" w:color="auto" w:sz="4" w:space="0"/>
              <w:right w:val="nil"/>
            </w:tcBorders>
          </w:tcPr>
          <w:p>
            <w:pPr>
              <w:pStyle w:val="3"/>
              <w:ind w:firstLine="0" w:firstLineChars="0"/>
              <w:jc w:val="center"/>
              <w:rPr>
                <w:lang w:val="en-US"/>
              </w:rPr>
            </w:pPr>
            <w:r>
              <w:rPr>
                <w:rFonts w:hint="eastAsia"/>
                <w:lang w:val="en-US"/>
              </w:rPr>
              <w:t>生命周期阶段名称</w:t>
            </w:r>
          </w:p>
        </w:tc>
        <w:tc>
          <w:tcPr>
            <w:tcW w:w="6910" w:type="dxa"/>
            <w:gridSpan w:val="2"/>
            <w:tcBorders>
              <w:left w:val="nil"/>
              <w:bottom w:val="single" w:color="auto" w:sz="4" w:space="0"/>
              <w:right w:val="nil"/>
            </w:tcBorders>
          </w:tcPr>
          <w:p>
            <w:pPr>
              <w:pStyle w:val="3"/>
              <w:ind w:firstLine="0" w:firstLineChars="0"/>
              <w:jc w:val="center"/>
              <w:rPr>
                <w:lang w:val="en-US"/>
              </w:rPr>
            </w:pPr>
            <w:r>
              <w:rPr>
                <w:rFonts w:hint="eastAsia"/>
                <w:lang w:val="en-US"/>
              </w:rPr>
              <w:t>产生环境影响原因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tcBorders>
              <w:left w:val="nil"/>
              <w:bottom w:val="nil"/>
              <w:right w:val="nil"/>
            </w:tcBorders>
          </w:tcPr>
          <w:p>
            <w:pPr>
              <w:pStyle w:val="3"/>
              <w:ind w:firstLine="0" w:firstLineChars="0"/>
              <w:rPr>
                <w:lang w:val="en-US"/>
              </w:rPr>
            </w:pPr>
            <w:r>
              <w:rPr>
                <w:rFonts w:hint="eastAsia"/>
                <w:lang w:val="en-US"/>
              </w:rPr>
              <w:t>建材准备阶段 P</w:t>
            </w:r>
          </w:p>
        </w:tc>
        <w:tc>
          <w:tcPr>
            <w:tcW w:w="6626" w:type="dxa"/>
            <w:tcBorders>
              <w:left w:val="nil"/>
              <w:bottom w:val="nil"/>
              <w:right w:val="nil"/>
            </w:tcBorders>
          </w:tcPr>
          <w:p>
            <w:pPr>
              <w:pStyle w:val="3"/>
              <w:ind w:firstLine="0" w:firstLineChars="0"/>
              <w:rPr>
                <w:lang w:val="en-US"/>
              </w:rPr>
            </w:pPr>
            <w:r>
              <w:rPr>
                <w:rFonts w:hint="eastAsia"/>
                <w:lang w:val="en-US"/>
              </w:rPr>
              <w:t>建筑建造所需建材的生产加工（从原材料开采到建材生产完成，包含中间的运输过程）的消耗与排放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tcBorders>
              <w:top w:val="nil"/>
              <w:left w:val="nil"/>
              <w:bottom w:val="nil"/>
              <w:right w:val="nil"/>
            </w:tcBorders>
          </w:tcPr>
          <w:p>
            <w:pPr>
              <w:pStyle w:val="3"/>
              <w:ind w:firstLine="0" w:firstLineChars="0"/>
              <w:rPr>
                <w:lang w:val="en-US"/>
              </w:rPr>
            </w:pPr>
            <w:r>
              <w:rPr>
                <w:rFonts w:hint="eastAsia"/>
                <w:lang w:val="en-US"/>
              </w:rPr>
              <w:t>建筑建造阶段 C</w:t>
            </w:r>
          </w:p>
        </w:tc>
        <w:tc>
          <w:tcPr>
            <w:tcW w:w="6626" w:type="dxa"/>
            <w:tcBorders>
              <w:top w:val="nil"/>
              <w:left w:val="nil"/>
              <w:bottom w:val="nil"/>
              <w:right w:val="nil"/>
            </w:tcBorders>
          </w:tcPr>
          <w:p>
            <w:pPr>
              <w:pStyle w:val="3"/>
              <w:ind w:firstLine="0" w:firstLineChars="0"/>
              <w:rPr>
                <w:lang w:val="en-US"/>
              </w:rPr>
            </w:pPr>
            <w:r>
              <w:rPr>
                <w:rFonts w:hint="eastAsia"/>
                <w:lang w:val="en-US"/>
              </w:rPr>
              <w:t>建材出厂运输到建造现场，现场的材料加工、机械设备使用、场</w:t>
            </w:r>
          </w:p>
          <w:p>
            <w:pPr>
              <w:pStyle w:val="3"/>
              <w:ind w:firstLine="0" w:firstLineChars="0"/>
              <w:rPr>
                <w:lang w:val="en-US"/>
              </w:rPr>
            </w:pPr>
            <w:r>
              <w:rPr>
                <w:rFonts w:hint="eastAsia"/>
                <w:lang w:val="en-US"/>
              </w:rPr>
              <w:t>内运输等消耗，主要包括柴油、汽油、电力和水，以及环境排放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tcBorders>
              <w:top w:val="nil"/>
              <w:left w:val="nil"/>
              <w:bottom w:val="nil"/>
              <w:right w:val="nil"/>
            </w:tcBorders>
          </w:tcPr>
          <w:p>
            <w:pPr>
              <w:pStyle w:val="3"/>
              <w:ind w:firstLine="0" w:firstLineChars="0"/>
              <w:rPr>
                <w:lang w:val="en-US"/>
              </w:rPr>
            </w:pPr>
            <w:r>
              <w:rPr>
                <w:rFonts w:hint="eastAsia"/>
                <w:lang w:val="en-US"/>
              </w:rPr>
              <w:t>建筑运行使用阶段 O</w:t>
            </w:r>
          </w:p>
        </w:tc>
        <w:tc>
          <w:tcPr>
            <w:tcW w:w="6626" w:type="dxa"/>
            <w:tcBorders>
              <w:top w:val="nil"/>
              <w:left w:val="nil"/>
              <w:bottom w:val="nil"/>
              <w:right w:val="nil"/>
            </w:tcBorders>
          </w:tcPr>
          <w:p>
            <w:pPr>
              <w:pStyle w:val="3"/>
              <w:ind w:firstLine="0" w:firstLineChars="0"/>
              <w:rPr>
                <w:lang w:val="en-US"/>
              </w:rPr>
            </w:pPr>
            <w:r>
              <w:rPr>
                <w:rFonts w:hint="eastAsia"/>
                <w:lang w:val="en-US"/>
              </w:rPr>
              <w:t>建筑日常运营时的用能，主要包括供暖、通风、空调、照明等消</w:t>
            </w:r>
          </w:p>
          <w:p>
            <w:pPr>
              <w:pStyle w:val="3"/>
              <w:ind w:firstLine="0" w:firstLineChars="0"/>
              <w:rPr>
                <w:lang w:val="en-US"/>
              </w:rPr>
            </w:pPr>
            <w:r>
              <w:rPr>
                <w:rFonts w:hint="eastAsia"/>
                <w:lang w:val="en-US"/>
              </w:rPr>
              <w:t>耗的能源，如电力、天然气、外购热等，以及由此引起的环境排</w:t>
            </w:r>
          </w:p>
          <w:p>
            <w:pPr>
              <w:pStyle w:val="3"/>
              <w:ind w:firstLine="0" w:firstLineChars="0"/>
              <w:rPr>
                <w:lang w:val="en-US"/>
              </w:rPr>
            </w:pPr>
            <w:r>
              <w:rPr>
                <w:rFonts w:hint="eastAsia"/>
                <w:lang w:val="en-US"/>
              </w:rPr>
              <w:t>放；也包括建筑使用期间替换建材的生产带来的环境影响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tcBorders>
              <w:top w:val="nil"/>
              <w:left w:val="nil"/>
              <w:right w:val="nil"/>
            </w:tcBorders>
          </w:tcPr>
          <w:p>
            <w:pPr>
              <w:pStyle w:val="3"/>
              <w:ind w:firstLine="0" w:firstLineChars="0"/>
              <w:rPr>
                <w:lang w:val="en-US"/>
              </w:rPr>
            </w:pPr>
            <w:r>
              <w:rPr>
                <w:rFonts w:hint="eastAsia"/>
                <w:lang w:val="en-US"/>
              </w:rPr>
              <w:t>建筑拆除废弃阶段 R</w:t>
            </w:r>
          </w:p>
        </w:tc>
        <w:tc>
          <w:tcPr>
            <w:tcW w:w="6626" w:type="dxa"/>
            <w:tcBorders>
              <w:top w:val="nil"/>
              <w:left w:val="nil"/>
              <w:right w:val="nil"/>
            </w:tcBorders>
          </w:tcPr>
          <w:p>
            <w:pPr>
              <w:pStyle w:val="3"/>
              <w:ind w:firstLine="0" w:firstLineChars="0"/>
              <w:rPr>
                <w:lang w:val="en-US"/>
              </w:rPr>
            </w:pPr>
            <w:r>
              <w:rPr>
                <w:rFonts w:hint="eastAsia"/>
                <w:lang w:val="en-US"/>
              </w:rPr>
              <w:t>建筑拆除过程中的消耗，如电力、柴油等，以及拆除后废弃物的</w:t>
            </w:r>
          </w:p>
          <w:p>
            <w:pPr>
              <w:pStyle w:val="3"/>
              <w:ind w:firstLine="0" w:firstLineChars="0"/>
              <w:rPr>
                <w:lang w:val="en-US"/>
              </w:rPr>
            </w:pPr>
            <w:r>
              <w:rPr>
                <w:rFonts w:hint="eastAsia"/>
                <w:lang w:val="en-US"/>
              </w:rPr>
              <w:t>回收再利用和运输填埋造成的环境影响及效益</w:t>
            </w:r>
          </w:p>
        </w:tc>
      </w:tr>
    </w:tbl>
    <w:p>
      <w:pPr>
        <w:ind w:firstLine="420"/>
        <w:rPr>
          <w:lang w:val="en-US"/>
        </w:rPr>
      </w:pPr>
      <w:r>
        <w:rPr>
          <w:rFonts w:hint="eastAsia"/>
          <w:lang w:val="en-US"/>
        </w:rPr>
        <w:t>建筑全生命周期的环境影响指标结果 LCAW 等于各阶段指标结果汇总，</w:t>
      </w:r>
    </w:p>
    <w:p>
      <w:pPr>
        <w:ind w:firstLine="420"/>
        <w:rPr>
          <w:vertAlign w:val="subscript"/>
          <w:lang w:val="en-US"/>
        </w:rPr>
      </w:pPr>
      <w:r>
        <w:rPr>
          <w:rFonts w:ascii="Cambria Math" w:hAnsi="Cambria Math" w:cs="Cambria Math"/>
          <w:lang w:val="en-US"/>
        </w:rPr>
        <w:t>𝐿</w:t>
      </w:r>
      <w:r>
        <w:rPr>
          <w:lang w:val="en-US"/>
        </w:rPr>
        <w:t>CA</w:t>
      </w:r>
      <w:r>
        <w:rPr>
          <w:vertAlign w:val="subscript"/>
          <w:lang w:val="en-US"/>
        </w:rPr>
        <w:t>W</w:t>
      </w:r>
      <w:r>
        <w:rPr>
          <w:lang w:val="en-US"/>
        </w:rPr>
        <w:t xml:space="preserve">= </w:t>
      </w:r>
      <w:r>
        <w:rPr>
          <w:rFonts w:ascii="Cambria Math" w:hAnsi="Cambria Math" w:cs="Cambria Math"/>
          <w:lang w:val="en-US"/>
        </w:rPr>
        <w:t>𝐿</w:t>
      </w:r>
      <w:r>
        <w:rPr>
          <w:lang w:val="en-US"/>
        </w:rPr>
        <w:t>CA</w:t>
      </w:r>
      <w:r>
        <w:rPr>
          <w:vertAlign w:val="subscript"/>
          <w:lang w:val="en-US"/>
        </w:rPr>
        <w:t>P</w:t>
      </w:r>
      <w:r>
        <w:rPr>
          <w:lang w:val="en-US"/>
        </w:rPr>
        <w:t xml:space="preserve"> + </w:t>
      </w:r>
      <w:r>
        <w:rPr>
          <w:rFonts w:ascii="Cambria Math" w:hAnsi="Cambria Math" w:cs="Cambria Math"/>
          <w:lang w:val="en-US"/>
        </w:rPr>
        <w:t>𝐿</w:t>
      </w:r>
      <w:r>
        <w:rPr>
          <w:lang w:val="en-US"/>
        </w:rPr>
        <w:t>CA</w:t>
      </w:r>
      <w:r>
        <w:rPr>
          <w:vertAlign w:val="subscript"/>
          <w:lang w:val="en-US"/>
        </w:rPr>
        <w:t>C</w:t>
      </w:r>
      <w:r>
        <w:rPr>
          <w:lang w:val="en-US"/>
        </w:rPr>
        <w:t xml:space="preserve"> + </w:t>
      </w:r>
      <w:r>
        <w:rPr>
          <w:rFonts w:ascii="Cambria Math" w:hAnsi="Cambria Math" w:cs="Cambria Math"/>
          <w:lang w:val="en-US"/>
        </w:rPr>
        <w:t>𝐿</w:t>
      </w:r>
      <w:r>
        <w:rPr>
          <w:lang w:val="en-US"/>
        </w:rPr>
        <w:t>CA</w:t>
      </w:r>
      <w:r>
        <w:rPr>
          <w:rFonts w:hint="eastAsia"/>
          <w:vertAlign w:val="subscript"/>
          <w:lang w:val="en-US"/>
        </w:rPr>
        <w:t>O</w:t>
      </w:r>
      <w:r>
        <w:rPr>
          <w:vertAlign w:val="subscript"/>
          <w:lang w:val="en-US"/>
        </w:rPr>
        <w:t xml:space="preserve"> </w:t>
      </w:r>
      <w:r>
        <w:rPr>
          <w:lang w:val="en-US"/>
        </w:rPr>
        <w:t xml:space="preserve">+ </w:t>
      </w:r>
      <w:r>
        <w:rPr>
          <w:rFonts w:ascii="Cambria Math" w:hAnsi="Cambria Math" w:cs="Cambria Math"/>
          <w:lang w:val="en-US"/>
        </w:rPr>
        <w:t>𝐿</w:t>
      </w:r>
      <w:r>
        <w:rPr>
          <w:lang w:val="en-US"/>
        </w:rPr>
        <w:t>CA</w:t>
      </w:r>
      <w:r>
        <w:rPr>
          <w:vertAlign w:val="subscript"/>
          <w:lang w:val="en-US"/>
        </w:rPr>
        <w:t>R</w:t>
      </w:r>
    </w:p>
    <w:p>
      <w:pPr>
        <w:ind w:firstLine="420"/>
        <w:rPr>
          <w:vertAlign w:val="subscript"/>
          <w:lang w:val="en-US"/>
        </w:rPr>
      </w:pPr>
    </w:p>
    <w:p>
      <w:pPr>
        <w:pStyle w:val="4"/>
      </w:pPr>
      <w:bookmarkStart w:id="37" w:name="_Toc22349"/>
      <w:r>
        <w:rPr>
          <w:rFonts w:hint="eastAsia"/>
        </w:rPr>
        <w:t>影响因素 Impact categories</w:t>
      </w:r>
      <w:bookmarkEnd w:id="37"/>
    </w:p>
    <w:p>
      <w:pPr>
        <w:ind w:firstLine="420"/>
        <w:rPr>
          <w:lang w:val="en-US"/>
        </w:rPr>
      </w:pPr>
      <w:r>
        <w:rPr>
          <w:rFonts w:hint="eastAsia"/>
          <w:lang w:val="en-US"/>
        </w:rPr>
        <w:t>除全球变暖潜值环境影响指标外，ISO21930:2017 还建议从初级能源消耗、酸化、富营养化、臭氧层消耗、光化学烟雾等指标综合评估建筑对环境的影响。国内碳排放计算对这些建议指标未做明确要求，本报告用于不同的认证体系时，可根据认证体系具体要求进行分析。</w:t>
      </w:r>
    </w:p>
    <w:p>
      <w:pPr>
        <w:pStyle w:val="2"/>
      </w:pPr>
      <w:bookmarkStart w:id="38" w:name="_Toc349"/>
      <w:r>
        <w:rPr>
          <w:rFonts w:hint="eastAsia"/>
        </w:rPr>
        <w:t>数据来源与取舍原则 Analysis data sources and cut-off principle</w:t>
      </w:r>
      <w:bookmarkEnd w:id="38"/>
    </w:p>
    <w:p>
      <w:pPr>
        <w:pStyle w:val="4"/>
      </w:pPr>
      <w:bookmarkStart w:id="39" w:name="_Toc30711"/>
      <w:r>
        <w:rPr>
          <w:rFonts w:hint="eastAsia"/>
        </w:rPr>
        <w:t>用量（活动）数据来源 Activity data sources</w:t>
      </w:r>
      <w:bookmarkEnd w:id="39"/>
    </w:p>
    <w:p>
      <w:pPr>
        <w:pStyle w:val="3"/>
        <w:numPr>
          <w:ilvl w:val="0"/>
          <w:numId w:val="4"/>
        </w:numPr>
        <w:ind w:firstLineChars="0"/>
        <w:rPr>
          <w:b/>
          <w:lang w:val="en-US"/>
        </w:rPr>
      </w:pPr>
      <w:r>
        <w:rPr>
          <w:rFonts w:hint="eastAsia"/>
          <w:b/>
          <w:lang w:val="en-US"/>
        </w:rPr>
        <w:t>建筑材料用量</w:t>
      </w:r>
    </w:p>
    <w:p>
      <w:pPr>
        <w:pStyle w:val="3"/>
        <w:ind w:firstLine="420"/>
        <w:rPr>
          <w:lang w:val="en-US"/>
        </w:rPr>
      </w:pPr>
      <w:r>
        <w:rPr>
          <w:rFonts w:hint="eastAsia"/>
          <w:lang w:val="en-US"/>
        </w:rPr>
        <w:t>本报告中的建材用量来源：</w:t>
      </w:r>
    </w:p>
    <w:p>
      <w:pPr>
        <w:pStyle w:val="3"/>
        <w:ind w:firstLine="420"/>
        <w:rPr>
          <w:color w:val="A6A6A6" w:themeColor="background1" w:themeShade="A6"/>
          <w:lang w:val="en-US"/>
        </w:rPr>
      </w:pPr>
      <w:r>
        <w:rPr>
          <w:rFonts w:hint="eastAsia"/>
          <w:color w:val="A6A6A6" w:themeColor="background1" w:themeShade="A6"/>
          <w:lang w:val="en-US"/>
        </w:rPr>
        <w:t>工程预算清单、决算清单；</w:t>
      </w:r>
    </w:p>
    <w:p>
      <w:pPr>
        <w:pStyle w:val="3"/>
        <w:ind w:firstLine="420"/>
        <w:rPr>
          <w:color w:val="A6A6A6" w:themeColor="background1" w:themeShade="A6"/>
          <w:lang w:val="en-US"/>
        </w:rPr>
      </w:pPr>
      <w:r>
        <w:rPr>
          <w:rFonts w:hint="eastAsia"/>
          <w:color w:val="A6A6A6" w:themeColor="background1" w:themeShade="A6"/>
          <w:lang w:val="en-US"/>
        </w:rPr>
        <w:t>根据建筑信息模型提取体量并结合建材指标计算用量；</w:t>
      </w:r>
    </w:p>
    <w:p>
      <w:pPr>
        <w:pStyle w:val="3"/>
        <w:numPr>
          <w:ilvl w:val="0"/>
          <w:numId w:val="4"/>
        </w:numPr>
        <w:ind w:firstLineChars="0"/>
        <w:rPr>
          <w:color w:val="A6A6A6" w:themeColor="background1" w:themeShade="A6"/>
          <w:lang w:val="en-US"/>
        </w:rPr>
      </w:pPr>
      <w:r>
        <w:rPr>
          <w:rFonts w:hint="eastAsia"/>
          <w:b/>
          <w:lang w:val="en-US"/>
        </w:rPr>
        <w:t>建筑材料运输</w:t>
      </w:r>
    </w:p>
    <w:p>
      <w:pPr>
        <w:pStyle w:val="3"/>
        <w:ind w:left="420" w:firstLine="0" w:firstLineChars="0"/>
        <w:rPr>
          <w:lang w:val="en-US"/>
        </w:rPr>
      </w:pPr>
      <w:r>
        <w:rPr>
          <w:rFonts w:hint="eastAsia"/>
          <w:lang w:val="en-US"/>
        </w:rPr>
        <w:t>优先项目建材供货地点的交通测算；</w:t>
      </w:r>
    </w:p>
    <w:p>
      <w:pPr>
        <w:pStyle w:val="3"/>
        <w:ind w:firstLine="420"/>
        <w:rPr>
          <w:lang w:val="en-US"/>
        </w:rPr>
      </w:pPr>
      <w:r>
        <w:rPr>
          <w:rFonts w:hint="eastAsia"/>
          <w:lang w:val="en-US"/>
        </w:rPr>
        <w:t>无准确数据时，取《建筑碳排放计算标准》GB/T 51366-2019附录E中默认值,混凝土的运输距离值</w:t>
      </w:r>
      <w:r>
        <w:rPr>
          <w:lang w:val="en-US"/>
        </w:rPr>
        <w:t>40km</w:t>
      </w:r>
      <w:r>
        <w:rPr>
          <w:rFonts w:hint="eastAsia"/>
          <w:lang w:val="en-US"/>
        </w:rPr>
        <w:t>，其他建材默认运输距值为500</w:t>
      </w:r>
      <w:r>
        <w:rPr>
          <w:lang w:val="en-US"/>
        </w:rPr>
        <w:t>k</w:t>
      </w:r>
      <w:r>
        <w:rPr>
          <w:rFonts w:hint="eastAsia"/>
          <w:lang w:val="en-US"/>
        </w:rPr>
        <w:t>m；</w:t>
      </w:r>
    </w:p>
    <w:p>
      <w:pPr>
        <w:pStyle w:val="3"/>
        <w:numPr>
          <w:ilvl w:val="0"/>
          <w:numId w:val="4"/>
        </w:numPr>
        <w:ind w:firstLineChars="0"/>
        <w:rPr>
          <w:b/>
          <w:lang w:val="en-US"/>
        </w:rPr>
      </w:pPr>
      <w:r>
        <w:rPr>
          <w:rFonts w:hint="eastAsia"/>
          <w:b/>
          <w:lang w:val="en-US"/>
        </w:rPr>
        <w:t>建材碳排放数据</w:t>
      </w:r>
    </w:p>
    <w:p>
      <w:pPr>
        <w:pStyle w:val="3"/>
        <w:ind w:firstLine="420"/>
        <w:rPr>
          <w:color w:val="A6A6A6" w:themeColor="background1" w:themeShade="A6"/>
          <w:lang w:val="en-US"/>
        </w:rPr>
      </w:pPr>
      <w:r>
        <w:rPr>
          <w:rFonts w:hint="eastAsia"/>
          <w:color w:val="A6A6A6" w:themeColor="background1" w:themeShade="A6"/>
          <w:lang w:val="en-US"/>
        </w:rPr>
        <w:t>建材生产碳排放因子参考《建筑碳排放计算标准》GB/T 51366-2019附录D、《全生命周期碳足迹》及相关的论文文献。</w:t>
      </w:r>
    </w:p>
    <w:p>
      <w:pPr>
        <w:pStyle w:val="3"/>
        <w:numPr>
          <w:ilvl w:val="0"/>
          <w:numId w:val="4"/>
        </w:numPr>
        <w:ind w:firstLineChars="0"/>
        <w:rPr>
          <w:b/>
          <w:lang w:val="en-US"/>
        </w:rPr>
      </w:pPr>
      <w:r>
        <w:rPr>
          <w:b/>
          <w:lang w:val="en-US"/>
        </w:rPr>
        <w:t>施工碳排放数据</w:t>
      </w:r>
    </w:p>
    <w:p>
      <w:pPr>
        <w:pStyle w:val="3"/>
        <w:ind w:firstLine="420"/>
        <w:rPr>
          <w:color w:val="A6A6A6" w:themeColor="background1" w:themeShade="A6"/>
          <w:lang w:val="en-US"/>
        </w:rPr>
      </w:pPr>
      <w:r>
        <w:rPr>
          <w:rFonts w:hint="eastAsia"/>
          <w:color w:val="A6A6A6" w:themeColor="background1" w:themeShade="A6"/>
          <w:lang w:val="en-US"/>
        </w:rPr>
        <w:t>施工台账、预（决）算清单；</w:t>
      </w:r>
    </w:p>
    <w:p>
      <w:pPr>
        <w:pStyle w:val="3"/>
        <w:ind w:firstLine="420"/>
        <w:rPr>
          <w:color w:val="A6A6A6" w:themeColor="background1" w:themeShade="A6"/>
          <w:lang w:val="en-US"/>
        </w:rPr>
      </w:pPr>
      <w:r>
        <w:rPr>
          <w:color w:val="A6A6A6" w:themeColor="background1" w:themeShade="A6"/>
          <w:lang w:val="en-US"/>
        </w:rPr>
        <w:t>经验公式</w:t>
      </w:r>
      <w:r>
        <w:rPr>
          <w:rFonts w:hint="eastAsia"/>
          <w:color w:val="A6A6A6" w:themeColor="background1" w:themeShade="A6"/>
          <w:lang w:val="en-US"/>
        </w:rPr>
        <w:t>，</w:t>
      </w:r>
      <w:r>
        <w:rPr>
          <w:color w:val="A6A6A6" w:themeColor="background1" w:themeShade="A6"/>
          <w:lang w:val="en-US"/>
        </w:rPr>
        <w:t>通过经验公式估算建筑单位面积建造碳排放量</w:t>
      </w:r>
      <w:r>
        <w:rPr>
          <w:rFonts w:hint="eastAsia"/>
          <w:color w:val="A6A6A6" w:themeColor="background1" w:themeShade="A6"/>
          <w:lang w:val="en-US"/>
        </w:rPr>
        <w:t>，</w:t>
      </w:r>
      <w:r>
        <w:rPr>
          <w:color w:val="A6A6A6" w:themeColor="background1" w:themeShade="A6"/>
          <w:lang w:val="en-US"/>
        </w:rPr>
        <w:t>再根据建筑信息模型提取体量计算</w:t>
      </w:r>
      <w:r>
        <w:rPr>
          <w:rFonts w:hint="eastAsia"/>
          <w:color w:val="A6A6A6" w:themeColor="background1" w:themeShade="A6"/>
          <w:lang w:val="en-US"/>
        </w:rPr>
        <w:t>；</w:t>
      </w:r>
    </w:p>
    <w:p>
      <w:pPr>
        <w:pStyle w:val="3"/>
        <w:ind w:firstLine="420"/>
        <w:rPr>
          <w:color w:val="A6A6A6" w:themeColor="background1" w:themeShade="A6"/>
          <w:lang w:val="en-US"/>
        </w:rPr>
      </w:pPr>
      <w:r>
        <w:rPr>
          <w:color w:val="A6A6A6" w:themeColor="background1" w:themeShade="A6"/>
          <w:lang w:val="en-US"/>
        </w:rPr>
        <w:t>比例估算</w:t>
      </w:r>
      <w:r>
        <w:rPr>
          <w:rFonts w:hint="eastAsia"/>
          <w:color w:val="A6A6A6" w:themeColor="background1" w:themeShade="A6"/>
          <w:lang w:val="en-US"/>
        </w:rPr>
        <w:t>，</w:t>
      </w:r>
      <w:r>
        <w:rPr>
          <w:color w:val="A6A6A6" w:themeColor="background1" w:themeShade="A6"/>
          <w:lang w:val="en-US"/>
        </w:rPr>
        <w:t>通过建造阶段占物化阶段的比例进行估算</w:t>
      </w:r>
      <w:r>
        <w:rPr>
          <w:rFonts w:hint="eastAsia"/>
          <w:color w:val="A6A6A6" w:themeColor="background1" w:themeShade="A6"/>
          <w:lang w:val="en-US"/>
        </w:rPr>
        <w:t>；</w:t>
      </w:r>
    </w:p>
    <w:p>
      <w:pPr>
        <w:pStyle w:val="3"/>
        <w:numPr>
          <w:ilvl w:val="0"/>
          <w:numId w:val="4"/>
        </w:numPr>
        <w:ind w:firstLineChars="0"/>
        <w:rPr>
          <w:b/>
          <w:lang w:val="en-US"/>
        </w:rPr>
      </w:pPr>
      <w:r>
        <w:rPr>
          <w:b/>
          <w:lang w:val="en-US"/>
        </w:rPr>
        <w:t>建筑运行数据</w:t>
      </w:r>
    </w:p>
    <w:p>
      <w:pPr>
        <w:pStyle w:val="3"/>
        <w:ind w:firstLine="420"/>
        <w:rPr>
          <w:color w:val="A6A6A6" w:themeColor="background1" w:themeShade="A6"/>
          <w:lang w:val="en-US"/>
        </w:rPr>
      </w:pPr>
      <w:r>
        <w:rPr>
          <w:color w:val="A6A6A6" w:themeColor="background1" w:themeShade="A6"/>
          <w:lang w:val="en-US"/>
        </w:rPr>
        <w:t>根据相关标准要求进行能耗模拟</w:t>
      </w:r>
      <w:r>
        <w:rPr>
          <w:rFonts w:hint="eastAsia"/>
          <w:color w:val="A6A6A6" w:themeColor="background1" w:themeShade="A6"/>
          <w:lang w:val="en-US"/>
        </w:rPr>
        <w:t>；</w:t>
      </w:r>
    </w:p>
    <w:p>
      <w:pPr>
        <w:pStyle w:val="3"/>
        <w:ind w:firstLine="420"/>
        <w:rPr>
          <w:color w:val="A6A6A6" w:themeColor="background1" w:themeShade="A6"/>
          <w:lang w:val="en-US"/>
        </w:rPr>
      </w:pPr>
      <w:r>
        <w:rPr>
          <w:color w:val="A6A6A6" w:themeColor="background1" w:themeShade="A6"/>
          <w:lang w:val="en-US"/>
        </w:rPr>
        <w:t>运行监测数据统计</w:t>
      </w:r>
      <w:r>
        <w:rPr>
          <w:rFonts w:hint="eastAsia"/>
          <w:color w:val="A6A6A6" w:themeColor="background1" w:themeShade="A6"/>
          <w:lang w:val="en-US"/>
        </w:rPr>
        <w:t>；</w:t>
      </w:r>
    </w:p>
    <w:p>
      <w:pPr>
        <w:pStyle w:val="3"/>
        <w:numPr>
          <w:ilvl w:val="0"/>
          <w:numId w:val="4"/>
        </w:numPr>
        <w:ind w:firstLineChars="0"/>
        <w:rPr>
          <w:b/>
          <w:lang w:val="en-US"/>
        </w:rPr>
      </w:pPr>
      <w:r>
        <w:rPr>
          <w:b/>
          <w:lang w:val="en-US"/>
        </w:rPr>
        <w:t>建筑拆除数据</w:t>
      </w:r>
    </w:p>
    <w:p>
      <w:pPr>
        <w:pStyle w:val="3"/>
        <w:ind w:firstLine="420"/>
        <w:rPr>
          <w:color w:val="A6A6A6" w:themeColor="background1" w:themeShade="A6"/>
          <w:lang w:val="en-US"/>
        </w:rPr>
      </w:pPr>
      <w:r>
        <w:rPr>
          <w:color w:val="A6A6A6" w:themeColor="background1" w:themeShade="A6"/>
          <w:lang w:val="en-US"/>
        </w:rPr>
        <w:t>拆除工程预算定额</w:t>
      </w:r>
      <w:r>
        <w:rPr>
          <w:rFonts w:hint="eastAsia"/>
          <w:color w:val="A6A6A6" w:themeColor="background1" w:themeShade="A6"/>
          <w:lang w:val="en-US"/>
        </w:rPr>
        <w:t>；</w:t>
      </w:r>
    </w:p>
    <w:p>
      <w:pPr>
        <w:pStyle w:val="3"/>
        <w:ind w:firstLine="420"/>
        <w:rPr>
          <w:color w:val="A6A6A6" w:themeColor="background1" w:themeShade="A6"/>
          <w:lang w:val="en-US"/>
        </w:rPr>
      </w:pPr>
      <w:r>
        <w:rPr>
          <w:color w:val="A6A6A6" w:themeColor="background1" w:themeShade="A6"/>
          <w:lang w:val="en-US"/>
        </w:rPr>
        <w:t>经验公式</w:t>
      </w:r>
      <w:r>
        <w:rPr>
          <w:rFonts w:hint="eastAsia"/>
          <w:color w:val="A6A6A6" w:themeColor="background1" w:themeShade="A6"/>
          <w:lang w:val="en-US"/>
        </w:rPr>
        <w:t>，</w:t>
      </w:r>
      <w:r>
        <w:rPr>
          <w:color w:val="A6A6A6" w:themeColor="background1" w:themeShade="A6"/>
          <w:lang w:val="en-US"/>
        </w:rPr>
        <w:t>通过经验公式估算建筑单位面积建造碳排放量</w:t>
      </w:r>
      <w:r>
        <w:rPr>
          <w:rFonts w:hint="eastAsia"/>
          <w:color w:val="A6A6A6" w:themeColor="background1" w:themeShade="A6"/>
          <w:lang w:val="en-US"/>
        </w:rPr>
        <w:t>，</w:t>
      </w:r>
      <w:r>
        <w:rPr>
          <w:color w:val="A6A6A6" w:themeColor="background1" w:themeShade="A6"/>
          <w:lang w:val="en-US"/>
        </w:rPr>
        <w:t>再根据建筑信息模型提取体量计算</w:t>
      </w:r>
      <w:r>
        <w:rPr>
          <w:rFonts w:hint="eastAsia"/>
          <w:color w:val="A6A6A6" w:themeColor="background1" w:themeShade="A6"/>
          <w:lang w:val="en-US"/>
        </w:rPr>
        <w:t>；</w:t>
      </w:r>
    </w:p>
    <w:p>
      <w:pPr>
        <w:pStyle w:val="3"/>
        <w:ind w:firstLine="420"/>
        <w:rPr>
          <w:color w:val="A6A6A6" w:themeColor="background1" w:themeShade="A6"/>
          <w:lang w:val="en-US"/>
        </w:rPr>
      </w:pPr>
      <w:r>
        <w:rPr>
          <w:color w:val="A6A6A6" w:themeColor="background1" w:themeShade="A6"/>
          <w:lang w:val="en-US"/>
        </w:rPr>
        <w:t>比例估算</w:t>
      </w:r>
      <w:r>
        <w:rPr>
          <w:rFonts w:hint="eastAsia"/>
          <w:color w:val="A6A6A6" w:themeColor="background1" w:themeShade="A6"/>
          <w:lang w:val="en-US"/>
        </w:rPr>
        <w:t>，</w:t>
      </w:r>
      <w:r>
        <w:rPr>
          <w:color w:val="A6A6A6" w:themeColor="background1" w:themeShade="A6"/>
          <w:lang w:val="en-US"/>
        </w:rPr>
        <w:t>通过</w:t>
      </w:r>
      <w:r>
        <w:rPr>
          <w:rFonts w:hint="eastAsia"/>
          <w:color w:val="A6A6A6" w:themeColor="background1" w:themeShade="A6"/>
          <w:lang w:val="en-US"/>
        </w:rPr>
        <w:t>拆除</w:t>
      </w:r>
      <w:r>
        <w:rPr>
          <w:color w:val="A6A6A6" w:themeColor="background1" w:themeShade="A6"/>
          <w:lang w:val="en-US"/>
        </w:rPr>
        <w:t>阶段占物化阶段的比例进行估算</w:t>
      </w:r>
      <w:r>
        <w:rPr>
          <w:rFonts w:hint="eastAsia"/>
          <w:color w:val="A6A6A6" w:themeColor="background1" w:themeShade="A6"/>
          <w:lang w:val="en-US"/>
        </w:rPr>
        <w:t>；</w:t>
      </w:r>
    </w:p>
    <w:p>
      <w:pPr>
        <w:pStyle w:val="3"/>
        <w:numPr>
          <w:ilvl w:val="0"/>
          <w:numId w:val="4"/>
        </w:numPr>
        <w:ind w:firstLineChars="0"/>
        <w:rPr>
          <w:b/>
          <w:lang w:val="en-US"/>
        </w:rPr>
      </w:pPr>
      <w:r>
        <w:rPr>
          <w:b/>
          <w:lang w:val="en-US"/>
        </w:rPr>
        <w:t>建筑维护数据</w:t>
      </w:r>
    </w:p>
    <w:p>
      <w:pPr>
        <w:pStyle w:val="3"/>
        <w:ind w:firstLine="420"/>
        <w:rPr>
          <w:color w:val="A6A6A6" w:themeColor="background1" w:themeShade="A6"/>
          <w:lang w:val="en-US"/>
        </w:rPr>
      </w:pPr>
      <w:r>
        <w:rPr>
          <w:rFonts w:hint="eastAsia"/>
          <w:color w:val="A6A6A6" w:themeColor="background1" w:themeShade="A6"/>
          <w:lang w:val="en-US"/>
        </w:rPr>
        <w:t>维修或更换的设备设施情况此部分影响很小，总量占比不足 1%，无确定数据来源，此部分可根据取舍原则忽略。</w:t>
      </w:r>
    </w:p>
    <w:p>
      <w:pPr>
        <w:pStyle w:val="3"/>
        <w:numPr>
          <w:ilvl w:val="0"/>
          <w:numId w:val="4"/>
        </w:numPr>
        <w:ind w:firstLineChars="0"/>
        <w:rPr>
          <w:b/>
          <w:lang w:val="en-US"/>
        </w:rPr>
      </w:pPr>
      <w:r>
        <w:rPr>
          <w:rFonts w:hint="eastAsia"/>
          <w:b/>
          <w:lang w:val="en-US"/>
        </w:rPr>
        <w:t>建筑景观数据</w:t>
      </w:r>
    </w:p>
    <w:p>
      <w:pPr>
        <w:pStyle w:val="3"/>
        <w:ind w:firstLine="420"/>
        <w:rPr>
          <w:color w:val="A6A6A6" w:themeColor="background1" w:themeShade="A6"/>
          <w:lang w:val="en-US"/>
        </w:rPr>
      </w:pPr>
      <w:r>
        <w:rPr>
          <w:rFonts w:hint="eastAsia"/>
          <w:color w:val="A6A6A6" w:themeColor="background1" w:themeShade="A6"/>
          <w:lang w:val="en-US"/>
        </w:rPr>
        <w:t>景观设计图、苗木表等景观规划相关图纸。</w:t>
      </w:r>
    </w:p>
    <w:p>
      <w:pPr>
        <w:pStyle w:val="3"/>
        <w:ind w:left="840" w:firstLine="0" w:firstLineChars="0"/>
        <w:rPr>
          <w:b/>
          <w:lang w:val="en-US"/>
        </w:rPr>
      </w:pPr>
    </w:p>
    <w:p>
      <w:pPr>
        <w:pStyle w:val="4"/>
      </w:pPr>
      <w:bookmarkStart w:id="40" w:name="_Toc5304"/>
      <w:r>
        <w:rPr>
          <w:rFonts w:hint="eastAsia"/>
        </w:rPr>
        <w:t>排放数据来源 Emission factor data sources</w:t>
      </w:r>
      <w:bookmarkEnd w:id="40"/>
    </w:p>
    <w:p>
      <w:pPr>
        <w:pStyle w:val="3"/>
        <w:numPr>
          <w:ilvl w:val="0"/>
          <w:numId w:val="5"/>
        </w:numPr>
        <w:ind w:firstLineChars="0"/>
        <w:rPr>
          <w:b/>
          <w:lang w:val="en-US"/>
        </w:rPr>
      </w:pPr>
      <w:r>
        <w:rPr>
          <w:rFonts w:hint="eastAsia"/>
          <w:b/>
          <w:lang w:val="en-US"/>
        </w:rPr>
        <w:t>建材碳排放因子</w:t>
      </w:r>
    </w:p>
    <w:p>
      <w:pPr>
        <w:pStyle w:val="3"/>
        <w:ind w:firstLine="420"/>
        <w:rPr>
          <w:lang w:val="en-US"/>
        </w:rPr>
      </w:pPr>
      <w:r>
        <w:rPr>
          <w:rFonts w:hint="eastAsia"/>
          <w:lang w:val="en-US"/>
        </w:rPr>
        <w:t>建材生产碳排放因子参考《建筑碳排放计算标准》GB/T 51366-2019附录D、《全生命周期碳足迹》及相关的论文文献。部分建材根据厂商提供的碳排放数据。</w:t>
      </w:r>
    </w:p>
    <w:p>
      <w:pPr>
        <w:pStyle w:val="3"/>
        <w:numPr>
          <w:ilvl w:val="0"/>
          <w:numId w:val="5"/>
        </w:numPr>
        <w:ind w:firstLineChars="0"/>
        <w:rPr>
          <w:b/>
          <w:lang w:val="en-US"/>
        </w:rPr>
      </w:pPr>
      <w:r>
        <w:rPr>
          <w:rFonts w:hint="eastAsia"/>
          <w:b/>
          <w:lang w:val="en-US"/>
        </w:rPr>
        <w:t>电网平均碳排放因子</w:t>
      </w:r>
    </w:p>
    <w:p>
      <w:pPr>
        <w:pStyle w:val="3"/>
        <w:ind w:firstLine="420"/>
        <w:rPr>
          <w:color w:val="A6A6A6" w:themeColor="background1" w:themeShade="A6"/>
          <w:lang w:val="en-US"/>
        </w:rPr>
      </w:pPr>
      <w:r>
        <w:rPr>
          <w:rFonts w:hint="eastAsia"/>
          <w:lang w:val="en-US"/>
        </w:rPr>
        <w:t>根据中国人民共和国生态环境部公布的2</w:t>
      </w:r>
      <w:r>
        <w:rPr>
          <w:lang w:val="en-US"/>
        </w:rPr>
        <w:t>022年中国区域电网二氧化碳排放因子</w:t>
      </w:r>
      <w:r>
        <w:rPr>
          <w:rFonts w:hint="eastAsia"/>
          <w:lang w:val="en-US"/>
        </w:rPr>
        <w:t>（默认）。</w:t>
      </w:r>
    </w:p>
    <w:p>
      <w:pPr>
        <w:pStyle w:val="3"/>
        <w:numPr>
          <w:ilvl w:val="0"/>
          <w:numId w:val="5"/>
        </w:numPr>
        <w:ind w:firstLineChars="0"/>
        <w:rPr>
          <w:b/>
          <w:lang w:val="en-US"/>
        </w:rPr>
      </w:pPr>
      <w:r>
        <w:rPr>
          <w:b/>
          <w:lang w:val="en-US"/>
        </w:rPr>
        <w:t>能源碳排放因子</w:t>
      </w:r>
    </w:p>
    <w:p>
      <w:pPr>
        <w:pStyle w:val="3"/>
        <w:ind w:firstLine="420"/>
        <w:rPr>
          <w:lang w:val="en-US"/>
        </w:rPr>
      </w:pPr>
      <w:r>
        <w:rPr>
          <w:lang w:val="en-US"/>
        </w:rPr>
        <w:t>主要能源碳排放因子参考</w:t>
      </w:r>
      <w:r>
        <w:rPr>
          <w:rFonts w:hint="eastAsia"/>
          <w:lang w:val="en-US"/>
        </w:rPr>
        <w:t>《建筑碳排放计算标准》GB/T 51366-2019附录</w:t>
      </w:r>
      <w:r>
        <w:rPr>
          <w:lang w:val="en-US"/>
        </w:rPr>
        <w:t>A</w:t>
      </w:r>
      <w:r>
        <w:rPr>
          <w:rFonts w:hint="eastAsia"/>
          <w:lang w:val="en-US"/>
        </w:rPr>
        <w:t>。</w:t>
      </w:r>
    </w:p>
    <w:p>
      <w:pPr>
        <w:pStyle w:val="3"/>
        <w:numPr>
          <w:ilvl w:val="0"/>
          <w:numId w:val="5"/>
        </w:numPr>
        <w:ind w:firstLineChars="0"/>
        <w:rPr>
          <w:b/>
          <w:lang w:val="en-US"/>
        </w:rPr>
      </w:pPr>
      <w:r>
        <w:rPr>
          <w:b/>
          <w:lang w:val="en-US"/>
        </w:rPr>
        <w:t>绿化固碳量</w:t>
      </w:r>
    </w:p>
    <w:p>
      <w:pPr>
        <w:pStyle w:val="3"/>
        <w:ind w:firstLine="420"/>
        <w:rPr>
          <w:lang w:val="en-US"/>
        </w:rPr>
      </w:pPr>
      <w:r>
        <w:rPr>
          <w:rFonts w:hint="eastAsia"/>
          <w:lang w:val="en-US"/>
        </w:rPr>
        <w:t>绿化固碳量参考广东省住房和城乡建设厅《建筑碳排放计算导则（试行）》附录3。</w:t>
      </w:r>
    </w:p>
    <w:p>
      <w:pPr>
        <w:pStyle w:val="4"/>
      </w:pPr>
      <w:bookmarkStart w:id="41" w:name="_Toc24567"/>
      <w:r>
        <w:rPr>
          <w:rFonts w:hint="eastAsia"/>
        </w:rPr>
        <w:t>取舍原则 Cut-off</w:t>
      </w:r>
      <w:bookmarkEnd w:id="41"/>
    </w:p>
    <w:p>
      <w:pPr>
        <w:pStyle w:val="3"/>
        <w:ind w:firstLine="420"/>
        <w:rPr>
          <w:lang w:val="en-US"/>
        </w:rPr>
      </w:pPr>
      <w:r>
        <w:rPr>
          <w:rFonts w:hint="eastAsia"/>
          <w:lang w:val="en-US"/>
        </w:rPr>
        <w:t>本报告采用的取舍规则以各项材料投入占产品重量或过程总投入的重量比为依据及《建筑碳排放计算标准》GB/T 51366和《绿色建筑评价标准》GB/T 5</w:t>
      </w:r>
      <w:r>
        <w:rPr>
          <w:lang w:val="en-US"/>
        </w:rPr>
        <w:t>0378规定</w:t>
      </w:r>
      <w:r>
        <w:rPr>
          <w:rFonts w:hint="eastAsia"/>
          <w:lang w:val="en-US"/>
        </w:rPr>
        <w:t>：</w:t>
      </w:r>
    </w:p>
    <w:p>
      <w:pPr>
        <w:pStyle w:val="3"/>
        <w:ind w:firstLine="420"/>
        <w:rPr>
          <w:lang w:val="en-US"/>
        </w:rPr>
      </w:pPr>
      <w:r>
        <w:rPr>
          <w:rFonts w:hint="eastAsia"/>
          <w:lang w:val="en-US"/>
        </w:rPr>
        <w:t>（1）普通物料重量＜1%产品重量时，以及含稀贵或高纯成分的物料重量＜0.1%产品重量时，可忽略该物料的上游生产数据；总共忽略的物料重量不超过5 %；GB/T 5</w:t>
      </w:r>
      <w:r>
        <w:rPr>
          <w:lang w:val="en-US"/>
        </w:rPr>
        <w:t>037规定“主要建筑材料的总重量不应低于</w:t>
      </w:r>
      <w:r>
        <w:rPr>
          <w:rFonts w:hint="eastAsia"/>
          <w:lang w:val="en-US"/>
        </w:rPr>
        <w:t>建筑中所耗建材总重量95%”。</w:t>
      </w:r>
    </w:p>
    <w:p>
      <w:pPr>
        <w:pStyle w:val="3"/>
        <w:ind w:firstLine="420"/>
        <w:rPr>
          <w:lang w:val="en-US"/>
        </w:rPr>
      </w:pPr>
      <w:r>
        <w:rPr>
          <w:rFonts w:hint="eastAsia"/>
          <w:lang w:val="en-US"/>
        </w:rPr>
        <w:t>（2）低价值废物作为原料，如粉煤灰、矿渣、秸秆、生活垃圾等，可忽略其上游生产数据；</w:t>
      </w:r>
    </w:p>
    <w:p>
      <w:pPr>
        <w:pStyle w:val="3"/>
        <w:ind w:firstLine="420"/>
        <w:rPr>
          <w:lang w:val="en-US"/>
        </w:rPr>
      </w:pPr>
      <w:r>
        <w:rPr>
          <w:rFonts w:hint="eastAsia"/>
          <w:lang w:val="en-US"/>
        </w:rPr>
        <w:t>（3）大多数情况下，生产设备、厂房、生活设施等可以忽 ；GB/T 51366规定“建造阶段使用的办公用房、生活用房和材料放等临时设施和拆除可不计入”。</w:t>
      </w:r>
    </w:p>
    <w:p>
      <w:pPr>
        <w:pStyle w:val="3"/>
        <w:ind w:firstLine="420"/>
        <w:rPr>
          <w:lang w:val="en-US"/>
        </w:rPr>
      </w:pPr>
      <w:r>
        <w:rPr>
          <w:rFonts w:hint="eastAsia"/>
          <w:lang w:val="en-US"/>
        </w:rPr>
        <w:t>（4）在选定环境影响类型范围内的已知排放数据不应忽略; GB/T 51366</w:t>
      </w:r>
      <w:r>
        <w:rPr>
          <w:lang w:val="en-US"/>
        </w:rPr>
        <w:t>规定“</w:t>
      </w:r>
      <w:r>
        <w:rPr>
          <w:rFonts w:hint="eastAsia"/>
          <w:lang w:val="en-US"/>
        </w:rPr>
        <w:t>变配电、建筑内家用电器、办公电器、炊事等受使用方式影响较大的建筑碳排放不确定性大，这部分碳排放量在总碳排放量中占比不高，不影响对设计阶段建筑方案碳排放强度优劣的判断，国际上通用法是建筑碳排放计算不纳入家用电器、办公电器、炊事等的碳排放量”。</w:t>
      </w:r>
    </w:p>
    <w:bookmarkEnd w:id="29"/>
    <w:bookmarkEnd w:id="30"/>
    <w:bookmarkEnd w:id="31"/>
    <w:bookmarkEnd w:id="32"/>
    <w:p>
      <w:pPr>
        <w:pStyle w:val="2"/>
      </w:pPr>
      <w:bookmarkStart w:id="42" w:name="_Toc28707"/>
      <w:r>
        <w:rPr>
          <w:rFonts w:hint="eastAsia"/>
        </w:rPr>
        <w:t>全生命周期分析结果</w:t>
      </w:r>
      <w:r>
        <w:t>Life Cycle Assessment Results</w:t>
      </w:r>
      <w:bookmarkEnd w:id="42"/>
    </w:p>
    <w:p>
      <w:pPr>
        <w:pStyle w:val="4"/>
      </w:pPr>
      <w:bookmarkStart w:id="43" w:name="_Toc103699712"/>
      <w:bookmarkStart w:id="44" w:name="_Toc9881"/>
      <w:r>
        <w:t>建材生产运输碳排放</w:t>
      </w:r>
      <w:bookmarkEnd w:id="43"/>
      <w:r>
        <w:rPr>
          <w:rFonts w:hint="eastAsia"/>
        </w:rPr>
        <w:t xml:space="preserve"> </w:t>
      </w:r>
      <w:r>
        <w:t>Product and transport stage</w:t>
      </w:r>
      <w:bookmarkEnd w:id="44"/>
    </w:p>
    <w:p>
      <w:pPr>
        <w:pStyle w:val="5"/>
      </w:pPr>
      <w:bookmarkStart w:id="45" w:name="_Toc103699713"/>
      <w:bookmarkStart w:id="46" w:name="_Toc22584"/>
      <w:r>
        <w:t>建材生产阶段</w:t>
      </w:r>
      <w:bookmarkEnd w:id="45"/>
      <w:r>
        <w:rPr>
          <w:rFonts w:hint="eastAsia"/>
        </w:rPr>
        <w:t xml:space="preserve"> </w:t>
      </w:r>
      <w:r>
        <w:rPr>
          <w:color w:val="000000"/>
        </w:rPr>
        <w:t>Product stage</w:t>
      </w:r>
      <w:bookmarkEnd w:id="46"/>
    </w:p>
    <w:tbl>
      <w:tblPr>
        <w:tblStyle w:val="19"/>
        <w:tblW w:w="929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63"/>
        <w:gridCol w:w="696"/>
        <w:gridCol w:w="1131"/>
        <w:gridCol w:w="1131"/>
        <w:gridCol w:w="1273"/>
        <w:gridCol w:w="1556"/>
        <w:gridCol w:w="12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材料</w:t>
            </w:r>
          </w:p>
        </w:tc>
        <w:tc>
          <w:tcPr>
            <w:shd w:val="clear" w:color="auto" w:fill="E6E6E6"/>
            <w:vAlign w:val="center"/>
          </w:tcPr>
          <w:p>
            <w:pPr>
              <w:jc w:val="center"/>
            </w:pPr>
            <w:r>
              <w:t>单位</w:t>
            </w:r>
          </w:p>
        </w:tc>
        <w:tc>
          <w:tcPr>
            <w:shd w:val="clear" w:color="auto" w:fill="E6E6E6"/>
            <w:vAlign w:val="center"/>
          </w:tcPr>
          <w:p>
            <w:pPr>
              <w:jc w:val="center"/>
            </w:pPr>
            <w:r>
              <w:t>用量</w:t>
            </w:r>
          </w:p>
        </w:tc>
        <w:tc>
          <w:tcPr>
            <w:shd w:val="clear" w:color="auto" w:fill="E6E6E6"/>
            <w:vAlign w:val="center"/>
          </w:tcPr>
          <w:p>
            <w:pPr>
              <w:jc w:val="center"/>
            </w:pPr>
            <w:r>
              <w:t>拆除后回收比例</w:t>
            </w:r>
          </w:p>
        </w:tc>
        <w:tc>
          <w:tcPr>
            <w:shd w:val="clear" w:color="auto" w:fill="E6E6E6"/>
            <w:vAlign w:val="center"/>
          </w:tcPr>
          <w:p>
            <w:pPr>
              <w:jc w:val="center"/>
            </w:pPr>
            <w:r>
              <w:t>寿命(年)</w:t>
            </w:r>
          </w:p>
        </w:tc>
        <w:tc>
          <w:tcPr>
            <w:shd w:val="clear" w:color="auto" w:fill="E6E6E6"/>
            <w:vAlign w:val="center"/>
          </w:tcPr>
          <w:p>
            <w:pPr>
              <w:jc w:val="center"/>
            </w:pPr>
            <w:r>
              <w:t>碳排放因子</w:t>
            </w:r>
            <w:r>
              <w:br w:type="textWrapping"/>
            </w:r>
            <w:r>
              <w:t>(kgCO2e/单位)</w:t>
            </w:r>
          </w:p>
        </w:tc>
        <w:tc>
          <w:tcPr>
            <w:shd w:val="clear" w:color="auto" w:fill="E6E6E6"/>
            <w:vAlign w:val="center"/>
          </w:tcPr>
          <w:p>
            <w:pPr>
              <w:jc w:val="center"/>
            </w:pPr>
            <w:r>
              <w:t>碳排放量</w:t>
            </w:r>
            <w:r>
              <w:br w:type="textWrapping"/>
            </w:r>
            <w:r>
              <w:t>(tCO2e)</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r>
              <w:t>合计</w:t>
            </w:r>
          </w:p>
        </w:tc>
        <w:tc>
          <w:tcPr>
            <w:vAlign w:val="center"/>
          </w:tcPr>
          <w:p>
            <w:pPr>
              <w:jc w:val="right"/>
            </w:pPr>
            <w:r>
              <w:t>0.000</w:t>
            </w:r>
          </w:p>
        </w:tc>
      </w:tr>
    </w:tbl>
    <w:p>
      <w:pPr>
        <w:ind w:firstLine="420"/>
        <w:rPr>
          <w:lang w:val="en-US"/>
        </w:rPr>
      </w:pPr>
      <w:bookmarkStart w:id="47" w:name="建材生产阶段碳排放"/>
      <w:bookmarkEnd w:id="47"/>
    </w:p>
    <w:p>
      <w:pPr>
        <w:pStyle w:val="5"/>
        <w:widowControl w:val="0"/>
        <w:jc w:val="both"/>
        <w:rPr>
          <w:color w:val="000000"/>
        </w:rPr>
      </w:pPr>
      <w:bookmarkStart w:id="48" w:name="_Toc103699714"/>
      <w:bookmarkStart w:id="49" w:name="_Toc26245"/>
      <w:r>
        <w:rPr>
          <w:color w:val="000000"/>
        </w:rPr>
        <w:t>建材运输阶段</w:t>
      </w:r>
      <w:bookmarkEnd w:id="48"/>
      <w:r>
        <w:rPr>
          <w:rFonts w:hint="eastAsia"/>
          <w:color w:val="000000"/>
        </w:rPr>
        <w:t xml:space="preserve"> </w:t>
      </w:r>
      <w:r>
        <w:rPr>
          <w:color w:val="000000"/>
        </w:rPr>
        <w:t>Transport stage</w:t>
      </w:r>
      <w:bookmarkEnd w:id="49"/>
    </w:p>
    <w:tbl>
      <w:tblPr>
        <w:tblStyle w:val="19"/>
        <w:tblW w:w="926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671"/>
        <w:gridCol w:w="1262"/>
        <w:gridCol w:w="1131"/>
        <w:gridCol w:w="1273"/>
        <w:gridCol w:w="1567"/>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材料</w:t>
            </w:r>
          </w:p>
        </w:tc>
        <w:tc>
          <w:tcPr>
            <w:shd w:val="clear" w:color="auto" w:fill="E6E6E6"/>
            <w:vAlign w:val="center"/>
          </w:tcPr>
          <w:p>
            <w:pPr>
              <w:jc w:val="center"/>
            </w:pPr>
            <w:r>
              <w:t>重量(t)</w:t>
            </w:r>
          </w:p>
        </w:tc>
        <w:tc>
          <w:tcPr>
            <w:shd w:val="clear" w:color="auto" w:fill="E6E6E6"/>
            <w:vAlign w:val="center"/>
          </w:tcPr>
          <w:p>
            <w:pPr>
              <w:jc w:val="center"/>
            </w:pPr>
            <w:r>
              <w:t>运输距离</w:t>
            </w:r>
            <w:r>
              <w:br w:type="textWrapping"/>
            </w:r>
            <w:r>
              <w:t>(km)</w:t>
            </w:r>
          </w:p>
        </w:tc>
        <w:tc>
          <w:tcPr>
            <w:shd w:val="clear" w:color="auto" w:fill="E6E6E6"/>
            <w:vAlign w:val="center"/>
          </w:tcPr>
          <w:p>
            <w:pPr>
              <w:jc w:val="center"/>
            </w:pPr>
            <w:r>
              <w:t>寿命(年)</w:t>
            </w:r>
          </w:p>
        </w:tc>
        <w:tc>
          <w:tcPr>
            <w:shd w:val="clear" w:color="auto" w:fill="E6E6E6"/>
            <w:vAlign w:val="center"/>
          </w:tcPr>
          <w:p>
            <w:pPr>
              <w:jc w:val="center"/>
            </w:pPr>
            <w:r>
              <w:t>碳排放因子</w:t>
            </w:r>
            <w:r>
              <w:br w:type="textWrapping"/>
            </w:r>
            <w:r>
              <w:t>(kgCO2e/t·km)</w:t>
            </w:r>
          </w:p>
        </w:tc>
        <w:tc>
          <w:tcPr>
            <w:shd w:val="clear" w:color="auto" w:fill="E6E6E6"/>
            <w:vAlign w:val="center"/>
          </w:tcPr>
          <w:p>
            <w:pPr>
              <w:jc w:val="center"/>
            </w:pPr>
            <w:r>
              <w:t>碳排放量</w:t>
            </w:r>
            <w:r>
              <w:br w:type="textWrapping"/>
            </w:r>
            <w:r>
              <w:t>(tCO2e)</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总计</w:t>
            </w:r>
          </w:p>
        </w:tc>
        <w:tc>
          <w:tcPr>
            <w:vAlign w:val="center"/>
          </w:tcPr>
          <w:p>
            <w:pPr>
              <w:jc w:val="right"/>
            </w:pPr>
            <w:r>
              <w:t>0.000</w:t>
            </w:r>
          </w:p>
        </w:tc>
      </w:tr>
    </w:tbl>
    <w:p>
      <w:pPr>
        <w:ind w:firstLine="420"/>
        <w:rPr>
          <w:lang w:val="en-US"/>
        </w:rPr>
      </w:pPr>
      <w:bookmarkStart w:id="50" w:name="建材运输阶段碳排放"/>
      <w:bookmarkEnd w:id="50"/>
    </w:p>
    <w:p>
      <w:pPr>
        <w:pStyle w:val="4"/>
      </w:pPr>
      <w:bookmarkStart w:id="51" w:name="_Toc103699715"/>
      <w:bookmarkStart w:id="52" w:name="_Toc11158"/>
      <w:r>
        <w:t>建造</w:t>
      </w:r>
      <w:bookmarkEnd w:id="51"/>
      <w:r>
        <w:rPr>
          <w:rFonts w:hint="eastAsia"/>
        </w:rPr>
        <w:t>阶段</w:t>
      </w:r>
      <w:r>
        <w:t>Construction process stage</w:t>
      </w:r>
      <w:bookmarkEnd w:id="52"/>
    </w:p>
    <w:p>
      <w:pPr>
        <w:ind w:firstLine="420"/>
        <w:rPr>
          <w:lang w:val="en-US"/>
        </w:rPr>
      </w:pPr>
      <w:bookmarkStart w:id="53" w:name="建筑建造碳排放"/>
      <w:bookmarkEnd w:id="53"/>
      <w:r>
        <w:rPr>
          <w:lang w:val="en-US"/>
        </w:rPr>
        <w:t>根据广东省《建筑碳排放计算导则（试行）》，采用经验公式法进行估算，公式如下：</w:t>
      </w:r>
    </w:p>
    <w:p>
      <w:pPr>
        <w:ind w:firstLine="420"/>
        <w:rPr>
          <w:lang w:val="en-US"/>
        </w:rPr>
      </w:pPr>
      <w:r>
        <w:rPr>
          <w:lang w:val="en-US"/>
        </w:rPr>
        <w:t xml:space="preserve">Y = X + 1.99 </w:t>
      </w:r>
    </w:p>
    <w:p>
      <w:pPr>
        <w:ind w:firstLine="420"/>
        <w:rPr>
          <w:lang w:val="en-US"/>
        </w:rPr>
      </w:pPr>
      <w:r>
        <w:rPr>
          <w:lang w:val="en-US"/>
        </w:rPr>
        <w:t>其中X 为地上层数，Y 为单位面积的碳排放量，单位为：kgCO2/㎡,</w:t>
      </w:r>
    </w:p>
    <w:p>
      <w:pPr>
        <w:ind w:firstLine="420"/>
        <w:rPr>
          <w:lang w:val="en-US"/>
        </w:rPr>
      </w:pPr>
      <w:r>
        <w:rPr>
          <w:lang w:val="en-US"/>
        </w:rPr>
        <w:t>则建造阶段碳排放估算值 Cjz=Y×A, 其中A——建筑总面积，㎡。</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建筑面积(㎡)</w:t>
            </w:r>
          </w:p>
        </w:tc>
        <w:tc>
          <w:tcPr>
            <w:shd w:val="clear" w:color="auto" w:fill="E6E6E6"/>
            <w:vAlign w:val="center"/>
          </w:tcPr>
          <w:p>
            <w:pPr>
              <w:jc w:val="center"/>
            </w:pPr>
            <w:r>
              <w:t>地上层数</w:t>
            </w:r>
          </w:p>
        </w:tc>
        <w:tc>
          <w:tcPr>
            <w:shd w:val="clear" w:color="auto" w:fill="E6E6E6"/>
            <w:vAlign w:val="center"/>
          </w:tcPr>
          <w:p>
            <w:pPr>
              <w:jc w:val="center"/>
            </w:pPr>
            <w:r>
              <w:t>单位面积碳排放量(kgCO2/㎡)</w:t>
            </w:r>
          </w:p>
        </w:tc>
        <w:tc>
          <w:tcPr>
            <w:shd w:val="clear" w:color="auto" w:fill="E6E6E6"/>
            <w:vAlign w:val="center"/>
          </w:tcPr>
          <w:p>
            <w:pPr>
              <w:jc w:val="center"/>
            </w:pPr>
            <w:r>
              <w:t>建造碳排放量(tCO2)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7320.73</w:t>
            </w:r>
          </w:p>
        </w:tc>
        <w:tc>
          <w:tcPr>
            <w:vAlign w:val="center"/>
          </w:tcPr>
          <w:p>
            <w:r>
              <w:t>3</w:t>
            </w:r>
          </w:p>
        </w:tc>
        <w:tc>
          <w:tcPr>
            <w:vAlign w:val="center"/>
          </w:tcPr>
          <w:p>
            <w:r>
              <w:t>4.99</w:t>
            </w:r>
          </w:p>
        </w:tc>
        <w:tc>
          <w:tcPr>
            <w:vAlign w:val="center"/>
          </w:tcPr>
          <w:p>
            <w:r>
              <w:t>36.530</w:t>
            </w:r>
          </w:p>
        </w:tc>
      </w:tr>
    </w:tbl>
    <w:p>
      <w:pPr>
        <w:ind w:firstLine="420"/>
        <w:rPr>
          <w:lang w:val="en-US"/>
        </w:rPr>
      </w:pPr>
    </w:p>
    <w:p>
      <w:pPr>
        <w:pStyle w:val="4"/>
        <w:widowControl w:val="0"/>
      </w:pPr>
      <w:bookmarkStart w:id="54" w:name="_Toc103699717"/>
      <w:bookmarkStart w:id="55" w:name="_Toc16424"/>
      <w:r>
        <w:t>建筑运行</w:t>
      </w:r>
      <w:bookmarkEnd w:id="54"/>
      <w:r>
        <w:rPr>
          <w:rFonts w:hint="eastAsia"/>
        </w:rPr>
        <w:t>使用阶段Use</w:t>
      </w:r>
      <w:r>
        <w:t xml:space="preserve"> stage</w:t>
      </w:r>
      <w:bookmarkEnd w:id="55"/>
    </w:p>
    <w:p>
      <w:pPr>
        <w:pStyle w:val="5"/>
      </w:pPr>
      <w:bookmarkStart w:id="56" w:name="_Toc31764"/>
      <w:r>
        <w:rPr>
          <w:rFonts w:hint="eastAsia"/>
        </w:rPr>
        <w:t>建筑运行阶段能源使用 Operational energy use</w:t>
      </w:r>
      <w:bookmarkEnd w:id="56"/>
      <w:r>
        <w:t xml:space="preserve"> </w:t>
      </w:r>
    </w:p>
    <w:tbl>
      <w:tblPr>
        <w:tblStyle w:val="19"/>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51"/>
        <w:gridCol w:w="1985"/>
        <w:gridCol w:w="1701"/>
        <w:gridCol w:w="15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26" w:type="dxa"/>
            <w:shd w:val="clear" w:color="auto" w:fill="D0CECE"/>
            <w:vAlign w:val="center"/>
          </w:tcPr>
          <w:p>
            <w:pPr>
              <w:ind w:firstLine="0" w:firstLineChars="0"/>
              <w:jc w:val="center"/>
              <w:rPr>
                <w:lang w:val="en-US"/>
              </w:rPr>
            </w:pPr>
            <w:bookmarkStart w:id="57" w:name="运行碳排表"/>
            <w:r>
              <w:rPr>
                <w:rFonts w:hint="eastAsia"/>
                <w:lang w:val="en-US"/>
              </w:rPr>
              <w:t>电力</w:t>
            </w:r>
          </w:p>
        </w:tc>
        <w:tc>
          <w:tcPr>
            <w:tcW w:w="2551" w:type="dxa"/>
            <w:tcBorders>
              <w:bottom w:val="single" w:color="auto" w:sz="4" w:space="0"/>
            </w:tcBorders>
            <w:shd w:val="clear" w:color="auto" w:fill="D0CECE"/>
            <w:vAlign w:val="center"/>
          </w:tcPr>
          <w:p>
            <w:pPr>
              <w:ind w:firstLine="0" w:firstLineChars="0"/>
              <w:jc w:val="center"/>
              <w:rPr>
                <w:lang w:val="en-US"/>
              </w:rPr>
            </w:pPr>
            <w:r>
              <w:rPr>
                <w:rFonts w:hint="eastAsia"/>
                <w:lang w:val="en-US"/>
              </w:rPr>
              <w:t>类别</w:t>
            </w:r>
          </w:p>
        </w:tc>
        <w:tc>
          <w:tcPr>
            <w:tcW w:w="1985" w:type="dxa"/>
            <w:shd w:val="clear" w:color="auto" w:fill="D0CECE"/>
            <w:vAlign w:val="center"/>
          </w:tcPr>
          <w:p>
            <w:pPr>
              <w:ind w:firstLine="0" w:firstLineChars="0"/>
              <w:jc w:val="center"/>
              <w:rPr>
                <w:lang w:val="en-US"/>
              </w:rPr>
            </w:pPr>
            <w:r>
              <w:rPr>
                <w:lang w:val="en-US"/>
              </w:rPr>
              <w:t xml:space="preserve">耗电 </w:t>
            </w:r>
          </w:p>
          <w:p>
            <w:pPr>
              <w:ind w:firstLine="0" w:firstLineChars="0"/>
              <w:jc w:val="center"/>
              <w:rPr>
                <w:lang w:val="en-US"/>
              </w:rPr>
            </w:pPr>
            <w:r>
              <w:rPr>
                <w:lang w:val="en-US"/>
              </w:rPr>
              <w:t>(kWh</w:t>
            </w:r>
            <w:r>
              <w:rPr>
                <w:rFonts w:hint="eastAsia"/>
                <w:lang w:val="en-US"/>
              </w:rPr>
              <w:t>/㎡</w:t>
            </w:r>
            <w:r>
              <w:rPr>
                <w:lang w:val="en-US"/>
              </w:rPr>
              <w:t>)</w:t>
            </w:r>
          </w:p>
        </w:tc>
        <w:tc>
          <w:tcPr>
            <w:tcW w:w="1701" w:type="dxa"/>
            <w:shd w:val="clear" w:color="auto" w:fill="D0CECE"/>
            <w:vAlign w:val="center"/>
          </w:tcPr>
          <w:p>
            <w:pPr>
              <w:ind w:firstLine="0" w:firstLineChars="0"/>
              <w:jc w:val="center"/>
              <w:rPr>
                <w:lang w:val="en-US"/>
              </w:rPr>
            </w:pPr>
            <w:r>
              <w:rPr>
                <w:rFonts w:hint="eastAsia"/>
                <w:lang w:val="en-US"/>
              </w:rPr>
              <w:t>碳排放</w:t>
            </w:r>
            <w:r>
              <w:rPr>
                <w:lang w:val="en-US"/>
              </w:rPr>
              <w:t>因子</w:t>
            </w:r>
          </w:p>
          <w:p>
            <w:pPr>
              <w:ind w:firstLine="0" w:firstLineChars="0"/>
              <w:jc w:val="center"/>
              <w:rPr>
                <w:lang w:val="en-US"/>
              </w:rPr>
            </w:pPr>
            <w:r>
              <w:rPr>
                <w:rFonts w:hint="eastAsia"/>
                <w:lang w:val="en-US"/>
              </w:rPr>
              <w:t>(</w:t>
            </w:r>
            <w:r>
              <w:rPr>
                <w:lang w:val="en-US"/>
              </w:rPr>
              <w:t>kgCO2/kWh</w:t>
            </w:r>
            <w:r>
              <w:rPr>
                <w:rFonts w:hint="eastAsia"/>
                <w:lang w:val="en-US"/>
              </w:rPr>
              <w:t>)</w:t>
            </w:r>
          </w:p>
        </w:tc>
        <w:tc>
          <w:tcPr>
            <w:tcW w:w="1570" w:type="dxa"/>
            <w:shd w:val="clear" w:color="auto" w:fill="D0CECE"/>
            <w:vAlign w:val="center"/>
          </w:tcPr>
          <w:p>
            <w:pPr>
              <w:ind w:firstLine="0" w:firstLineChars="0"/>
              <w:jc w:val="center"/>
              <w:rPr>
                <w:lang w:val="en-US"/>
              </w:rPr>
            </w:pPr>
            <w:r>
              <w:rPr>
                <w:rFonts w:hint="eastAsia"/>
                <w:lang w:val="en-US"/>
              </w:rPr>
              <w:t>碳排放量(t</w:t>
            </w:r>
            <w:r>
              <w:rPr>
                <w:lang w:val="en-US"/>
              </w:rPr>
              <w:t>CO2</w:t>
            </w: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restart"/>
            <w:shd w:val="clear" w:color="auto" w:fill="FFFFFF"/>
            <w:vAlign w:val="center"/>
          </w:tcPr>
          <w:p>
            <w:pPr>
              <w:ind w:firstLine="0" w:firstLineChars="0"/>
              <w:jc w:val="center"/>
              <w:rPr>
                <w:lang w:val="en-US"/>
              </w:rPr>
            </w:pPr>
            <w:r>
              <w:rPr>
                <w:rFonts w:hint="eastAsia"/>
                <w:lang w:val="en-US"/>
              </w:rPr>
              <w:t>供冷</w:t>
            </w:r>
          </w:p>
          <w:p>
            <w:pPr>
              <w:ind w:firstLine="0" w:firstLineChars="0"/>
              <w:jc w:val="center"/>
              <w:rPr>
                <w:lang w:val="en-US"/>
              </w:rPr>
            </w:pPr>
            <w:r>
              <w:rPr>
                <w:rFonts w:hint="eastAsia"/>
                <w:lang w:val="en-US"/>
              </w:rPr>
              <w:t>(</w:t>
            </w:r>
            <w:r>
              <w:rPr>
                <w:lang w:val="en-US"/>
              </w:rPr>
              <w:t>Ec)</w:t>
            </w:r>
          </w:p>
        </w:tc>
        <w:tc>
          <w:tcPr>
            <w:tcW w:w="2551" w:type="dxa"/>
            <w:tcBorders>
              <w:top w:val="single" w:color="auto" w:sz="4" w:space="0"/>
            </w:tcBorders>
            <w:shd w:val="clear" w:color="auto" w:fill="FFFFFF"/>
            <w:vAlign w:val="center"/>
          </w:tcPr>
          <w:p>
            <w:pPr>
              <w:ind w:firstLine="0" w:firstLineChars="0"/>
              <w:jc w:val="center"/>
              <w:rPr>
                <w:lang w:val="en-US"/>
              </w:rPr>
            </w:pPr>
            <w:r>
              <w:rPr>
                <w:rFonts w:hint="eastAsia"/>
                <w:lang w:val="en-US"/>
              </w:rPr>
              <w:t>中央冷源</w:t>
            </w:r>
          </w:p>
        </w:tc>
        <w:tc>
          <w:tcPr>
            <w:tcW w:w="1985" w:type="dxa"/>
            <w:vAlign w:val="center"/>
          </w:tcPr>
          <w:p>
            <w:pPr>
              <w:ind w:firstLine="0" w:firstLineChars="0"/>
              <w:jc w:val="center"/>
              <w:rPr>
                <w:lang w:val="en-US"/>
              </w:rPr>
            </w:pPr>
            <w:bookmarkStart w:id="58" w:name="冷源能耗"/>
            <w:r>
              <w:rPr>
                <w:lang w:val="en-US"/>
              </w:rPr>
              <w:t>0.00</w:t>
            </w:r>
            <w:bookmarkEnd w:id="58"/>
          </w:p>
        </w:tc>
        <w:tc>
          <w:tcPr>
            <w:tcW w:w="1701" w:type="dxa"/>
            <w:vMerge w:val="restart"/>
            <w:vAlign w:val="center"/>
          </w:tcPr>
          <w:p>
            <w:pPr>
              <w:ind w:firstLine="0" w:firstLineChars="0"/>
              <w:jc w:val="center"/>
              <w:rPr>
                <w:lang w:val="en-US"/>
              </w:rPr>
            </w:pPr>
            <w:bookmarkStart w:id="59" w:name="电力CO2排放因子"/>
            <w:r>
              <w:t>0.5703</w:t>
            </w:r>
            <w:bookmarkEnd w:id="59"/>
          </w:p>
        </w:tc>
        <w:tc>
          <w:tcPr>
            <w:tcW w:w="1570" w:type="dxa"/>
            <w:vMerge w:val="restart"/>
            <w:vAlign w:val="center"/>
          </w:tcPr>
          <w:p>
            <w:pPr>
              <w:ind w:firstLine="0" w:firstLineChars="0"/>
              <w:jc w:val="center"/>
              <w:rPr>
                <w:lang w:val="en-US"/>
              </w:rPr>
            </w:pPr>
            <w:bookmarkStart w:id="60" w:name="空调能耗_电耗CO2排放"/>
            <w:r>
              <w:t>0.000</w:t>
            </w:r>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pPr>
              <w:ind w:firstLine="0" w:firstLineChars="0"/>
              <w:jc w:val="center"/>
              <w:rPr>
                <w:lang w:val="en-US"/>
              </w:rPr>
            </w:pPr>
          </w:p>
        </w:tc>
        <w:tc>
          <w:tcPr>
            <w:tcW w:w="2551" w:type="dxa"/>
            <w:shd w:val="clear" w:color="auto" w:fill="FFFFFF"/>
            <w:vAlign w:val="center"/>
          </w:tcPr>
          <w:p>
            <w:pPr>
              <w:ind w:firstLine="0" w:firstLineChars="0"/>
              <w:jc w:val="center"/>
              <w:rPr>
                <w:lang w:val="en-US"/>
              </w:rPr>
            </w:pPr>
            <w:r>
              <w:rPr>
                <w:rFonts w:hint="eastAsia"/>
                <w:lang w:val="en-US"/>
              </w:rPr>
              <w:t>冷却水泵</w:t>
            </w:r>
          </w:p>
        </w:tc>
        <w:tc>
          <w:tcPr>
            <w:tcW w:w="1985" w:type="dxa"/>
            <w:vAlign w:val="center"/>
          </w:tcPr>
          <w:p>
            <w:pPr>
              <w:ind w:firstLine="0" w:firstLineChars="0"/>
              <w:jc w:val="center"/>
              <w:rPr>
                <w:lang w:val="en-US"/>
              </w:rPr>
            </w:pPr>
            <w:bookmarkStart w:id="61" w:name="冷却水泵能耗"/>
            <w:r>
              <w:rPr>
                <w:lang w:val="en-US"/>
              </w:rPr>
              <w:t>0.00</w:t>
            </w:r>
            <w:bookmarkEnd w:id="61"/>
          </w:p>
        </w:tc>
        <w:tc>
          <w:tcPr>
            <w:tcW w:w="1701" w:type="dxa"/>
            <w:vMerge w:val="continue"/>
            <w:vAlign w:val="center"/>
          </w:tcPr>
          <w:p>
            <w:pPr>
              <w:ind w:firstLine="0" w:firstLineChars="0"/>
              <w:jc w:val="center"/>
              <w:rPr>
                <w:lang w:val="en-US"/>
              </w:rPr>
            </w:pPr>
          </w:p>
        </w:tc>
        <w:tc>
          <w:tcPr>
            <w:tcW w:w="1570" w:type="dxa"/>
            <w:vMerge w:val="continue"/>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pPr>
              <w:ind w:firstLine="0" w:firstLineChars="0"/>
              <w:jc w:val="center"/>
              <w:rPr>
                <w:lang w:val="en-US"/>
              </w:rPr>
            </w:pPr>
          </w:p>
        </w:tc>
        <w:tc>
          <w:tcPr>
            <w:tcW w:w="2551" w:type="dxa"/>
            <w:shd w:val="clear" w:color="auto" w:fill="FFFFFF"/>
            <w:vAlign w:val="center"/>
          </w:tcPr>
          <w:p>
            <w:pPr>
              <w:ind w:firstLine="0" w:firstLineChars="0"/>
              <w:jc w:val="center"/>
              <w:rPr>
                <w:lang w:val="en-US"/>
              </w:rPr>
            </w:pPr>
            <w:r>
              <w:rPr>
                <w:rFonts w:hint="eastAsia"/>
                <w:lang w:val="en-US"/>
              </w:rPr>
              <w:t>冷冻水泵</w:t>
            </w:r>
          </w:p>
        </w:tc>
        <w:tc>
          <w:tcPr>
            <w:tcW w:w="1985" w:type="dxa"/>
            <w:vAlign w:val="center"/>
          </w:tcPr>
          <w:p>
            <w:pPr>
              <w:ind w:firstLine="0" w:firstLineChars="0"/>
              <w:jc w:val="center"/>
              <w:rPr>
                <w:lang w:val="en-US"/>
              </w:rPr>
            </w:pPr>
            <w:bookmarkStart w:id="62" w:name="冷冻水泵能耗"/>
            <w:r>
              <w:rPr>
                <w:lang w:val="en-US"/>
              </w:rPr>
              <w:t>0.00</w:t>
            </w:r>
            <w:bookmarkEnd w:id="62"/>
          </w:p>
        </w:tc>
        <w:tc>
          <w:tcPr>
            <w:tcW w:w="1701" w:type="dxa"/>
            <w:vMerge w:val="continue"/>
            <w:vAlign w:val="center"/>
          </w:tcPr>
          <w:p>
            <w:pPr>
              <w:ind w:firstLine="0" w:firstLineChars="0"/>
              <w:jc w:val="center"/>
              <w:rPr>
                <w:lang w:val="en-US"/>
              </w:rPr>
            </w:pPr>
          </w:p>
        </w:tc>
        <w:tc>
          <w:tcPr>
            <w:tcW w:w="1570" w:type="dxa"/>
            <w:vMerge w:val="continue"/>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pPr>
              <w:ind w:firstLine="0" w:firstLineChars="0"/>
              <w:jc w:val="center"/>
              <w:rPr>
                <w:lang w:val="en-US"/>
              </w:rPr>
            </w:pPr>
          </w:p>
        </w:tc>
        <w:tc>
          <w:tcPr>
            <w:tcW w:w="2551" w:type="dxa"/>
            <w:shd w:val="clear" w:color="auto" w:fill="FFFFFF"/>
            <w:vAlign w:val="center"/>
          </w:tcPr>
          <w:p>
            <w:pPr>
              <w:ind w:firstLine="0" w:firstLineChars="0"/>
              <w:jc w:val="center"/>
              <w:rPr>
                <w:lang w:val="en-US"/>
              </w:rPr>
            </w:pPr>
            <w:r>
              <w:rPr>
                <w:rFonts w:hint="eastAsia"/>
                <w:lang w:val="en-US"/>
              </w:rPr>
              <w:t>冷却</w:t>
            </w:r>
            <w:r>
              <w:rPr>
                <w:lang w:val="en-US"/>
              </w:rPr>
              <w:t>塔</w:t>
            </w:r>
          </w:p>
        </w:tc>
        <w:tc>
          <w:tcPr>
            <w:tcW w:w="1985" w:type="dxa"/>
            <w:vAlign w:val="center"/>
          </w:tcPr>
          <w:p>
            <w:pPr>
              <w:ind w:firstLine="0" w:firstLineChars="0"/>
              <w:jc w:val="center"/>
              <w:rPr>
                <w:lang w:val="en-US"/>
              </w:rPr>
            </w:pPr>
            <w:bookmarkStart w:id="63" w:name="冷却塔能耗"/>
            <w:r>
              <w:rPr>
                <w:rFonts w:hint="eastAsia"/>
                <w:lang w:val="en-US"/>
              </w:rPr>
              <w:t>0.00</w:t>
            </w:r>
            <w:bookmarkEnd w:id="63"/>
          </w:p>
        </w:tc>
        <w:tc>
          <w:tcPr>
            <w:tcW w:w="1701" w:type="dxa"/>
            <w:vMerge w:val="continue"/>
            <w:vAlign w:val="center"/>
          </w:tcPr>
          <w:p>
            <w:pPr>
              <w:ind w:firstLine="0" w:firstLineChars="0"/>
              <w:jc w:val="center"/>
              <w:rPr>
                <w:lang w:val="en-US"/>
              </w:rPr>
            </w:pPr>
          </w:p>
        </w:tc>
        <w:tc>
          <w:tcPr>
            <w:tcW w:w="1570" w:type="dxa"/>
            <w:vMerge w:val="continue"/>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pPr>
              <w:ind w:firstLine="0" w:firstLineChars="0"/>
              <w:jc w:val="center"/>
              <w:rPr>
                <w:lang w:val="en-US"/>
              </w:rPr>
            </w:pPr>
          </w:p>
        </w:tc>
        <w:tc>
          <w:tcPr>
            <w:tcW w:w="2551" w:type="dxa"/>
            <w:shd w:val="clear" w:color="auto" w:fill="FFFFFF"/>
            <w:vAlign w:val="center"/>
          </w:tcPr>
          <w:p>
            <w:pPr>
              <w:ind w:firstLine="0" w:firstLineChars="0"/>
              <w:jc w:val="center"/>
              <w:rPr>
                <w:lang w:val="en-US"/>
              </w:rPr>
            </w:pPr>
            <w:r>
              <w:rPr>
                <w:rFonts w:hint="eastAsia"/>
                <w:lang w:val="en-US"/>
              </w:rPr>
              <w:t>多联机/单元式空调</w:t>
            </w:r>
          </w:p>
        </w:tc>
        <w:tc>
          <w:tcPr>
            <w:tcW w:w="1985" w:type="dxa"/>
            <w:vAlign w:val="center"/>
          </w:tcPr>
          <w:p>
            <w:pPr>
              <w:ind w:firstLine="0" w:firstLineChars="0"/>
              <w:jc w:val="center"/>
              <w:rPr>
                <w:lang w:val="en-US"/>
              </w:rPr>
            </w:pPr>
            <w:bookmarkStart w:id="64" w:name="单元式空调能耗"/>
            <w:r>
              <w:rPr>
                <w:lang w:val="en-US"/>
              </w:rPr>
              <w:t>0.00</w:t>
            </w:r>
            <w:bookmarkEnd w:id="64"/>
          </w:p>
        </w:tc>
        <w:tc>
          <w:tcPr>
            <w:tcW w:w="1701" w:type="dxa"/>
            <w:vMerge w:val="continue"/>
            <w:vAlign w:val="center"/>
          </w:tcPr>
          <w:p>
            <w:pPr>
              <w:ind w:firstLine="0" w:firstLineChars="0"/>
              <w:jc w:val="center"/>
              <w:rPr>
                <w:lang w:val="en-US"/>
              </w:rPr>
            </w:pPr>
          </w:p>
        </w:tc>
        <w:tc>
          <w:tcPr>
            <w:tcW w:w="1570" w:type="dxa"/>
            <w:vMerge w:val="continue"/>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pPr>
              <w:ind w:firstLine="0" w:firstLineChars="0"/>
              <w:jc w:val="center"/>
              <w:rPr>
                <w:lang w:val="en-US"/>
              </w:rPr>
            </w:pPr>
          </w:p>
        </w:tc>
        <w:tc>
          <w:tcPr>
            <w:tcW w:w="2551" w:type="dxa"/>
            <w:tcBorders>
              <w:bottom w:val="single" w:color="auto" w:sz="4" w:space="0"/>
            </w:tcBorders>
            <w:shd w:val="clear" w:color="auto" w:fill="FFFFFF"/>
            <w:vAlign w:val="center"/>
          </w:tcPr>
          <w:p>
            <w:pPr>
              <w:ind w:firstLine="0" w:firstLineChars="0"/>
              <w:jc w:val="center"/>
              <w:rPr>
                <w:lang w:val="en-US"/>
              </w:rPr>
            </w:pPr>
            <w:r>
              <w:rPr>
                <w:rFonts w:hint="eastAsia"/>
                <w:lang w:val="en-US"/>
              </w:rPr>
              <w:t>供冷合计</w:t>
            </w:r>
          </w:p>
        </w:tc>
        <w:tc>
          <w:tcPr>
            <w:tcW w:w="1985" w:type="dxa"/>
            <w:vAlign w:val="center"/>
          </w:tcPr>
          <w:p>
            <w:pPr>
              <w:ind w:firstLine="0" w:firstLineChars="0"/>
              <w:jc w:val="center"/>
              <w:rPr>
                <w:lang w:val="en-US"/>
              </w:rPr>
            </w:pPr>
            <w:bookmarkStart w:id="65" w:name="空调能耗"/>
            <w:r>
              <w:rPr>
                <w:lang w:val="en-US"/>
              </w:rPr>
              <w:t>0.00</w:t>
            </w:r>
            <w:bookmarkEnd w:id="65"/>
          </w:p>
        </w:tc>
        <w:tc>
          <w:tcPr>
            <w:tcW w:w="1701" w:type="dxa"/>
            <w:vMerge w:val="continue"/>
            <w:vAlign w:val="center"/>
          </w:tcPr>
          <w:p>
            <w:pPr>
              <w:ind w:firstLine="0" w:firstLineChars="0"/>
              <w:jc w:val="center"/>
              <w:rPr>
                <w:lang w:val="en-US"/>
              </w:rPr>
            </w:pPr>
          </w:p>
        </w:tc>
        <w:tc>
          <w:tcPr>
            <w:tcW w:w="1570" w:type="dxa"/>
            <w:vMerge w:val="continue"/>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restart"/>
            <w:shd w:val="clear" w:color="auto" w:fill="FFFFFF"/>
            <w:vAlign w:val="center"/>
          </w:tcPr>
          <w:p>
            <w:pPr>
              <w:ind w:firstLine="0" w:firstLineChars="0"/>
              <w:jc w:val="center"/>
              <w:rPr>
                <w:lang w:val="en-US"/>
              </w:rPr>
            </w:pPr>
            <w:r>
              <w:rPr>
                <w:rFonts w:hint="eastAsia"/>
                <w:lang w:val="en-US"/>
              </w:rPr>
              <w:t>供暖</w:t>
            </w:r>
          </w:p>
          <w:p>
            <w:pPr>
              <w:ind w:firstLine="0" w:firstLineChars="0"/>
              <w:jc w:val="center"/>
              <w:rPr>
                <w:lang w:val="en-US"/>
              </w:rPr>
            </w:pPr>
            <w:r>
              <w:rPr>
                <w:rFonts w:hint="eastAsia"/>
                <w:lang w:val="en-US"/>
              </w:rPr>
              <w:t>(</w:t>
            </w:r>
            <w:r>
              <w:rPr>
                <w:lang w:val="en-US"/>
              </w:rPr>
              <w:t>Eh)</w:t>
            </w:r>
          </w:p>
        </w:tc>
        <w:tc>
          <w:tcPr>
            <w:tcW w:w="2551" w:type="dxa"/>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中央热源</w:t>
            </w:r>
          </w:p>
        </w:tc>
        <w:tc>
          <w:tcPr>
            <w:tcW w:w="1985" w:type="dxa"/>
            <w:vAlign w:val="center"/>
          </w:tcPr>
          <w:p>
            <w:pPr>
              <w:ind w:firstLine="0" w:firstLineChars="0"/>
              <w:jc w:val="center"/>
              <w:rPr>
                <w:lang w:val="en-US"/>
              </w:rPr>
            </w:pPr>
            <w:bookmarkStart w:id="66" w:name="热源能耗"/>
            <w:r>
              <w:rPr>
                <w:lang w:val="en-US"/>
              </w:rPr>
              <w:t>1674.10</w:t>
            </w:r>
            <w:bookmarkEnd w:id="66"/>
          </w:p>
        </w:tc>
        <w:tc>
          <w:tcPr>
            <w:tcW w:w="1701" w:type="dxa"/>
            <w:vMerge w:val="restart"/>
            <w:vAlign w:val="center"/>
          </w:tcPr>
          <w:p>
            <w:pPr>
              <w:ind w:firstLine="0" w:firstLineChars="0"/>
              <w:jc w:val="center"/>
              <w:rPr>
                <w:lang w:val="en-US"/>
              </w:rPr>
            </w:pPr>
            <w:bookmarkStart w:id="67" w:name="电力CO2排放因子2"/>
            <w:r>
              <w:t>0.5703</w:t>
            </w:r>
            <w:bookmarkEnd w:id="67"/>
          </w:p>
        </w:tc>
        <w:tc>
          <w:tcPr>
            <w:tcW w:w="1570" w:type="dxa"/>
            <w:vMerge w:val="restart"/>
            <w:vAlign w:val="center"/>
          </w:tcPr>
          <w:p>
            <w:pPr>
              <w:ind w:firstLine="0" w:firstLineChars="0"/>
              <w:jc w:val="center"/>
              <w:rPr>
                <w:lang w:val="en-US"/>
              </w:rPr>
            </w:pPr>
            <w:bookmarkStart w:id="68" w:name="供暖能耗_电耗CO2排放"/>
            <w:r>
              <w:t>10579.450</w:t>
            </w:r>
            <w:bookmarkEnd w:id="6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供暖水泵</w:t>
            </w:r>
          </w:p>
        </w:tc>
        <w:tc>
          <w:tcPr>
            <w:tcW w:w="1985" w:type="dxa"/>
            <w:vAlign w:val="center"/>
          </w:tcPr>
          <w:p>
            <w:pPr>
              <w:ind w:firstLine="0" w:firstLineChars="0"/>
              <w:jc w:val="center"/>
              <w:rPr>
                <w:lang w:val="en-US"/>
              </w:rPr>
            </w:pPr>
            <w:bookmarkStart w:id="69" w:name="热水泵能耗"/>
            <w:r>
              <w:rPr>
                <w:lang w:val="en-US"/>
              </w:rPr>
              <w:t>711.41</w:t>
            </w:r>
            <w:bookmarkEnd w:id="69"/>
          </w:p>
        </w:tc>
        <w:tc>
          <w:tcPr>
            <w:tcW w:w="1701" w:type="dxa"/>
            <w:vMerge w:val="continue"/>
            <w:vAlign w:val="center"/>
          </w:tcPr>
          <w:p>
            <w:pPr>
              <w:ind w:firstLine="0" w:firstLineChars="0"/>
              <w:jc w:val="center"/>
              <w:rPr>
                <w:lang w:val="en-US"/>
              </w:rPr>
            </w:pPr>
          </w:p>
        </w:tc>
        <w:tc>
          <w:tcPr>
            <w:tcW w:w="1570" w:type="dxa"/>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热源侧</w:t>
            </w:r>
            <w:r>
              <w:rPr>
                <w:lang w:val="en-US"/>
              </w:rPr>
              <w:t>水泵</w:t>
            </w:r>
          </w:p>
        </w:tc>
        <w:tc>
          <w:tcPr>
            <w:tcW w:w="1985" w:type="dxa"/>
            <w:vAlign w:val="center"/>
          </w:tcPr>
          <w:p>
            <w:pPr>
              <w:ind w:firstLine="0" w:firstLineChars="0"/>
              <w:jc w:val="center"/>
              <w:rPr>
                <w:lang w:val="en-US"/>
              </w:rPr>
            </w:pPr>
            <w:bookmarkStart w:id="70" w:name="供暖热源侧水泵能耗"/>
            <w:r>
              <w:rPr>
                <w:rFonts w:hint="eastAsia"/>
                <w:lang w:val="en-US"/>
              </w:rPr>
              <w:t>148.48</w:t>
            </w:r>
            <w:bookmarkEnd w:id="70"/>
          </w:p>
        </w:tc>
        <w:tc>
          <w:tcPr>
            <w:tcW w:w="1701" w:type="dxa"/>
            <w:vMerge w:val="continue"/>
            <w:vAlign w:val="center"/>
          </w:tcPr>
          <w:p>
            <w:pPr>
              <w:ind w:firstLine="0" w:firstLineChars="0"/>
              <w:jc w:val="center"/>
              <w:rPr>
                <w:lang w:val="en-US"/>
              </w:rPr>
            </w:pPr>
          </w:p>
        </w:tc>
        <w:tc>
          <w:tcPr>
            <w:tcW w:w="1570" w:type="dxa"/>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多联机/单元式热泵</w:t>
            </w:r>
          </w:p>
        </w:tc>
        <w:tc>
          <w:tcPr>
            <w:tcW w:w="1985" w:type="dxa"/>
            <w:vAlign w:val="center"/>
          </w:tcPr>
          <w:p>
            <w:pPr>
              <w:ind w:firstLine="0" w:firstLineChars="0"/>
              <w:jc w:val="center"/>
              <w:rPr>
                <w:lang w:val="en-US"/>
              </w:rPr>
            </w:pPr>
            <w:bookmarkStart w:id="71" w:name="单元式热泵能耗"/>
            <w:r>
              <w:rPr>
                <w:lang w:val="en-US"/>
              </w:rPr>
              <w:t>0.00</w:t>
            </w:r>
            <w:bookmarkEnd w:id="71"/>
          </w:p>
        </w:tc>
        <w:tc>
          <w:tcPr>
            <w:tcW w:w="1701" w:type="dxa"/>
            <w:vMerge w:val="continue"/>
            <w:vAlign w:val="center"/>
          </w:tcPr>
          <w:p>
            <w:pPr>
              <w:ind w:firstLine="0" w:firstLineChars="0"/>
              <w:jc w:val="center"/>
              <w:rPr>
                <w:lang w:val="en-US"/>
              </w:rPr>
            </w:pPr>
          </w:p>
        </w:tc>
        <w:tc>
          <w:tcPr>
            <w:tcW w:w="1570" w:type="dxa"/>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供暖合计</w:t>
            </w:r>
          </w:p>
        </w:tc>
        <w:tc>
          <w:tcPr>
            <w:tcW w:w="1985" w:type="dxa"/>
            <w:vAlign w:val="center"/>
          </w:tcPr>
          <w:p>
            <w:pPr>
              <w:ind w:firstLine="0" w:firstLineChars="0"/>
              <w:jc w:val="center"/>
              <w:rPr>
                <w:lang w:val="en-US"/>
              </w:rPr>
            </w:pPr>
            <w:bookmarkStart w:id="72" w:name="供暖能耗"/>
            <w:r>
              <w:rPr>
                <w:lang w:val="en-US"/>
              </w:rPr>
              <w:t>2533.99</w:t>
            </w:r>
            <w:bookmarkEnd w:id="72"/>
          </w:p>
        </w:tc>
        <w:tc>
          <w:tcPr>
            <w:tcW w:w="1701" w:type="dxa"/>
            <w:vMerge w:val="continue"/>
            <w:vAlign w:val="center"/>
          </w:tcPr>
          <w:p>
            <w:pPr>
              <w:ind w:firstLine="0" w:firstLineChars="0"/>
              <w:jc w:val="center"/>
              <w:rPr>
                <w:lang w:val="en-US"/>
              </w:rPr>
            </w:pPr>
          </w:p>
        </w:tc>
        <w:tc>
          <w:tcPr>
            <w:tcW w:w="1570" w:type="dxa"/>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restart"/>
            <w:shd w:val="clear" w:color="auto" w:fill="FFFFFF"/>
            <w:vAlign w:val="center"/>
          </w:tcPr>
          <w:p>
            <w:pPr>
              <w:ind w:firstLine="0" w:firstLineChars="0"/>
              <w:jc w:val="center"/>
              <w:rPr>
                <w:lang w:val="en-US"/>
              </w:rPr>
            </w:pPr>
            <w:r>
              <w:rPr>
                <w:rFonts w:hint="eastAsia"/>
                <w:lang w:val="en-US"/>
              </w:rPr>
              <w:t>空调</w:t>
            </w:r>
          </w:p>
          <w:p>
            <w:pPr>
              <w:ind w:firstLine="0" w:firstLineChars="0"/>
              <w:jc w:val="center"/>
              <w:rPr>
                <w:lang w:val="en-US"/>
              </w:rPr>
            </w:pPr>
            <w:r>
              <w:rPr>
                <w:rFonts w:hint="eastAsia"/>
                <w:lang w:val="en-US"/>
              </w:rPr>
              <w:t>风机(</w:t>
            </w:r>
            <w:r>
              <w:rPr>
                <w:lang w:val="en-US"/>
              </w:rPr>
              <w:t>Ef)</w:t>
            </w:r>
          </w:p>
        </w:tc>
        <w:tc>
          <w:tcPr>
            <w:tcW w:w="2551" w:type="dxa"/>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新排风</w:t>
            </w:r>
          </w:p>
        </w:tc>
        <w:tc>
          <w:tcPr>
            <w:tcW w:w="1985" w:type="dxa"/>
            <w:vAlign w:val="center"/>
          </w:tcPr>
          <w:p>
            <w:pPr>
              <w:ind w:firstLine="0" w:firstLineChars="0"/>
              <w:jc w:val="center"/>
              <w:rPr>
                <w:lang w:val="en-US"/>
              </w:rPr>
            </w:pPr>
            <w:bookmarkStart w:id="73" w:name="新排风系统能耗"/>
            <w:r>
              <w:rPr>
                <w:rFonts w:hint="eastAsia"/>
                <w:lang w:val="en-US"/>
              </w:rPr>
              <w:t>1115.28</w:t>
            </w:r>
            <w:bookmarkEnd w:id="73"/>
          </w:p>
        </w:tc>
        <w:tc>
          <w:tcPr>
            <w:tcW w:w="1701" w:type="dxa"/>
            <w:vMerge w:val="restart"/>
            <w:vAlign w:val="center"/>
          </w:tcPr>
          <w:p>
            <w:pPr>
              <w:ind w:firstLine="0" w:firstLineChars="0"/>
              <w:jc w:val="center"/>
              <w:rPr>
                <w:lang w:val="en-US"/>
              </w:rPr>
            </w:pPr>
            <w:bookmarkStart w:id="74" w:name="电力CO2排放因子3"/>
            <w:r>
              <w:t>0.5703</w:t>
            </w:r>
            <w:bookmarkEnd w:id="74"/>
          </w:p>
        </w:tc>
        <w:tc>
          <w:tcPr>
            <w:tcW w:w="1570" w:type="dxa"/>
            <w:vMerge w:val="restart"/>
            <w:vAlign w:val="center"/>
          </w:tcPr>
          <w:p>
            <w:pPr>
              <w:ind w:firstLine="0" w:firstLineChars="0"/>
              <w:jc w:val="center"/>
              <w:rPr>
                <w:lang w:val="en-US"/>
              </w:rPr>
            </w:pPr>
            <w:bookmarkStart w:id="75" w:name="空调动力能耗_电耗CO2排放"/>
            <w:r>
              <w:t>4702.777</w:t>
            </w:r>
            <w:bookmarkEnd w:id="7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风机盘管</w:t>
            </w:r>
          </w:p>
        </w:tc>
        <w:tc>
          <w:tcPr>
            <w:tcW w:w="1985" w:type="dxa"/>
            <w:vAlign w:val="center"/>
          </w:tcPr>
          <w:p>
            <w:pPr>
              <w:ind w:firstLine="0" w:firstLineChars="0"/>
              <w:jc w:val="center"/>
              <w:rPr>
                <w:lang w:val="en-US"/>
              </w:rPr>
            </w:pPr>
            <w:bookmarkStart w:id="76" w:name="风机盘管能耗"/>
            <w:r>
              <w:rPr>
                <w:rFonts w:hint="eastAsia"/>
                <w:lang w:val="en-US"/>
              </w:rPr>
              <w:t>11.14</w:t>
            </w:r>
            <w:bookmarkEnd w:id="76"/>
          </w:p>
        </w:tc>
        <w:tc>
          <w:tcPr>
            <w:tcW w:w="1701" w:type="dxa"/>
            <w:vMerge w:val="continue"/>
            <w:vAlign w:val="center"/>
          </w:tcPr>
          <w:p>
            <w:pPr>
              <w:ind w:firstLine="0" w:firstLineChars="0"/>
              <w:jc w:val="center"/>
              <w:rPr>
                <w:lang w:val="en-US"/>
              </w:rPr>
            </w:pPr>
          </w:p>
        </w:tc>
        <w:tc>
          <w:tcPr>
            <w:tcW w:w="1570" w:type="dxa"/>
            <w:vMerge w:val="continue"/>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全空气系统</w:t>
            </w:r>
          </w:p>
        </w:tc>
        <w:tc>
          <w:tcPr>
            <w:tcW w:w="1985" w:type="dxa"/>
            <w:vAlign w:val="center"/>
          </w:tcPr>
          <w:p>
            <w:pPr>
              <w:ind w:firstLine="0" w:firstLineChars="0"/>
              <w:jc w:val="center"/>
              <w:rPr>
                <w:lang w:val="en-US"/>
              </w:rPr>
            </w:pPr>
            <w:bookmarkStart w:id="77" w:name="全空气系统能耗"/>
            <w:r>
              <w:rPr>
                <w:rFonts w:hint="eastAsia"/>
                <w:lang w:val="en-US"/>
              </w:rPr>
              <w:t>0.00</w:t>
            </w:r>
            <w:bookmarkEnd w:id="77"/>
          </w:p>
        </w:tc>
        <w:tc>
          <w:tcPr>
            <w:tcW w:w="1701" w:type="dxa"/>
            <w:vMerge w:val="continue"/>
            <w:vAlign w:val="center"/>
          </w:tcPr>
          <w:p>
            <w:pPr>
              <w:ind w:firstLine="0" w:firstLineChars="0"/>
              <w:jc w:val="center"/>
              <w:rPr>
                <w:lang w:val="en-US"/>
              </w:rPr>
            </w:pPr>
          </w:p>
        </w:tc>
        <w:tc>
          <w:tcPr>
            <w:tcW w:w="1570" w:type="dxa"/>
            <w:vMerge w:val="continue"/>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风机合计</w:t>
            </w:r>
          </w:p>
        </w:tc>
        <w:tc>
          <w:tcPr>
            <w:tcW w:w="1985" w:type="dxa"/>
            <w:vAlign w:val="center"/>
          </w:tcPr>
          <w:p>
            <w:pPr>
              <w:ind w:firstLine="0" w:firstLineChars="0"/>
              <w:jc w:val="center"/>
              <w:rPr>
                <w:lang w:val="en-US"/>
              </w:rPr>
            </w:pPr>
            <w:bookmarkStart w:id="78" w:name="空调动力能耗"/>
            <w:r>
              <w:rPr>
                <w:rFonts w:hint="eastAsia"/>
                <w:lang w:val="en-US"/>
              </w:rPr>
              <w:t>1126.41</w:t>
            </w:r>
            <w:bookmarkEnd w:id="78"/>
          </w:p>
        </w:tc>
        <w:tc>
          <w:tcPr>
            <w:tcW w:w="1701" w:type="dxa"/>
            <w:vMerge w:val="continue"/>
            <w:vAlign w:val="center"/>
          </w:tcPr>
          <w:p>
            <w:pPr>
              <w:ind w:firstLine="0" w:firstLineChars="0"/>
              <w:jc w:val="center"/>
              <w:rPr>
                <w:lang w:val="en-US"/>
              </w:rPr>
            </w:pPr>
          </w:p>
        </w:tc>
        <w:tc>
          <w:tcPr>
            <w:tcW w:w="1570" w:type="dxa"/>
            <w:vMerge w:val="continue"/>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7" w:type="dxa"/>
            <w:gridSpan w:val="2"/>
            <w:shd w:val="clear" w:color="auto" w:fill="FFFFFF"/>
            <w:vAlign w:val="center"/>
          </w:tcPr>
          <w:p>
            <w:pPr>
              <w:ind w:firstLine="0" w:firstLineChars="0"/>
              <w:jc w:val="center"/>
              <w:rPr>
                <w:lang w:val="en-US"/>
              </w:rPr>
            </w:pPr>
            <w:r>
              <w:rPr>
                <w:rFonts w:hint="eastAsia"/>
                <w:lang w:val="en-US"/>
              </w:rPr>
              <w:t>照明</w:t>
            </w:r>
          </w:p>
        </w:tc>
        <w:tc>
          <w:tcPr>
            <w:tcW w:w="1985" w:type="dxa"/>
            <w:vAlign w:val="center"/>
          </w:tcPr>
          <w:p>
            <w:pPr>
              <w:ind w:firstLine="0" w:firstLineChars="0"/>
              <w:jc w:val="center"/>
              <w:rPr>
                <w:lang w:val="en-US"/>
              </w:rPr>
            </w:pPr>
            <w:bookmarkStart w:id="79" w:name="照明能耗"/>
            <w:r>
              <w:rPr>
                <w:rFonts w:hint="eastAsia"/>
                <w:lang w:val="en-US"/>
              </w:rPr>
              <w:t>1534.13</w:t>
            </w:r>
            <w:bookmarkEnd w:id="79"/>
          </w:p>
        </w:tc>
        <w:tc>
          <w:tcPr>
            <w:tcW w:w="1701" w:type="dxa"/>
            <w:vAlign w:val="center"/>
          </w:tcPr>
          <w:p>
            <w:pPr>
              <w:ind w:firstLine="0" w:firstLineChars="0"/>
              <w:jc w:val="center"/>
              <w:rPr>
                <w:lang w:val="en-US"/>
              </w:rPr>
            </w:pPr>
            <w:bookmarkStart w:id="80" w:name="电力CO2排放因子4"/>
            <w:r>
              <w:t>0.5703</w:t>
            </w:r>
            <w:bookmarkEnd w:id="80"/>
          </w:p>
        </w:tc>
        <w:tc>
          <w:tcPr>
            <w:tcW w:w="1570" w:type="dxa"/>
          </w:tcPr>
          <w:p>
            <w:pPr>
              <w:ind w:firstLine="0" w:firstLineChars="0"/>
              <w:jc w:val="center"/>
              <w:rPr>
                <w:lang w:val="en-US"/>
              </w:rPr>
            </w:pPr>
            <w:bookmarkStart w:id="81" w:name="照明能耗_电耗CO2排放"/>
            <w:r>
              <w:t>6405.017</w:t>
            </w:r>
            <w:bookmarkEnd w:id="8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7" w:type="dxa"/>
            <w:gridSpan w:val="2"/>
            <w:shd w:val="clear" w:color="auto" w:fill="FFFFFF"/>
            <w:vAlign w:val="center"/>
          </w:tcPr>
          <w:p>
            <w:pPr>
              <w:ind w:firstLine="0" w:firstLineChars="0"/>
              <w:jc w:val="center"/>
              <w:rPr>
                <w:lang w:val="en-US"/>
              </w:rPr>
            </w:pPr>
            <w:bookmarkStart w:id="82" w:name="插座设备"/>
            <w:bookmarkEnd w:id="82"/>
            <w:r>
              <w:rPr>
                <w:rFonts w:hint="eastAsia"/>
                <w:lang w:val="en-US"/>
              </w:rPr>
              <w:t>插座</w:t>
            </w:r>
            <w:r>
              <w:rPr>
                <w:lang w:val="en-US"/>
              </w:rPr>
              <w:t>设备</w:t>
            </w:r>
          </w:p>
        </w:tc>
        <w:tc>
          <w:tcPr>
            <w:tcW w:w="1985" w:type="dxa"/>
            <w:vAlign w:val="center"/>
          </w:tcPr>
          <w:p>
            <w:pPr>
              <w:ind w:firstLine="0" w:firstLineChars="0"/>
              <w:jc w:val="center"/>
              <w:rPr>
                <w:lang w:val="en-US"/>
              </w:rPr>
            </w:pPr>
            <w:bookmarkStart w:id="83" w:name="设备用电"/>
            <w:r>
              <w:rPr>
                <w:rFonts w:hint="eastAsia"/>
                <w:lang w:val="en-US"/>
              </w:rPr>
              <w:t>2663.83</w:t>
            </w:r>
            <w:bookmarkEnd w:id="83"/>
          </w:p>
        </w:tc>
        <w:tc>
          <w:tcPr>
            <w:tcW w:w="1701" w:type="dxa"/>
            <w:vAlign w:val="center"/>
          </w:tcPr>
          <w:p>
            <w:pPr>
              <w:ind w:firstLine="0" w:firstLineChars="0"/>
              <w:jc w:val="center"/>
              <w:rPr>
                <w:lang w:val="en-US"/>
              </w:rPr>
            </w:pPr>
            <w:bookmarkStart w:id="84" w:name="电力CO2排放因子5"/>
            <w:r>
              <w:rPr>
                <w:rFonts w:hint="eastAsia"/>
                <w:lang w:val="en-US"/>
              </w:rPr>
              <w:t>0.5703</w:t>
            </w:r>
            <w:bookmarkEnd w:id="84"/>
          </w:p>
        </w:tc>
        <w:tc>
          <w:tcPr>
            <w:tcW w:w="1570" w:type="dxa"/>
          </w:tcPr>
          <w:p>
            <w:pPr>
              <w:ind w:firstLine="0" w:firstLineChars="0"/>
              <w:jc w:val="center"/>
              <w:rPr>
                <w:lang w:val="en-US"/>
              </w:rPr>
            </w:pPr>
            <w:bookmarkStart w:id="85" w:name="设备用电_电耗CO2排放"/>
            <w:r>
              <w:rPr>
                <w:rFonts w:hint="eastAsia"/>
                <w:lang w:val="en-US"/>
              </w:rPr>
              <w:t>11121.513</w:t>
            </w:r>
            <w:bookmarkEnd w:id="8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restart"/>
            <w:shd w:val="clear" w:color="auto" w:fill="FFFFFF"/>
            <w:vAlign w:val="center"/>
          </w:tcPr>
          <w:p>
            <w:pPr>
              <w:ind w:firstLine="0" w:firstLineChars="0"/>
              <w:jc w:val="center"/>
              <w:rPr>
                <w:lang w:val="en-US"/>
              </w:rPr>
            </w:pPr>
            <w:r>
              <w:rPr>
                <w:rFonts w:hint="eastAsia"/>
                <w:lang w:val="en-US"/>
              </w:rPr>
              <w:t>其他</w:t>
            </w:r>
            <w:r>
              <w:rPr>
                <w:lang w:val="en-US"/>
              </w:rPr>
              <w:t>(Eo)</w:t>
            </w:r>
          </w:p>
        </w:tc>
        <w:tc>
          <w:tcPr>
            <w:tcW w:w="2551" w:type="dxa"/>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电梯</w:t>
            </w:r>
          </w:p>
        </w:tc>
        <w:tc>
          <w:tcPr>
            <w:tcW w:w="1985" w:type="dxa"/>
            <w:vAlign w:val="center"/>
          </w:tcPr>
          <w:p>
            <w:pPr>
              <w:ind w:firstLine="0" w:firstLineChars="0"/>
              <w:jc w:val="center"/>
              <w:rPr>
                <w:lang w:val="en-US"/>
              </w:rPr>
            </w:pPr>
            <w:bookmarkStart w:id="86" w:name="动力系统能耗"/>
            <w:r>
              <w:rPr>
                <w:rFonts w:hint="eastAsia"/>
                <w:lang w:val="en-US"/>
              </w:rPr>
              <w:t>0.00</w:t>
            </w:r>
            <w:bookmarkEnd w:id="86"/>
          </w:p>
        </w:tc>
        <w:tc>
          <w:tcPr>
            <w:tcW w:w="1701" w:type="dxa"/>
            <w:vMerge w:val="restart"/>
            <w:vAlign w:val="center"/>
          </w:tcPr>
          <w:p>
            <w:pPr>
              <w:ind w:firstLine="0" w:firstLineChars="0"/>
              <w:jc w:val="center"/>
              <w:rPr>
                <w:lang w:val="en-US"/>
              </w:rPr>
            </w:pPr>
            <w:bookmarkStart w:id="87" w:name="电力CO2排放因子6"/>
            <w:r>
              <w:t>0.5703</w:t>
            </w:r>
            <w:bookmarkEnd w:id="87"/>
          </w:p>
        </w:tc>
        <w:tc>
          <w:tcPr>
            <w:tcW w:w="1570" w:type="dxa"/>
            <w:vMerge w:val="restart"/>
            <w:vAlign w:val="center"/>
          </w:tcPr>
          <w:p>
            <w:pPr>
              <w:ind w:firstLine="0" w:firstLineChars="0"/>
              <w:jc w:val="center"/>
              <w:rPr>
                <w:lang w:val="en-US"/>
              </w:rPr>
            </w:pPr>
            <w:bookmarkStart w:id="88" w:name="其他能耗_电耗CO2排放"/>
            <w:r>
              <w:t>0.000</w:t>
            </w:r>
            <w:bookmarkEnd w:id="8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排风机</w:t>
            </w:r>
          </w:p>
        </w:tc>
        <w:tc>
          <w:tcPr>
            <w:tcW w:w="1985" w:type="dxa"/>
            <w:vAlign w:val="center"/>
          </w:tcPr>
          <w:p>
            <w:pPr>
              <w:ind w:firstLine="0" w:firstLineChars="0"/>
              <w:jc w:val="center"/>
              <w:rPr>
                <w:lang w:val="en-US"/>
              </w:rPr>
            </w:pPr>
            <w:bookmarkStart w:id="89" w:name="排风机能耗"/>
            <w:r>
              <w:rPr>
                <w:rFonts w:hint="eastAsia"/>
                <w:lang w:val="en-US"/>
              </w:rPr>
              <w:t>0.00</w:t>
            </w:r>
            <w:bookmarkEnd w:id="89"/>
          </w:p>
        </w:tc>
        <w:tc>
          <w:tcPr>
            <w:tcW w:w="1701" w:type="dxa"/>
            <w:vMerge w:val="continue"/>
          </w:tcPr>
          <w:p>
            <w:pPr>
              <w:ind w:firstLine="0" w:firstLineChars="0"/>
              <w:jc w:val="center"/>
              <w:rPr>
                <w:lang w:val="en-US"/>
              </w:rPr>
            </w:pPr>
          </w:p>
        </w:tc>
        <w:tc>
          <w:tcPr>
            <w:tcW w:w="1570" w:type="dxa"/>
            <w:vMerge w:val="continue"/>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pPr>
              <w:ind w:firstLine="0" w:firstLineChars="0"/>
              <w:jc w:val="center"/>
              <w:rPr>
                <w:lang w:val="en-US"/>
              </w:rPr>
            </w:pPr>
            <w:bookmarkStart w:id="90" w:name="生活热水_电能"/>
            <w:bookmarkEnd w:id="90"/>
            <w:r>
              <w:rPr>
                <w:rFonts w:hint="eastAsia"/>
                <w:lang w:val="en-US"/>
              </w:rPr>
              <w:t>生活热水(扣减</w:t>
            </w:r>
            <w:r>
              <w:rPr>
                <w:lang w:val="en-US"/>
              </w:rPr>
              <w:t>了太阳能</w:t>
            </w:r>
            <w:r>
              <w:rPr>
                <w:rFonts w:hint="eastAsia"/>
                <w:lang w:val="en-US"/>
              </w:rPr>
              <w:t>)</w:t>
            </w:r>
          </w:p>
        </w:tc>
        <w:tc>
          <w:tcPr>
            <w:tcW w:w="1985" w:type="dxa"/>
            <w:vAlign w:val="center"/>
          </w:tcPr>
          <w:p>
            <w:pPr>
              <w:ind w:firstLine="0" w:firstLineChars="0"/>
              <w:jc w:val="center"/>
              <w:rPr>
                <w:lang w:val="en-US"/>
              </w:rPr>
            </w:pPr>
            <w:bookmarkStart w:id="91" w:name="热水系统能耗"/>
            <w:r>
              <w:rPr>
                <w:rFonts w:hint="eastAsia"/>
                <w:lang w:val="en-US"/>
              </w:rPr>
              <w:t>0.00</w:t>
            </w:r>
            <w:bookmarkEnd w:id="91"/>
          </w:p>
        </w:tc>
        <w:tc>
          <w:tcPr>
            <w:tcW w:w="1701" w:type="dxa"/>
            <w:vMerge w:val="continue"/>
          </w:tcPr>
          <w:p>
            <w:pPr>
              <w:ind w:firstLine="0" w:firstLineChars="0"/>
              <w:jc w:val="center"/>
              <w:rPr>
                <w:lang w:val="en-US"/>
              </w:rPr>
            </w:pPr>
          </w:p>
        </w:tc>
        <w:tc>
          <w:tcPr>
            <w:tcW w:w="1570" w:type="dxa"/>
            <w:vMerge w:val="continue"/>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其他设备</w:t>
            </w:r>
          </w:p>
        </w:tc>
        <w:tc>
          <w:tcPr>
            <w:tcW w:w="1985" w:type="dxa"/>
            <w:vAlign w:val="center"/>
          </w:tcPr>
          <w:p>
            <w:pPr>
              <w:ind w:firstLine="0" w:firstLineChars="0"/>
              <w:jc w:val="center"/>
              <w:rPr>
                <w:lang w:val="en-US"/>
              </w:rPr>
            </w:pPr>
            <w:bookmarkStart w:id="92" w:name="其他设备能耗"/>
            <w:r>
              <w:rPr>
                <w:rFonts w:hint="eastAsia"/>
                <w:lang w:val="en-US"/>
              </w:rPr>
              <w:t>0.00</w:t>
            </w:r>
            <w:bookmarkEnd w:id="92"/>
          </w:p>
        </w:tc>
        <w:tc>
          <w:tcPr>
            <w:tcW w:w="1701" w:type="dxa"/>
            <w:vMerge w:val="continue"/>
          </w:tcPr>
          <w:p>
            <w:pPr>
              <w:ind w:firstLine="0" w:firstLineChars="0"/>
              <w:jc w:val="center"/>
              <w:rPr>
                <w:lang w:val="en-US"/>
              </w:rPr>
            </w:pPr>
          </w:p>
        </w:tc>
        <w:tc>
          <w:tcPr>
            <w:tcW w:w="1570" w:type="dxa"/>
            <w:vMerge w:val="continue"/>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合计</w:t>
            </w:r>
          </w:p>
        </w:tc>
        <w:tc>
          <w:tcPr>
            <w:tcW w:w="1985" w:type="dxa"/>
            <w:vAlign w:val="center"/>
          </w:tcPr>
          <w:p>
            <w:pPr>
              <w:ind w:firstLine="0" w:firstLineChars="0"/>
              <w:jc w:val="center"/>
              <w:rPr>
                <w:lang w:val="en-US"/>
              </w:rPr>
            </w:pPr>
            <w:bookmarkStart w:id="93" w:name="其他能耗"/>
            <w:r>
              <w:rPr>
                <w:rFonts w:hint="eastAsia"/>
                <w:lang w:val="en-US"/>
              </w:rPr>
              <w:t>0.00</w:t>
            </w:r>
            <w:bookmarkEnd w:id="93"/>
          </w:p>
        </w:tc>
        <w:tc>
          <w:tcPr>
            <w:tcW w:w="1701" w:type="dxa"/>
            <w:vMerge w:val="continue"/>
          </w:tcPr>
          <w:p>
            <w:pPr>
              <w:ind w:firstLine="0" w:firstLineChars="0"/>
              <w:jc w:val="center"/>
              <w:rPr>
                <w:lang w:val="en-US"/>
              </w:rPr>
            </w:pPr>
          </w:p>
        </w:tc>
        <w:tc>
          <w:tcPr>
            <w:tcW w:w="1570" w:type="dxa"/>
            <w:vMerge w:val="continue"/>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D0CECE"/>
            <w:vAlign w:val="center"/>
          </w:tcPr>
          <w:p>
            <w:pPr>
              <w:ind w:firstLine="0" w:firstLineChars="0"/>
              <w:jc w:val="center"/>
              <w:rPr>
                <w:lang w:val="en-US"/>
              </w:rPr>
            </w:pPr>
            <w:bookmarkStart w:id="94" w:name="化石燃料类别"/>
            <w:r>
              <w:rPr>
                <w:rFonts w:hint="eastAsia"/>
                <w:lang w:val="en-US"/>
              </w:rPr>
              <w:t>化石</w:t>
            </w:r>
            <w:r>
              <w:rPr>
                <w:lang w:val="en-US"/>
              </w:rPr>
              <w:t>燃料</w:t>
            </w:r>
            <w:bookmarkEnd w:id="94"/>
          </w:p>
        </w:tc>
        <w:tc>
          <w:tcPr>
            <w:tcW w:w="2551" w:type="dxa"/>
            <w:tcBorders>
              <w:top w:val="single" w:color="auto" w:sz="4" w:space="0"/>
              <w:bottom w:val="single" w:color="auto" w:sz="4" w:space="0"/>
            </w:tcBorders>
            <w:shd w:val="clear" w:color="auto" w:fill="D0CECE"/>
            <w:vAlign w:val="center"/>
          </w:tcPr>
          <w:p>
            <w:pPr>
              <w:ind w:firstLine="0" w:firstLineChars="0"/>
              <w:jc w:val="center"/>
              <w:rPr>
                <w:lang w:val="en-US"/>
              </w:rPr>
            </w:pPr>
            <w:r>
              <w:rPr>
                <w:rFonts w:hint="eastAsia"/>
                <w:lang w:val="en-US"/>
              </w:rPr>
              <w:t>所属类别</w:t>
            </w:r>
          </w:p>
        </w:tc>
        <w:tc>
          <w:tcPr>
            <w:tcW w:w="1985" w:type="dxa"/>
            <w:shd w:val="clear" w:color="auto" w:fill="D0CECE"/>
            <w:vAlign w:val="center"/>
          </w:tcPr>
          <w:p>
            <w:pPr>
              <w:ind w:firstLine="0" w:firstLineChars="0"/>
              <w:jc w:val="center"/>
              <w:rPr>
                <w:lang w:val="en-US"/>
              </w:rPr>
            </w:pPr>
            <w:r>
              <w:rPr>
                <w:rFonts w:hint="eastAsia"/>
                <w:lang w:val="en-US"/>
              </w:rPr>
              <w:t>消耗量</w:t>
            </w:r>
          </w:p>
        </w:tc>
        <w:tc>
          <w:tcPr>
            <w:tcW w:w="1701" w:type="dxa"/>
            <w:shd w:val="clear" w:color="auto" w:fill="D0CECE"/>
            <w:vAlign w:val="center"/>
          </w:tcPr>
          <w:p>
            <w:pPr>
              <w:ind w:firstLine="0" w:firstLineChars="0"/>
              <w:jc w:val="center"/>
              <w:rPr>
                <w:lang w:val="en-US"/>
              </w:rPr>
            </w:pPr>
            <w:r>
              <w:rPr>
                <w:rFonts w:hint="eastAsia"/>
                <w:lang w:val="en-US"/>
              </w:rPr>
              <w:t>碳</w:t>
            </w:r>
            <w:r>
              <w:rPr>
                <w:lang w:val="en-US"/>
              </w:rPr>
              <w:t>排放因子</w:t>
            </w:r>
            <w:r>
              <w:rPr>
                <w:rFonts w:hint="eastAsia"/>
                <w:lang w:val="en-US"/>
              </w:rPr>
              <w:t>(</w:t>
            </w:r>
            <w:r>
              <w:rPr>
                <w:lang w:val="en-US"/>
              </w:rPr>
              <w:t>tCO2</w:t>
            </w:r>
            <w:r>
              <w:rPr>
                <w:rFonts w:hint="eastAsia"/>
                <w:lang w:val="en-US"/>
              </w:rPr>
              <w:t>/</w:t>
            </w:r>
            <w:r>
              <w:rPr>
                <w:lang w:val="en-US"/>
              </w:rPr>
              <w:t>TJ</w:t>
            </w:r>
            <w:r>
              <w:rPr>
                <w:rFonts w:hint="eastAsia"/>
                <w:lang w:val="en-US"/>
              </w:rPr>
              <w:t>)</w:t>
            </w:r>
          </w:p>
        </w:tc>
        <w:tc>
          <w:tcPr>
            <w:tcW w:w="1570" w:type="dxa"/>
            <w:shd w:val="clear" w:color="auto" w:fill="D0CECE"/>
            <w:vAlign w:val="center"/>
          </w:tcPr>
          <w:p>
            <w:pPr>
              <w:ind w:firstLine="0" w:firstLineChars="0"/>
              <w:jc w:val="center"/>
              <w:rPr>
                <w:lang w:val="en-US"/>
              </w:rPr>
            </w:pPr>
            <w:r>
              <w:rPr>
                <w:rFonts w:hint="eastAsia"/>
                <w:lang w:val="en-US"/>
              </w:rPr>
              <w:t>碳排放量(</w:t>
            </w:r>
            <w:r>
              <w:rPr>
                <w:lang w:val="en-US"/>
              </w:rPr>
              <w:t>tCO2</w:t>
            </w: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FFFFFF"/>
            <w:vAlign w:val="center"/>
          </w:tcPr>
          <w:p>
            <w:pPr>
              <w:ind w:firstLine="0" w:firstLineChars="0"/>
              <w:jc w:val="center"/>
              <w:rPr>
                <w:lang w:val="en-US"/>
              </w:rPr>
            </w:pPr>
            <w:bookmarkStart w:id="95" w:name="炊事能耗_燃料类型"/>
            <w:r>
              <w:rPr>
                <w:rFonts w:hint="eastAsia"/>
                <w:lang w:val="en-US"/>
              </w:rPr>
              <w:t>燃气</w:t>
            </w:r>
            <w:bookmarkEnd w:id="95"/>
          </w:p>
        </w:tc>
        <w:tc>
          <w:tcPr>
            <w:tcW w:w="2551" w:type="dxa"/>
            <w:shd w:val="clear" w:color="auto" w:fill="FFFFFF"/>
            <w:vAlign w:val="center"/>
          </w:tcPr>
          <w:p>
            <w:pPr>
              <w:ind w:firstLine="0" w:firstLineChars="0"/>
              <w:jc w:val="center"/>
              <w:rPr>
                <w:lang w:val="en-US"/>
              </w:rPr>
            </w:pPr>
            <w:r>
              <w:rPr>
                <w:rFonts w:hint="eastAsia"/>
                <w:lang w:val="en-US"/>
              </w:rPr>
              <w:t>炊事</w:t>
            </w:r>
          </w:p>
        </w:tc>
        <w:tc>
          <w:tcPr>
            <w:tcW w:w="1985" w:type="dxa"/>
            <w:shd w:val="clear" w:color="auto" w:fill="FFFFFF"/>
            <w:vAlign w:val="center"/>
          </w:tcPr>
          <w:p>
            <w:pPr>
              <w:ind w:firstLine="0" w:firstLineChars="0"/>
              <w:jc w:val="center"/>
              <w:rPr>
                <w:lang w:val="en-US"/>
              </w:rPr>
            </w:pPr>
            <w:bookmarkStart w:id="96" w:name="炊事燃气消耗"/>
            <w:r>
              <w:rPr>
                <w:rFonts w:hint="eastAsia"/>
                <w:lang w:val="en-US"/>
              </w:rPr>
              <w:t>3829.00</w:t>
            </w:r>
            <w:bookmarkEnd w:id="96"/>
            <w:r>
              <w:rPr>
                <w:lang w:val="en-US"/>
              </w:rPr>
              <w:t>(</w:t>
            </w:r>
            <w:r>
              <w:rPr>
                <w:rFonts w:hint="eastAsia"/>
                <w:lang w:val="en-US"/>
              </w:rPr>
              <w:t>m³/㎡</w:t>
            </w:r>
            <w:r>
              <w:rPr>
                <w:lang w:val="en-US"/>
              </w:rPr>
              <w:t>)</w:t>
            </w:r>
          </w:p>
        </w:tc>
        <w:tc>
          <w:tcPr>
            <w:tcW w:w="1701" w:type="dxa"/>
            <w:shd w:val="clear" w:color="auto" w:fill="FFFFFF"/>
            <w:vAlign w:val="center"/>
          </w:tcPr>
          <w:p>
            <w:pPr>
              <w:ind w:firstLine="0" w:firstLineChars="0"/>
              <w:jc w:val="center"/>
              <w:rPr>
                <w:lang w:val="en-US"/>
              </w:rPr>
            </w:pPr>
            <w:bookmarkStart w:id="97" w:name="炊事能耗_燃料CO2排放因子"/>
            <w:r>
              <w:t>55.54</w:t>
            </w:r>
            <w:bookmarkEnd w:id="97"/>
          </w:p>
        </w:tc>
        <w:tc>
          <w:tcPr>
            <w:tcW w:w="1570" w:type="dxa"/>
            <w:shd w:val="clear" w:color="auto" w:fill="FFFFFF"/>
            <w:vAlign w:val="center"/>
          </w:tcPr>
          <w:p>
            <w:pPr>
              <w:ind w:firstLine="0" w:firstLineChars="0"/>
              <w:jc w:val="center"/>
              <w:rPr>
                <w:lang w:val="en-US"/>
              </w:rPr>
            </w:pPr>
            <w:bookmarkStart w:id="98" w:name="炊事碳排放"/>
            <w:r>
              <w:t>55317.862</w:t>
            </w:r>
            <w:bookmarkEnd w:id="9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D0CECE"/>
            <w:vAlign w:val="center"/>
          </w:tcPr>
          <w:p>
            <w:pPr>
              <w:ind w:firstLine="0" w:firstLineChars="0"/>
              <w:jc w:val="center"/>
              <w:rPr>
                <w:lang w:val="en-US"/>
              </w:rPr>
            </w:pPr>
            <w:r>
              <w:rPr>
                <w:rFonts w:hint="eastAsia"/>
                <w:lang w:val="en-US"/>
              </w:rPr>
              <w:t>其他</w:t>
            </w:r>
          </w:p>
        </w:tc>
        <w:tc>
          <w:tcPr>
            <w:tcW w:w="2551" w:type="dxa"/>
            <w:shd w:val="clear" w:color="auto" w:fill="D0CECE"/>
            <w:vAlign w:val="center"/>
          </w:tcPr>
          <w:p>
            <w:pPr>
              <w:ind w:firstLine="0" w:firstLineChars="0"/>
              <w:jc w:val="center"/>
              <w:rPr>
                <w:lang w:val="en-US"/>
              </w:rPr>
            </w:pPr>
            <w:r>
              <w:rPr>
                <w:rFonts w:hint="eastAsia"/>
                <w:lang w:val="en-US"/>
              </w:rPr>
              <w:t>所属类别</w:t>
            </w:r>
          </w:p>
        </w:tc>
        <w:tc>
          <w:tcPr>
            <w:tcW w:w="3686" w:type="dxa"/>
            <w:gridSpan w:val="2"/>
            <w:shd w:val="clear" w:color="auto" w:fill="D0CECE"/>
            <w:vAlign w:val="center"/>
          </w:tcPr>
          <w:p>
            <w:pPr>
              <w:ind w:firstLine="0" w:firstLineChars="0"/>
              <w:jc w:val="center"/>
              <w:rPr>
                <w:lang w:val="en-US"/>
              </w:rPr>
            </w:pPr>
            <w:r>
              <w:rPr>
                <w:rFonts w:hint="eastAsia"/>
                <w:lang w:val="en-US"/>
              </w:rPr>
              <w:t>消耗</w:t>
            </w:r>
            <w:r>
              <w:rPr>
                <w:lang w:val="en-US"/>
              </w:rPr>
              <w:t>量</w:t>
            </w:r>
            <w:r>
              <w:rPr>
                <w:rFonts w:hint="eastAsia"/>
                <w:lang w:val="en-US"/>
              </w:rPr>
              <w:t>(</w:t>
            </w:r>
            <w:r>
              <w:rPr>
                <w:lang w:val="en-US"/>
              </w:rPr>
              <w:t>kg</w:t>
            </w:r>
            <w:r>
              <w:rPr>
                <w:rFonts w:hint="eastAsia"/>
                <w:lang w:val="en-US"/>
              </w:rPr>
              <w:t>)</w:t>
            </w:r>
          </w:p>
        </w:tc>
        <w:tc>
          <w:tcPr>
            <w:tcW w:w="1570" w:type="dxa"/>
            <w:shd w:val="clear" w:color="auto" w:fill="D0CECE"/>
            <w:vAlign w:val="center"/>
          </w:tcPr>
          <w:p>
            <w:pPr>
              <w:ind w:firstLine="0" w:firstLineChars="0"/>
              <w:jc w:val="center"/>
              <w:rPr>
                <w:lang w:val="en-US"/>
              </w:rPr>
            </w:pPr>
            <w:r>
              <w:rPr>
                <w:rFonts w:hint="eastAsia"/>
                <w:lang w:val="en-US"/>
              </w:rPr>
              <w:t>碳排放量(</w:t>
            </w:r>
            <w:r>
              <w:rPr>
                <w:lang w:val="en-US"/>
              </w:rPr>
              <w:t>tCO2</w:t>
            </w: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FFFFFF"/>
            <w:vAlign w:val="center"/>
          </w:tcPr>
          <w:p>
            <w:pPr>
              <w:ind w:firstLine="0" w:firstLineChars="0"/>
              <w:jc w:val="center"/>
              <w:rPr>
                <w:lang w:val="en-US"/>
              </w:rPr>
            </w:pPr>
            <w:r>
              <w:rPr>
                <w:rFonts w:hint="eastAsia"/>
                <w:lang w:val="en-US"/>
              </w:rPr>
              <w:t>制冷剂</w:t>
            </w:r>
          </w:p>
        </w:tc>
        <w:tc>
          <w:tcPr>
            <w:tcW w:w="2551" w:type="dxa"/>
            <w:shd w:val="clear" w:color="auto" w:fill="FFFFFF"/>
            <w:vAlign w:val="center"/>
          </w:tcPr>
          <w:p>
            <w:pPr>
              <w:ind w:firstLine="0" w:firstLineChars="0"/>
              <w:jc w:val="center"/>
              <w:rPr>
                <w:lang w:val="en-US"/>
              </w:rPr>
            </w:pPr>
            <w:r>
              <w:rPr>
                <w:rFonts w:hint="eastAsia"/>
                <w:lang w:val="en-US"/>
              </w:rPr>
              <w:t>供冷</w:t>
            </w:r>
          </w:p>
        </w:tc>
        <w:tc>
          <w:tcPr>
            <w:tcW w:w="3686" w:type="dxa"/>
            <w:gridSpan w:val="2"/>
            <w:shd w:val="clear" w:color="auto" w:fill="FFFFFF"/>
            <w:vAlign w:val="center"/>
          </w:tcPr>
          <w:p>
            <w:pPr>
              <w:ind w:firstLine="0" w:firstLineChars="0"/>
              <w:jc w:val="center"/>
              <w:rPr>
                <w:lang w:val="en-US"/>
              </w:rPr>
            </w:pPr>
            <w:bookmarkStart w:id="99" w:name="制冷剂消耗量"/>
            <w:r>
              <w:t>0</w:t>
            </w:r>
            <w:bookmarkEnd w:id="99"/>
          </w:p>
        </w:tc>
        <w:tc>
          <w:tcPr>
            <w:tcW w:w="1570" w:type="dxa"/>
            <w:shd w:val="clear" w:color="auto" w:fill="FFFFFF"/>
            <w:vAlign w:val="center"/>
          </w:tcPr>
          <w:p>
            <w:pPr>
              <w:ind w:firstLine="0" w:firstLineChars="0"/>
              <w:jc w:val="center"/>
              <w:rPr>
                <w:lang w:val="en-US"/>
              </w:rPr>
            </w:pPr>
            <w:bookmarkStart w:id="100" w:name="制冷剂碳排放"/>
            <w:r>
              <w:t>0.000</w:t>
            </w:r>
            <w:bookmarkEnd w:id="10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D0CECE"/>
            <w:vAlign w:val="center"/>
          </w:tcPr>
          <w:p>
            <w:pPr>
              <w:ind w:firstLine="0" w:firstLineChars="0"/>
              <w:jc w:val="center"/>
              <w:rPr>
                <w:lang w:val="en-US"/>
              </w:rPr>
            </w:pPr>
            <w:r>
              <w:rPr>
                <w:rFonts w:hint="eastAsia"/>
                <w:lang w:val="en-US"/>
              </w:rPr>
              <w:t>可再生</w:t>
            </w:r>
          </w:p>
        </w:tc>
        <w:tc>
          <w:tcPr>
            <w:tcW w:w="2551" w:type="dxa"/>
            <w:shd w:val="clear" w:color="auto" w:fill="D0CECE"/>
            <w:vAlign w:val="center"/>
          </w:tcPr>
          <w:p>
            <w:pPr>
              <w:ind w:firstLine="0" w:firstLineChars="0"/>
              <w:jc w:val="center"/>
              <w:rPr>
                <w:lang w:val="en-US"/>
              </w:rPr>
            </w:pPr>
            <w:r>
              <w:rPr>
                <w:rFonts w:hint="eastAsia"/>
                <w:lang w:val="en-US"/>
              </w:rPr>
              <w:t>类别</w:t>
            </w:r>
          </w:p>
        </w:tc>
        <w:tc>
          <w:tcPr>
            <w:tcW w:w="1985" w:type="dxa"/>
            <w:shd w:val="clear" w:color="auto" w:fill="D0CECE"/>
            <w:vAlign w:val="center"/>
          </w:tcPr>
          <w:p>
            <w:pPr>
              <w:ind w:firstLine="0" w:firstLineChars="0"/>
              <w:jc w:val="center"/>
              <w:rPr>
                <w:lang w:val="en-US"/>
              </w:rPr>
            </w:pPr>
            <w:r>
              <w:rPr>
                <w:rFonts w:hint="eastAsia"/>
                <w:lang w:val="en-US"/>
              </w:rPr>
              <w:t>供电(</w:t>
            </w:r>
            <w:r>
              <w:rPr>
                <w:lang w:val="en-US"/>
              </w:rPr>
              <w:t>kWh</w:t>
            </w:r>
            <w:r>
              <w:rPr>
                <w:rFonts w:hint="eastAsia"/>
                <w:lang w:val="en-US"/>
              </w:rPr>
              <w:t>/㎡)</w:t>
            </w:r>
          </w:p>
        </w:tc>
        <w:tc>
          <w:tcPr>
            <w:tcW w:w="1701" w:type="dxa"/>
            <w:shd w:val="clear" w:color="auto" w:fill="D0CECE"/>
            <w:vAlign w:val="center"/>
          </w:tcPr>
          <w:p>
            <w:pPr>
              <w:ind w:firstLine="0" w:firstLineChars="0"/>
              <w:jc w:val="center"/>
              <w:rPr>
                <w:lang w:val="en-US"/>
              </w:rPr>
            </w:pPr>
            <w:r>
              <w:rPr>
                <w:rFonts w:hint="eastAsia"/>
                <w:lang w:val="en-US"/>
              </w:rPr>
              <w:t>碳排放</w:t>
            </w:r>
            <w:r>
              <w:rPr>
                <w:lang w:val="en-US"/>
              </w:rPr>
              <w:t>因子</w:t>
            </w:r>
            <w:r>
              <w:rPr>
                <w:rFonts w:hint="eastAsia"/>
                <w:lang w:val="en-US"/>
              </w:rPr>
              <w:t>(</w:t>
            </w:r>
            <w:r>
              <w:rPr>
                <w:lang w:val="en-US"/>
              </w:rPr>
              <w:t>kgCO2/kWh</w:t>
            </w:r>
            <w:r>
              <w:rPr>
                <w:rFonts w:hint="eastAsia"/>
                <w:lang w:val="en-US"/>
              </w:rPr>
              <w:t>)</w:t>
            </w:r>
          </w:p>
        </w:tc>
        <w:tc>
          <w:tcPr>
            <w:tcW w:w="1570" w:type="dxa"/>
            <w:shd w:val="clear" w:color="auto" w:fill="D0CECE"/>
            <w:vAlign w:val="center"/>
          </w:tcPr>
          <w:p>
            <w:pPr>
              <w:ind w:firstLine="0" w:firstLineChars="0"/>
              <w:jc w:val="center"/>
              <w:rPr>
                <w:lang w:val="en-US"/>
              </w:rPr>
            </w:pPr>
            <w:r>
              <w:rPr>
                <w:rFonts w:hint="eastAsia"/>
                <w:lang w:val="en-US"/>
              </w:rPr>
              <w:t>碳减排量(</w:t>
            </w:r>
            <w:r>
              <w:rPr>
                <w:lang w:val="en-US"/>
              </w:rPr>
              <w:t>tCO2</w:t>
            </w: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restart"/>
            <w:shd w:val="clear" w:color="auto" w:fill="FFFFFF"/>
            <w:vAlign w:val="center"/>
          </w:tcPr>
          <w:p>
            <w:pPr>
              <w:ind w:firstLine="0" w:firstLineChars="0"/>
              <w:jc w:val="center"/>
              <w:rPr>
                <w:lang w:val="en-US"/>
              </w:rPr>
            </w:pPr>
            <w:r>
              <w:rPr>
                <w:rFonts w:hint="eastAsia"/>
                <w:lang w:val="en-US"/>
              </w:rPr>
              <w:t>可再生能源(</w:t>
            </w:r>
            <w:r>
              <w:rPr>
                <w:lang w:val="en-US"/>
              </w:rPr>
              <w:t>Er)</w:t>
            </w:r>
          </w:p>
        </w:tc>
        <w:tc>
          <w:tcPr>
            <w:tcW w:w="2551" w:type="dxa"/>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光伏(</w:t>
            </w:r>
            <w:r>
              <w:rPr>
                <w:lang w:val="en-US"/>
              </w:rPr>
              <w:t>Ep)</w:t>
            </w:r>
          </w:p>
        </w:tc>
        <w:tc>
          <w:tcPr>
            <w:tcW w:w="1985" w:type="dxa"/>
            <w:vAlign w:val="center"/>
          </w:tcPr>
          <w:p>
            <w:pPr>
              <w:ind w:firstLine="0" w:firstLineChars="0"/>
              <w:jc w:val="center"/>
              <w:rPr>
                <w:lang w:val="en-US"/>
              </w:rPr>
            </w:pPr>
            <w:bookmarkStart w:id="101" w:name="光伏能耗"/>
            <w:r>
              <w:rPr>
                <w:rFonts w:hint="eastAsia"/>
                <w:lang w:val="en-US"/>
              </w:rPr>
              <w:t>0.00</w:t>
            </w:r>
            <w:bookmarkEnd w:id="101"/>
          </w:p>
        </w:tc>
        <w:tc>
          <w:tcPr>
            <w:tcW w:w="1701" w:type="dxa"/>
            <w:vMerge w:val="restart"/>
            <w:vAlign w:val="center"/>
          </w:tcPr>
          <w:p>
            <w:pPr>
              <w:ind w:firstLine="0" w:firstLineChars="0"/>
              <w:jc w:val="center"/>
              <w:rPr>
                <w:lang w:val="en-US"/>
              </w:rPr>
            </w:pPr>
            <w:bookmarkStart w:id="102" w:name="电力CO2排放因子7"/>
            <w:r>
              <w:t>0.5703</w:t>
            </w:r>
            <w:bookmarkEnd w:id="102"/>
          </w:p>
        </w:tc>
        <w:tc>
          <w:tcPr>
            <w:tcW w:w="1570" w:type="dxa"/>
          </w:tcPr>
          <w:p>
            <w:pPr>
              <w:ind w:firstLine="0" w:firstLineChars="0"/>
              <w:jc w:val="center"/>
              <w:rPr>
                <w:lang w:val="en-US"/>
              </w:rPr>
            </w:pPr>
            <w:bookmarkStart w:id="103" w:name="光伏能耗_电耗CO2排放"/>
            <w:r>
              <w:t>0.000</w:t>
            </w:r>
            <w:bookmarkEnd w:id="10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风力(</w:t>
            </w:r>
            <w:r>
              <w:rPr>
                <w:lang w:val="en-US"/>
              </w:rPr>
              <w:t>Ew</w:t>
            </w:r>
            <w:r>
              <w:rPr>
                <w:rFonts w:hint="eastAsia"/>
                <w:lang w:val="en-US"/>
              </w:rPr>
              <w:t>)</w:t>
            </w:r>
          </w:p>
        </w:tc>
        <w:tc>
          <w:tcPr>
            <w:tcW w:w="1985" w:type="dxa"/>
            <w:vAlign w:val="center"/>
          </w:tcPr>
          <w:p>
            <w:pPr>
              <w:ind w:firstLine="0" w:firstLineChars="0"/>
              <w:jc w:val="center"/>
              <w:rPr>
                <w:lang w:val="en-US"/>
              </w:rPr>
            </w:pPr>
            <w:bookmarkStart w:id="104" w:name="风力能耗"/>
            <w:r>
              <w:rPr>
                <w:rFonts w:hint="eastAsia"/>
                <w:lang w:val="en-US"/>
              </w:rPr>
              <w:t>0.00</w:t>
            </w:r>
            <w:bookmarkEnd w:id="104"/>
          </w:p>
        </w:tc>
        <w:tc>
          <w:tcPr>
            <w:tcW w:w="1701" w:type="dxa"/>
            <w:vMerge w:val="continue"/>
          </w:tcPr>
          <w:p>
            <w:pPr>
              <w:ind w:firstLine="0" w:firstLineChars="0"/>
              <w:jc w:val="center"/>
              <w:rPr>
                <w:lang w:val="en-US"/>
              </w:rPr>
            </w:pPr>
          </w:p>
        </w:tc>
        <w:tc>
          <w:tcPr>
            <w:tcW w:w="1570" w:type="dxa"/>
          </w:tcPr>
          <w:p>
            <w:pPr>
              <w:ind w:firstLine="0" w:firstLineChars="0"/>
              <w:jc w:val="center"/>
              <w:rPr>
                <w:lang w:val="en-US"/>
              </w:rPr>
            </w:pPr>
            <w:bookmarkStart w:id="105" w:name="风力能耗_电耗CO2排放"/>
            <w:r>
              <w:t>0.000</w:t>
            </w:r>
            <w:bookmarkEnd w:id="10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63" w:type="dxa"/>
            <w:gridSpan w:val="4"/>
            <w:shd w:val="clear" w:color="auto" w:fill="D0CECE"/>
            <w:vAlign w:val="center"/>
          </w:tcPr>
          <w:p>
            <w:pPr>
              <w:ind w:firstLine="0" w:firstLineChars="0"/>
              <w:jc w:val="center"/>
              <w:rPr>
                <w:lang w:val="en-US"/>
              </w:rPr>
            </w:pPr>
            <w:r>
              <w:rPr>
                <w:rFonts w:hint="eastAsia"/>
                <w:lang w:val="en-US"/>
              </w:rPr>
              <w:t>建筑运行碳排放合计</w:t>
            </w:r>
          </w:p>
        </w:tc>
        <w:tc>
          <w:tcPr>
            <w:tcW w:w="1570" w:type="dxa"/>
          </w:tcPr>
          <w:p>
            <w:pPr>
              <w:ind w:firstLine="0" w:firstLineChars="0"/>
              <w:jc w:val="center"/>
              <w:rPr>
                <w:lang w:val="en-US"/>
              </w:rPr>
            </w:pPr>
            <w:bookmarkStart w:id="106" w:name="建筑总碳排放"/>
            <w:r>
              <w:t>88126.619</w:t>
            </w:r>
            <w:bookmarkEnd w:id="106"/>
          </w:p>
        </w:tc>
        <w:bookmarkStart w:id="107" w:name="建筑总碳排放平米"/>
        <w:bookmarkEnd w:id="107"/>
      </w:tr>
      <w:bookmarkEnd w:id="57"/>
    </w:tbl>
    <w:p/>
    <w:p>
      <w:pPr>
        <w:pStyle w:val="3"/>
        <w:ind w:firstLine="420"/>
        <w:rPr>
          <w:lang w:val="en-US"/>
        </w:rPr>
      </w:pPr>
      <w:bookmarkStart w:id="108" w:name="建筑运行碳排放表"/>
      <w:bookmarkEnd w:id="108"/>
    </w:p>
    <w:p>
      <w:pPr>
        <w:pStyle w:val="3"/>
        <w:ind w:firstLine="420"/>
        <w:jc w:val="center"/>
        <w:rPr>
          <w:lang w:val="en-US"/>
        </w:rPr>
      </w:pPr>
      <w:bookmarkStart w:id="109" w:name="运行碳排饼图"/>
      <w:bookmarkEnd w:id="109"/>
      <w:r>
        <w:drawing>
          <wp:inline distT="0" distB="0" distL="0" distR="0">
            <wp:extent cx="5667375" cy="557212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13"/>
                    <a:stretch>
                      <a:fillRect/>
                    </a:stretch>
                  </pic:blipFill>
                  <pic:spPr>
                    <a:xfrm>
                      <a:off x="0" y="0"/>
                      <a:ext cx="5667375" cy="5572125"/>
                    </a:xfrm>
                    <a:prstGeom prst="rect">
                      <a:avLst/>
                    </a:prstGeom>
                  </pic:spPr>
                </pic:pic>
              </a:graphicData>
            </a:graphic>
          </wp:inline>
        </w:drawing>
      </w:r>
    </w:p>
    <w:p>
      <w:pPr>
        <w:pStyle w:val="3"/>
        <w:ind w:firstLine="420"/>
        <w:jc w:val="center"/>
        <w:rPr>
          <w:lang w:val="en-US"/>
        </w:rPr>
      </w:pPr>
      <w:r>
        <w:drawing>
          <wp:inline distT="0" distB="0" distL="0" distR="0">
            <wp:extent cx="5667375" cy="5572125"/>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4"/>
                    <a:stretch>
                      <a:fillRect/>
                    </a:stretch>
                  </pic:blipFill>
                  <pic:spPr>
                    <a:xfrm>
                      <a:off x="0" y="0"/>
                      <a:ext cx="5667375" cy="5572125"/>
                    </a:xfrm>
                    <a:prstGeom prst="rect">
                      <a:avLst/>
                    </a:prstGeom>
                  </pic:spPr>
                </pic:pic>
              </a:graphicData>
            </a:graphic>
          </wp:inline>
        </w:drawing>
      </w:r>
    </w:p>
    <w:p>
      <w:pPr>
        <w:pStyle w:val="3"/>
        <w:ind w:firstLine="420"/>
        <w:rPr>
          <w:lang w:val="en-US"/>
        </w:rPr>
      </w:pPr>
    </w:p>
    <w:p>
      <w:pPr>
        <w:pStyle w:val="5"/>
        <w:tabs>
          <w:tab w:val="clear" w:pos="432"/>
        </w:tabs>
      </w:pPr>
      <w:bookmarkStart w:id="110" w:name="_Toc11415"/>
      <w:r>
        <w:rPr>
          <w:rFonts w:hint="eastAsia"/>
          <w:iCs/>
          <w:sz w:val="24"/>
          <w:szCs w:val="24"/>
        </w:rPr>
        <w:t>建筑维护</w:t>
      </w:r>
      <w:r>
        <w:rPr>
          <w:rFonts w:ascii="微软雅黑" w:cs="微软雅黑"/>
        </w:rPr>
        <w:t xml:space="preserve"> </w:t>
      </w:r>
      <w:r>
        <w:t>Building maintenance</w:t>
      </w:r>
      <w:bookmarkEnd w:id="110"/>
    </w:p>
    <w:p>
      <w:pPr>
        <w:pStyle w:val="3"/>
        <w:ind w:firstLine="420"/>
        <w:rPr>
          <w:lang w:val="en-US"/>
        </w:rPr>
      </w:pPr>
      <w:r>
        <w:rPr>
          <w:rFonts w:hint="eastAsia"/>
          <w:lang w:val="en-US"/>
        </w:rPr>
        <w:t>建筑部件、设备的使用寿命一般小于建筑寿命，在建筑的全寿命周期内存在更换可能，更换产生的设备和材料的碳排放量在建材生产及运输阶段的计算中予以考虑。</w:t>
      </w:r>
    </w:p>
    <w:p>
      <w:pPr>
        <w:pStyle w:val="3"/>
        <w:ind w:firstLine="420"/>
        <w:rPr>
          <w:lang w:val="en-US"/>
        </w:rPr>
      </w:pPr>
      <w:r>
        <w:rPr>
          <w:lang w:val="en-US"/>
        </w:rPr>
        <w:t>本项目根据取舍原则，不考虑该阶段的碳排放。</w:t>
      </w:r>
    </w:p>
    <w:p>
      <w:pPr>
        <w:pStyle w:val="5"/>
        <w:tabs>
          <w:tab w:val="clear" w:pos="432"/>
        </w:tabs>
      </w:pPr>
      <w:bookmarkStart w:id="111" w:name="_Toc15013"/>
      <w:r>
        <w:t xml:space="preserve">建筑碳汇 Carbon sink of </w:t>
      </w:r>
      <w:r>
        <w:rPr>
          <w:rFonts w:hint="eastAsia"/>
        </w:rPr>
        <w:t>life</w:t>
      </w:r>
      <w:r>
        <w:t xml:space="preserve"> stage</w:t>
      </w:r>
      <w:bookmarkEnd w:id="111"/>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803"/>
        <w:gridCol w:w="1177"/>
        <w:gridCol w:w="1556"/>
        <w:gridCol w:w="707"/>
        <w:gridCol w:w="707"/>
        <w:gridCol w:w="136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绿植</w:t>
            </w:r>
          </w:p>
        </w:tc>
        <w:tc>
          <w:tcPr>
            <w:shd w:val="clear" w:color="auto" w:fill="E6E6E6"/>
            <w:vAlign w:val="center"/>
          </w:tcPr>
          <w:p>
            <w:pPr>
              <w:jc w:val="center"/>
            </w:pPr>
            <w:r>
              <w:t>生长期</w:t>
            </w:r>
            <w:r>
              <w:br w:type="textWrapping"/>
            </w:r>
            <w:r>
              <w:t>修正因子</w:t>
            </w:r>
          </w:p>
        </w:tc>
        <w:tc>
          <w:tcPr>
            <w:shd w:val="clear" w:color="auto" w:fill="E6E6E6"/>
            <w:vAlign w:val="center"/>
          </w:tcPr>
          <w:p>
            <w:pPr>
              <w:jc w:val="center"/>
            </w:pPr>
            <w:r>
              <w:t>CO2固定量</w:t>
            </w:r>
            <w:r>
              <w:br w:type="textWrapping"/>
            </w:r>
            <w:r>
              <w:t>(kg/㎡·a)</w:t>
            </w:r>
          </w:p>
        </w:tc>
        <w:tc>
          <w:tcPr>
            <w:shd w:val="clear" w:color="auto" w:fill="E6E6E6"/>
            <w:vAlign w:val="center"/>
          </w:tcPr>
          <w:p>
            <w:pPr>
              <w:jc w:val="center"/>
            </w:pPr>
            <w:r>
              <w:t>面积(㎡)</w:t>
            </w:r>
          </w:p>
        </w:tc>
        <w:tc>
          <w:tcPr>
            <w:shd w:val="clear" w:color="auto" w:fill="E6E6E6"/>
            <w:vAlign w:val="center"/>
          </w:tcPr>
          <w:p>
            <w:pPr>
              <w:jc w:val="center"/>
            </w:pPr>
            <w:r>
              <w:t>年数</w:t>
            </w:r>
          </w:p>
        </w:tc>
        <w:tc>
          <w:tcPr>
            <w:shd w:val="clear" w:color="auto" w:fill="E6E6E6"/>
            <w:vAlign w:val="center"/>
          </w:tcPr>
          <w:p>
            <w:pPr>
              <w:jc w:val="center"/>
            </w:pPr>
            <w:r>
              <w:t>碳固定量</w:t>
            </w:r>
            <w:r>
              <w:br w:type="textWrapping"/>
            </w:r>
            <w:r>
              <w:t>(tCO2)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密植灌木丛（高约0.45m，土壤深度&gt;0.5m）</w:t>
            </w:r>
          </w:p>
        </w:tc>
        <w:tc>
          <w:tcPr>
            <w:vAlign w:val="center"/>
          </w:tcPr>
          <w:p>
            <w:r>
              <w:t>0.6</w:t>
            </w:r>
          </w:p>
        </w:tc>
        <w:tc>
          <w:tcPr>
            <w:vAlign w:val="center"/>
          </w:tcPr>
          <w:p>
            <w:r>
              <w:t>5.13</w:t>
            </w:r>
          </w:p>
        </w:tc>
        <w:tc>
          <w:tcPr>
            <w:vAlign w:val="center"/>
          </w:tcPr>
          <w:p>
            <w:r>
              <w:t>15</w:t>
            </w:r>
          </w:p>
        </w:tc>
        <w:tc>
          <w:tcPr>
            <w:vMerge w:val="restart"/>
            <w:vAlign w:val="center"/>
          </w:tcPr>
          <w:p>
            <w:r>
              <w:t>70</w:t>
            </w:r>
          </w:p>
        </w:tc>
        <w:tc>
          <w:tcPr>
            <w:vAlign w:val="center"/>
          </w:tcPr>
          <w:p>
            <w:r>
              <w:t>3.232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多年生蔓藤（以立体攀附面积计算，土壤深度&gt;0.5m）</w:t>
            </w:r>
          </w:p>
        </w:tc>
        <w:tc>
          <w:tcPr>
            <w:vAlign w:val="center"/>
          </w:tcPr>
          <w:p>
            <w:r>
              <w:t>0.6</w:t>
            </w:r>
          </w:p>
        </w:tc>
        <w:tc>
          <w:tcPr>
            <w:vAlign w:val="center"/>
          </w:tcPr>
          <w:p>
            <w:r>
              <w:t>2.58</w:t>
            </w:r>
          </w:p>
        </w:tc>
        <w:tc>
          <w:tcPr>
            <w:vAlign w:val="center"/>
          </w:tcPr>
          <w:p>
            <w:r>
              <w:t>15</w:t>
            </w:r>
          </w:p>
        </w:tc>
        <w:tc>
          <w:tcPr>
            <w:vMerge w:val="continue"/>
            <w:vAlign w:val="center"/>
          </w:tcPr>
          <w:p/>
        </w:tc>
        <w:tc>
          <w:tcPr>
            <w:vAlign w:val="center"/>
          </w:tcPr>
          <w:p>
            <w:r>
              <w:t>1.625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高草花花圃或高茎野草地（高约1.0m，土壤深度&gt;0.3m）</w:t>
            </w:r>
          </w:p>
        </w:tc>
        <w:tc>
          <w:tcPr>
            <w:vAlign w:val="center"/>
          </w:tcPr>
          <w:p>
            <w:r>
              <w:t>0.6</w:t>
            </w:r>
          </w:p>
        </w:tc>
        <w:tc>
          <w:tcPr>
            <w:vAlign w:val="center"/>
          </w:tcPr>
          <w:p>
            <w:r>
              <w:t>1.15</w:t>
            </w:r>
          </w:p>
        </w:tc>
        <w:tc>
          <w:tcPr>
            <w:vAlign w:val="center"/>
          </w:tcPr>
          <w:p>
            <w:r>
              <w:t>5</w:t>
            </w:r>
          </w:p>
        </w:tc>
        <w:tc>
          <w:tcPr>
            <w:vMerge w:val="continue"/>
            <w:vAlign w:val="center"/>
          </w:tcPr>
          <w:p/>
        </w:tc>
        <w:tc>
          <w:tcPr>
            <w:vAlign w:val="center"/>
          </w:tcPr>
          <w:p>
            <w:r>
              <w:t>0.242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一年生蔓藤、低草花花圃或低茎野草地（高约0.25m，土壤深度&gt;0.3m）</w:t>
            </w:r>
          </w:p>
        </w:tc>
        <w:tc>
          <w:tcPr>
            <w:vAlign w:val="center"/>
          </w:tcPr>
          <w:p>
            <w:r>
              <w:t>0.6</w:t>
            </w:r>
          </w:p>
        </w:tc>
        <w:tc>
          <w:tcPr>
            <w:vAlign w:val="center"/>
          </w:tcPr>
          <w:p>
            <w:r>
              <w:t>0.34</w:t>
            </w:r>
          </w:p>
        </w:tc>
        <w:tc>
          <w:tcPr>
            <w:vAlign w:val="center"/>
          </w:tcPr>
          <w:p>
            <w:r>
              <w:t>20</w:t>
            </w:r>
          </w:p>
        </w:tc>
        <w:tc>
          <w:tcPr>
            <w:vMerge w:val="continue"/>
            <w:vAlign w:val="center"/>
          </w:tcPr>
          <w:p/>
        </w:tc>
        <w:tc>
          <w:tcPr>
            <w:vAlign w:val="center"/>
          </w:tcPr>
          <w:p>
            <w:r>
              <w:t>0.286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草花花圃、自然野草、草坪、水生植物</w:t>
            </w:r>
          </w:p>
        </w:tc>
        <w:tc>
          <w:tcPr>
            <w:vAlign w:val="center"/>
          </w:tcPr>
          <w:p>
            <w:r>
              <w:t>0.6</w:t>
            </w:r>
          </w:p>
        </w:tc>
        <w:tc>
          <w:tcPr>
            <w:vAlign w:val="center"/>
          </w:tcPr>
          <w:p>
            <w:r>
              <w:t>0.5</w:t>
            </w:r>
          </w:p>
        </w:tc>
        <w:tc>
          <w:tcPr>
            <w:vAlign w:val="center"/>
          </w:tcPr>
          <w:p>
            <w:r>
              <w:t>15</w:t>
            </w:r>
          </w:p>
        </w:tc>
        <w:tc>
          <w:tcPr>
            <w:vMerge w:val="continue"/>
            <w:vAlign w:val="center"/>
          </w:tcPr>
          <w:p/>
        </w:tc>
        <w:tc>
          <w:tcPr>
            <w:vAlign w:val="center"/>
          </w:tcPr>
          <w:p>
            <w:r>
              <w:t>0.315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gridSpan w:val="5"/>
            <w:shd w:val="clear" w:color="auto" w:fill="E6E6E6"/>
            <w:vAlign w:val="center"/>
          </w:tcPr>
          <w:p>
            <w:r>
              <w:t>合计</w:t>
            </w:r>
          </w:p>
        </w:tc>
        <w:tc>
          <w:tcPr>
            <w:vAlign w:val="center"/>
          </w:tcPr>
          <w:p>
            <w:r>
              <w:t>5.700</w:t>
            </w:r>
          </w:p>
        </w:tc>
      </w:tr>
    </w:tbl>
    <w:p>
      <w:pPr>
        <w:pStyle w:val="3"/>
        <w:ind w:firstLine="420"/>
        <w:rPr>
          <w:lang w:val="en-US"/>
        </w:rPr>
      </w:pPr>
      <w:bookmarkStart w:id="112" w:name="碳汇明细表"/>
      <w:bookmarkEnd w:id="112"/>
    </w:p>
    <w:p>
      <w:pPr>
        <w:pStyle w:val="4"/>
      </w:pPr>
      <w:bookmarkStart w:id="113" w:name="_Toc3176"/>
      <w:r>
        <w:rPr>
          <w:rFonts w:hint="eastAsia"/>
        </w:rPr>
        <w:t>报废阶段 End of life stage</w:t>
      </w:r>
      <w:bookmarkEnd w:id="113"/>
      <w:r>
        <w:rPr>
          <w:rFonts w:hint="eastAsia"/>
        </w:rPr>
        <w:t xml:space="preserve"> </w:t>
      </w:r>
    </w:p>
    <w:p>
      <w:pPr>
        <w:pStyle w:val="5"/>
      </w:pPr>
      <w:bookmarkStart w:id="114" w:name="_Toc21323"/>
      <w:r>
        <w:rPr>
          <w:rFonts w:hint="eastAsia"/>
        </w:rPr>
        <w:t>建材回收阶段</w:t>
      </w:r>
      <w:bookmarkEnd w:id="114"/>
    </w:p>
    <w:p>
      <w:pPr>
        <w:pStyle w:val="3"/>
        <w:ind w:firstLine="420"/>
        <w:rPr>
          <w:lang w:val="en-US"/>
        </w:rPr>
      </w:pPr>
      <w:r>
        <w:rPr>
          <w:rFonts w:hint="eastAsia"/>
          <w:lang w:val="en-US"/>
        </w:rPr>
        <w:t>建材回收的碳排放量在建材生及运输阶段的计算中予以考虑，本项目中忽略该部分碳排量。</w:t>
      </w:r>
    </w:p>
    <w:p>
      <w:pPr>
        <w:pStyle w:val="5"/>
      </w:pPr>
      <w:bookmarkStart w:id="115" w:name="_Toc31303"/>
      <w:r>
        <w:t>建筑拆除阶段</w:t>
      </w:r>
      <w:bookmarkEnd w:id="115"/>
    </w:p>
    <w:p>
      <w:pPr>
        <w:pStyle w:val="3"/>
        <w:ind w:firstLine="420"/>
        <w:rPr>
          <w:lang w:val="en-US"/>
        </w:rPr>
      </w:pPr>
      <w:bookmarkStart w:id="116" w:name="建筑拆除碳排放"/>
      <w:bookmarkEnd w:id="116"/>
      <w:r>
        <w:rPr>
          <w:lang w:val="en-US"/>
        </w:rPr>
        <w:t>根据广东省《建筑碳排放计算导则（试行）》，建议粗略估算拆除阶段的碳排放，计算方法与建造阶段公式一致即可，公式如下：</w:t>
      </w:r>
    </w:p>
    <w:p>
      <w:pPr>
        <w:pStyle w:val="3"/>
        <w:ind w:firstLine="420"/>
        <w:rPr>
          <w:lang w:val="en-US"/>
        </w:rPr>
      </w:pPr>
      <w:r>
        <w:rPr>
          <w:lang w:val="en-US"/>
        </w:rPr>
        <w:t xml:space="preserve">Y = X + 1.99 </w:t>
      </w:r>
    </w:p>
    <w:p>
      <w:pPr>
        <w:pStyle w:val="3"/>
        <w:ind w:firstLine="420"/>
        <w:rPr>
          <w:lang w:val="en-US"/>
        </w:rPr>
      </w:pPr>
      <w:r>
        <w:rPr>
          <w:lang w:val="en-US"/>
        </w:rPr>
        <w:t>其中X 为地上层数，Y 为单位面积的碳排放量，单位为：kgCO2/㎡,</w:t>
      </w:r>
    </w:p>
    <w:p>
      <w:pPr>
        <w:pStyle w:val="3"/>
        <w:ind w:firstLine="420"/>
        <w:rPr>
          <w:lang w:val="en-US"/>
        </w:rPr>
      </w:pPr>
      <w:r>
        <w:rPr>
          <w:lang w:val="en-US"/>
        </w:rPr>
        <w:t>则拆除阶段碳排放估算值 Ccc=Y×A, 其中A——建筑总面积，㎡。</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建筑面积(㎡)</w:t>
            </w:r>
          </w:p>
        </w:tc>
        <w:tc>
          <w:tcPr>
            <w:shd w:val="clear" w:color="auto" w:fill="E6E6E6"/>
            <w:vAlign w:val="center"/>
          </w:tcPr>
          <w:p>
            <w:pPr>
              <w:jc w:val="center"/>
            </w:pPr>
            <w:r>
              <w:t>地上层数</w:t>
            </w:r>
          </w:p>
        </w:tc>
        <w:tc>
          <w:tcPr>
            <w:shd w:val="clear" w:color="auto" w:fill="E6E6E6"/>
            <w:vAlign w:val="center"/>
          </w:tcPr>
          <w:p>
            <w:pPr>
              <w:jc w:val="center"/>
            </w:pPr>
            <w:r>
              <w:t>单位面积碳排放量(kgCO2/㎡)</w:t>
            </w:r>
          </w:p>
        </w:tc>
        <w:tc>
          <w:tcPr>
            <w:shd w:val="clear" w:color="auto" w:fill="E6E6E6"/>
            <w:vAlign w:val="center"/>
          </w:tcPr>
          <w:p>
            <w:pPr>
              <w:jc w:val="center"/>
            </w:pPr>
            <w:r>
              <w:t>拆除碳排放量(tCO2)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7320.73</w:t>
            </w:r>
          </w:p>
        </w:tc>
        <w:tc>
          <w:tcPr>
            <w:vAlign w:val="center"/>
          </w:tcPr>
          <w:p>
            <w:r>
              <w:t>3</w:t>
            </w:r>
          </w:p>
        </w:tc>
        <w:tc>
          <w:tcPr>
            <w:vAlign w:val="center"/>
          </w:tcPr>
          <w:p>
            <w:r>
              <w:t>4.99</w:t>
            </w:r>
          </w:p>
        </w:tc>
        <w:tc>
          <w:tcPr>
            <w:vAlign w:val="center"/>
          </w:tcPr>
          <w:p>
            <w:r>
              <w:t>36.530</w:t>
            </w:r>
          </w:p>
        </w:tc>
      </w:tr>
    </w:tbl>
    <w:p>
      <w:pPr>
        <w:pStyle w:val="3"/>
        <w:ind w:firstLine="420"/>
        <w:rPr>
          <w:lang w:val="en-US"/>
        </w:rPr>
      </w:pPr>
    </w:p>
    <w:p>
      <w:pPr>
        <w:pStyle w:val="4"/>
      </w:pPr>
      <w:bookmarkStart w:id="117" w:name="_Toc16852"/>
      <w:r>
        <w:rPr>
          <w:rFonts w:hint="eastAsia"/>
        </w:rPr>
        <w:t>结果汇总</w:t>
      </w:r>
      <w:r>
        <w:t>Results summary</w:t>
      </w:r>
      <w:bookmarkEnd w:id="117"/>
    </w:p>
    <w:p>
      <w:pPr>
        <w:pStyle w:val="5"/>
        <w:widowControl w:val="0"/>
        <w:jc w:val="both"/>
        <w:rPr>
          <w:color w:val="000000"/>
        </w:rPr>
      </w:pPr>
      <w:bookmarkStart w:id="118" w:name="_Toc103699719"/>
      <w:bookmarkStart w:id="119" w:name="_Toc26460"/>
      <w:r>
        <w:rPr>
          <w:color w:val="000000"/>
        </w:rPr>
        <w:t>单位面积指标</w:t>
      </w:r>
      <w:bookmarkEnd w:id="118"/>
      <w:bookmarkEnd w:id="119"/>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63"/>
        <w:gridCol w:w="3741"/>
        <w:gridCol w:w="33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类别</w:t>
            </w:r>
          </w:p>
        </w:tc>
        <w:tc>
          <w:tcPr>
            <w:shd w:val="clear" w:color="auto" w:fill="E6E6E6"/>
            <w:vAlign w:val="center"/>
          </w:tcPr>
          <w:p>
            <w:pPr>
              <w:jc w:val="center"/>
            </w:pPr>
            <w:r>
              <w:t>年碳排放量(kgCO2/㎡·a)</w:t>
            </w:r>
          </w:p>
        </w:tc>
        <w:tc>
          <w:tcPr>
            <w:shd w:val="clear" w:color="auto" w:fill="E6E6E6"/>
            <w:vAlign w:val="center"/>
          </w:tcPr>
          <w:p>
            <w:pPr>
              <w:jc w:val="center"/>
            </w:pPr>
            <w:r>
              <w:t>碳排放量(kgCO2/㎡)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建筑材料生产</w:t>
            </w:r>
          </w:p>
        </w:tc>
        <w:tc>
          <w:tcPr>
            <w:vAlign w:val="center"/>
          </w:tcPr>
          <w:p>
            <w:r>
              <w:t>0.00</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建筑材料运输</w:t>
            </w:r>
          </w:p>
        </w:tc>
        <w:tc>
          <w:tcPr>
            <w:vAlign w:val="center"/>
          </w:tcPr>
          <w:p>
            <w:r>
              <w:t>0.00</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建筑建造</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建筑拆除</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建筑运行</w:t>
            </w:r>
          </w:p>
        </w:tc>
        <w:tc>
          <w:tcPr>
            <w:vAlign w:val="center"/>
          </w:tcPr>
          <w:p>
            <w:r>
              <w:t>171.97</w:t>
            </w:r>
          </w:p>
        </w:tc>
        <w:tc>
          <w:tcPr>
            <w:vAlign w:val="center"/>
          </w:tcPr>
          <w:p>
            <w:r>
              <w:t>12037.95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碳汇</w:t>
            </w:r>
          </w:p>
        </w:tc>
        <w:tc>
          <w:tcPr>
            <w:vAlign w:val="center"/>
          </w:tcPr>
          <w:p>
            <w:r>
              <w:t>-0.01</w:t>
            </w:r>
          </w:p>
        </w:tc>
        <w:tc>
          <w:tcPr>
            <w:vAlign w:val="center"/>
          </w:tcPr>
          <w:p>
            <w:r>
              <w:t>-0.78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171.96</w:t>
            </w:r>
          </w:p>
        </w:tc>
        <w:tc>
          <w:tcPr>
            <w:vAlign w:val="center"/>
          </w:tcPr>
          <w:p>
            <w:r>
              <w:t>12037.17</w:t>
            </w:r>
          </w:p>
        </w:tc>
      </w:tr>
    </w:tbl>
    <w:p>
      <w:pPr>
        <w:pStyle w:val="3"/>
        <w:ind w:firstLine="420"/>
      </w:pPr>
      <w:bookmarkStart w:id="120" w:name="全生命周期单位面积碳排表"/>
      <w:bookmarkEnd w:id="120"/>
    </w:p>
    <w:p>
      <w:pPr>
        <w:pStyle w:val="5"/>
        <w:widowControl w:val="0"/>
        <w:jc w:val="both"/>
        <w:rPr>
          <w:color w:val="000000"/>
        </w:rPr>
      </w:pPr>
      <w:bookmarkStart w:id="121" w:name="_Toc11563"/>
      <w:r>
        <w:rPr>
          <w:color w:val="000000"/>
        </w:rPr>
        <w:t>总碳排放量</w:t>
      </w:r>
      <w:bookmarkEnd w:id="121"/>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63"/>
        <w:gridCol w:w="3741"/>
        <w:gridCol w:w="33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类别</w:t>
            </w:r>
          </w:p>
        </w:tc>
        <w:tc>
          <w:tcPr>
            <w:shd w:val="clear" w:color="auto" w:fill="E6E6E6"/>
            <w:vAlign w:val="center"/>
          </w:tcPr>
          <w:p>
            <w:pPr>
              <w:jc w:val="center"/>
            </w:pPr>
            <w:r>
              <w:t>年碳排放量(tCO2/a)</w:t>
            </w:r>
          </w:p>
        </w:tc>
        <w:tc>
          <w:tcPr>
            <w:shd w:val="clear" w:color="auto" w:fill="E6E6E6"/>
            <w:vAlign w:val="center"/>
          </w:tcPr>
          <w:p>
            <w:pPr>
              <w:jc w:val="center"/>
            </w:pPr>
            <w:r>
              <w:t>碳排放量(tCO2)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建筑材料生产</w:t>
            </w:r>
          </w:p>
        </w:tc>
        <w:tc>
          <w:tcPr>
            <w:vAlign w:val="center"/>
          </w:tcPr>
          <w:p>
            <w:r>
              <w:t>0.000</w:t>
            </w:r>
          </w:p>
        </w:tc>
        <w:tc>
          <w:tcPr>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建筑材料运输</w:t>
            </w:r>
          </w:p>
        </w:tc>
        <w:tc>
          <w:tcPr>
            <w:vAlign w:val="center"/>
          </w:tcPr>
          <w:p>
            <w:r>
              <w:t>0.000</w:t>
            </w:r>
          </w:p>
        </w:tc>
        <w:tc>
          <w:tcPr>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建筑建造</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建筑拆除</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建筑运行</w:t>
            </w:r>
          </w:p>
        </w:tc>
        <w:tc>
          <w:tcPr>
            <w:vAlign w:val="center"/>
          </w:tcPr>
          <w:p>
            <w:r>
              <w:t>1258.952</w:t>
            </w:r>
          </w:p>
        </w:tc>
        <w:tc>
          <w:tcPr>
            <w:vAlign w:val="center"/>
          </w:tcPr>
          <w:p>
            <w:r>
              <w:t>88126.619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碳汇</w:t>
            </w:r>
          </w:p>
        </w:tc>
        <w:tc>
          <w:tcPr>
            <w:vAlign w:val="center"/>
          </w:tcPr>
          <w:p>
            <w:r>
              <w:t>-0.081</w:t>
            </w:r>
          </w:p>
        </w:tc>
        <w:tc>
          <w:tcPr>
            <w:vAlign w:val="center"/>
          </w:tcPr>
          <w:p>
            <w:r>
              <w:t>-5.700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1258.871</w:t>
            </w:r>
          </w:p>
        </w:tc>
        <w:tc>
          <w:tcPr>
            <w:vAlign w:val="center"/>
          </w:tcPr>
          <w:p>
            <w:r>
              <w:t>88120.919</w:t>
            </w:r>
          </w:p>
        </w:tc>
      </w:tr>
    </w:tbl>
    <w:p>
      <w:pPr>
        <w:ind w:firstLine="420"/>
      </w:pPr>
      <w:bookmarkStart w:id="122" w:name="全生命周期碳排表"/>
      <w:bookmarkEnd w:id="122"/>
    </w:p>
    <w:p>
      <w:pPr>
        <w:pStyle w:val="2"/>
      </w:pPr>
      <w:bookmarkStart w:id="123" w:name="_Toc30650"/>
      <w:r>
        <w:rPr>
          <w:rFonts w:hint="eastAsia"/>
        </w:rPr>
        <w:t>总结和建议 Summary and</w:t>
      </w:r>
      <w:r>
        <w:t xml:space="preserve"> recommendations</w:t>
      </w:r>
      <w:bookmarkEnd w:id="123"/>
    </w:p>
    <w:p>
      <w:pPr>
        <w:pStyle w:val="4"/>
      </w:pPr>
      <w:bookmarkStart w:id="124" w:name="_Toc18053"/>
      <w:r>
        <w:rPr>
          <w:rFonts w:hint="eastAsia"/>
        </w:rPr>
        <w:t xml:space="preserve">分析结果的总结与解释 </w:t>
      </w:r>
      <w:r>
        <w:t>Summary and interpretation of the result</w:t>
      </w:r>
      <w:bookmarkEnd w:id="124"/>
    </w:p>
    <w:p>
      <w:pPr>
        <w:pStyle w:val="5"/>
        <w:numPr>
          <w:ilvl w:val="0"/>
          <w:numId w:val="6"/>
        </w:numPr>
      </w:pPr>
      <w:bookmarkStart w:id="125" w:name="_Toc1904"/>
      <w:r>
        <w:rPr>
          <w:rFonts w:hint="eastAsia"/>
        </w:rPr>
        <w:t>完整性说明</w:t>
      </w:r>
      <w:bookmarkEnd w:id="125"/>
    </w:p>
    <w:p>
      <w:pPr>
        <w:pStyle w:val="3"/>
        <w:ind w:firstLine="420"/>
        <w:rPr>
          <w:lang w:val="en-US"/>
        </w:rPr>
      </w:pPr>
      <w:r>
        <w:rPr>
          <w:rFonts w:hint="eastAsia"/>
          <w:lang w:val="en-US"/>
        </w:rPr>
        <w:t>本报告的建材的固有碳排放量，即建材生产和运输的碳排放包括了建筑主体结构材料、维护结构及构件和部品，总重量不低于建筑总重量的95%。钢材、砖、混凝土、生石灰、水泥、门窗等十余种主材在建材生产阶段碳排已经占比99%以上，其他建材可不纳入建筑碳排放评价。</w:t>
      </w:r>
    </w:p>
    <w:p>
      <w:pPr>
        <w:pStyle w:val="3"/>
        <w:ind w:firstLine="420"/>
        <w:rPr>
          <w:lang w:val="en-US"/>
        </w:rPr>
      </w:pPr>
      <w:r>
        <w:rPr>
          <w:rFonts w:hint="eastAsia"/>
          <w:lang w:val="en-US"/>
        </w:rPr>
        <w:t>建材回收及建筑设备</w:t>
      </w:r>
      <w:r>
        <w:rPr>
          <w:lang w:val="en-US"/>
        </w:rPr>
        <w:t>维修或更换的设备设施</w:t>
      </w:r>
      <w:r>
        <w:rPr>
          <w:rFonts w:hint="eastAsia"/>
          <w:lang w:val="en-US"/>
        </w:rPr>
        <w:t xml:space="preserve">无较为准确的数据，进行估算或忽略计算。 </w:t>
      </w:r>
    </w:p>
    <w:p>
      <w:pPr>
        <w:pStyle w:val="5"/>
        <w:numPr>
          <w:ilvl w:val="0"/>
          <w:numId w:val="6"/>
        </w:numPr>
      </w:pPr>
      <w:bookmarkStart w:id="126" w:name="_Toc21176"/>
      <w:r>
        <w:t>数据质量评估</w:t>
      </w:r>
      <w:bookmarkEnd w:id="126"/>
    </w:p>
    <w:p>
      <w:pPr>
        <w:pStyle w:val="3"/>
        <w:ind w:firstLine="420"/>
        <w:rPr>
          <w:lang w:val="en-US"/>
        </w:rPr>
      </w:pPr>
      <w:r>
        <w:rPr>
          <w:rFonts w:hint="eastAsia" w:cs="Arial"/>
          <w:lang w:val="en-US"/>
        </w:rPr>
        <w:t>建材生产阶段的碳排放因子优先选用由建材生产商提供的并经过第三方审核的建材碳足迹数据。建材生产商不能提供时，采用</w:t>
      </w:r>
      <w:r>
        <w:rPr>
          <w:lang w:val="en-US"/>
        </w:rPr>
        <w:t>GB/T 51366</w:t>
      </w:r>
      <w:r>
        <w:rPr>
          <w:rFonts w:hint="eastAsia"/>
          <w:lang w:val="en-US"/>
        </w:rPr>
        <w:t>附录D及相关文献的缺省值。</w:t>
      </w:r>
    </w:p>
    <w:p>
      <w:pPr>
        <w:pStyle w:val="3"/>
        <w:ind w:firstLine="420"/>
        <w:rPr>
          <w:highlight w:val="yellow"/>
          <w:lang w:val="en-US"/>
        </w:rPr>
      </w:pPr>
      <w:r>
        <w:rPr>
          <w:rFonts w:hint="eastAsia"/>
          <w:lang w:val="en-US"/>
        </w:rPr>
        <w:t>建材运输阶段材料的生产厂家无法获取时，采用</w:t>
      </w:r>
      <w:r>
        <w:rPr>
          <w:lang w:val="en-US"/>
        </w:rPr>
        <w:t>GB/T 51366</w:t>
      </w:r>
      <w:r>
        <w:rPr>
          <w:rFonts w:hint="eastAsia"/>
          <w:lang w:val="en-US"/>
        </w:rPr>
        <w:t>附录E的默认值取值。</w:t>
      </w:r>
    </w:p>
    <w:p>
      <w:pPr>
        <w:pStyle w:val="3"/>
        <w:ind w:firstLine="420"/>
        <w:rPr>
          <w:lang w:val="en-US"/>
        </w:rPr>
      </w:pPr>
      <w:r>
        <w:rPr>
          <w:rFonts w:hint="eastAsia"/>
          <w:lang w:val="en-US"/>
        </w:rPr>
        <w:t>建筑建造、拆除阶段按比例或公式法进行的估算。</w:t>
      </w:r>
    </w:p>
    <w:p>
      <w:pPr>
        <w:pStyle w:val="4"/>
      </w:pPr>
      <w:bookmarkStart w:id="127" w:name="_Toc17652"/>
      <w:r>
        <w:rPr>
          <w:rFonts w:hint="eastAsia"/>
        </w:rPr>
        <w:t xml:space="preserve">结果应用 </w:t>
      </w:r>
      <w:r>
        <w:t>Application of the LCA analysis</w:t>
      </w:r>
      <w:bookmarkEnd w:id="127"/>
    </w:p>
    <w:p>
      <w:pPr>
        <w:pStyle w:val="3"/>
        <w:ind w:firstLine="420"/>
        <w:rPr>
          <w:lang w:val="en-US"/>
        </w:rPr>
      </w:pPr>
      <w:r>
        <w:rPr>
          <w:rFonts w:hint="eastAsia"/>
          <w:lang w:val="en-US"/>
        </w:rPr>
        <w:t>本报告</w:t>
      </w:r>
      <w:r>
        <w:rPr>
          <w:lang w:val="en-US"/>
        </w:rPr>
        <w:t>除满足绿建评价外，</w:t>
      </w:r>
      <w:r>
        <w:rPr>
          <w:rFonts w:hint="eastAsia"/>
          <w:lang w:val="en-US"/>
        </w:rPr>
        <w:t>可也用于建筑全生命周期碳排放计算分析。</w:t>
      </w:r>
    </w:p>
    <w:p>
      <w:pPr>
        <w:pStyle w:val="4"/>
      </w:pPr>
      <w:bookmarkStart w:id="128" w:name="_Toc14198"/>
      <w:r>
        <w:rPr>
          <w:rFonts w:hint="eastAsia"/>
        </w:rPr>
        <w:t>改进建议</w:t>
      </w:r>
      <w:bookmarkEnd w:id="128"/>
    </w:p>
    <w:p>
      <w:pPr>
        <w:ind w:firstLine="420"/>
        <w:rPr>
          <w:color w:val="000000"/>
        </w:rPr>
      </w:pPr>
      <w:r>
        <w:rPr>
          <w:color w:val="000000"/>
        </w:rPr>
        <w:t>基于碳排放计算过程的分析</w:t>
      </w:r>
      <w:r>
        <w:rPr>
          <w:rFonts w:hint="eastAsia"/>
          <w:color w:val="000000"/>
        </w:rPr>
        <w:t>，</w:t>
      </w:r>
      <w:r>
        <w:rPr>
          <w:color w:val="000000"/>
        </w:rPr>
        <w:t>减低全生命周期建筑碳排放的具体改进措施</w:t>
      </w:r>
      <w:r>
        <w:rPr>
          <w:rFonts w:hint="eastAsia"/>
          <w:color w:val="000000"/>
        </w:rPr>
        <w:t>：</w:t>
      </w:r>
    </w:p>
    <w:p>
      <w:pPr>
        <w:pStyle w:val="24"/>
        <w:numPr>
          <w:ilvl w:val="0"/>
          <w:numId w:val="7"/>
        </w:numPr>
        <w:rPr>
          <w:color w:val="BFBFBF" w:themeColor="background1" w:themeShade="BF"/>
        </w:rPr>
      </w:pPr>
      <w:r>
        <w:rPr>
          <w:rFonts w:hint="eastAsia"/>
          <w:color w:val="BFBFBF" w:themeColor="background1" w:themeShade="BF"/>
        </w:rPr>
        <w:t>在设计时，根据所在地气候特征，优化建筑及结构设计，并对施工工艺进行控制管理，节约建筑材料并提高建筑的耐久性。</w:t>
      </w:r>
    </w:p>
    <w:p>
      <w:pPr>
        <w:pStyle w:val="24"/>
        <w:numPr>
          <w:ilvl w:val="0"/>
          <w:numId w:val="7"/>
        </w:numPr>
        <w:rPr>
          <w:color w:val="BFBFBF" w:themeColor="background1" w:themeShade="BF"/>
        </w:rPr>
      </w:pPr>
      <w:r>
        <w:rPr>
          <w:color w:val="BFBFBF" w:themeColor="background1" w:themeShade="BF"/>
        </w:rPr>
        <w:t>设计选择材料时</w:t>
      </w:r>
      <w:r>
        <w:rPr>
          <w:rFonts w:hint="eastAsia"/>
          <w:color w:val="BFBFBF" w:themeColor="background1" w:themeShade="BF"/>
        </w:rPr>
        <w:t>，</w:t>
      </w:r>
      <w:r>
        <w:rPr>
          <w:color w:val="BFBFBF" w:themeColor="background1" w:themeShade="BF"/>
        </w:rPr>
        <w:t>尽可能多利用可再生循环材料</w:t>
      </w:r>
      <w:r>
        <w:rPr>
          <w:rFonts w:hint="eastAsia"/>
          <w:color w:val="BFBFBF" w:themeColor="background1" w:themeShade="BF"/>
        </w:rPr>
        <w:t>、</w:t>
      </w:r>
      <w:r>
        <w:rPr>
          <w:color w:val="BFBFBF" w:themeColor="background1" w:themeShade="BF"/>
        </w:rPr>
        <w:t>可再利用材料</w:t>
      </w:r>
      <w:r>
        <w:rPr>
          <w:rFonts w:hint="eastAsia"/>
          <w:color w:val="BFBFBF" w:themeColor="background1" w:themeShade="BF"/>
        </w:rPr>
        <w:t>、</w:t>
      </w:r>
      <w:r>
        <w:rPr>
          <w:color w:val="BFBFBF" w:themeColor="background1" w:themeShade="BF"/>
        </w:rPr>
        <w:t>利废材料及绿色建材</w:t>
      </w:r>
      <w:r>
        <w:rPr>
          <w:rFonts w:hint="eastAsia"/>
          <w:color w:val="BFBFBF" w:themeColor="background1" w:themeShade="BF"/>
        </w:rPr>
        <w:t>。</w:t>
      </w:r>
    </w:p>
    <w:p>
      <w:pPr>
        <w:pStyle w:val="24"/>
        <w:numPr>
          <w:ilvl w:val="0"/>
          <w:numId w:val="7"/>
        </w:numPr>
        <w:rPr>
          <w:color w:val="BFBFBF" w:themeColor="background1" w:themeShade="BF"/>
        </w:rPr>
      </w:pPr>
      <w:r>
        <w:rPr>
          <w:rFonts w:hint="eastAsia"/>
          <w:color w:val="BFBFBF" w:themeColor="background1" w:themeShade="BF"/>
        </w:rPr>
        <w:t>优先采购本地材料，减少建材运输碳排。</w:t>
      </w:r>
    </w:p>
    <w:p>
      <w:pPr>
        <w:pStyle w:val="24"/>
        <w:numPr>
          <w:ilvl w:val="0"/>
          <w:numId w:val="7"/>
        </w:numPr>
        <w:rPr>
          <w:color w:val="BFBFBF" w:themeColor="background1" w:themeShade="BF"/>
        </w:rPr>
      </w:pPr>
      <w:r>
        <w:rPr>
          <w:color w:val="BFBFBF" w:themeColor="background1" w:themeShade="BF"/>
        </w:rPr>
        <w:t>加强围护结构热工性能</w:t>
      </w:r>
      <w:r>
        <w:rPr>
          <w:rFonts w:hint="eastAsia"/>
          <w:color w:val="BFBFBF" w:themeColor="background1" w:themeShade="BF"/>
        </w:rPr>
        <w:t>。</w:t>
      </w:r>
    </w:p>
    <w:p>
      <w:pPr>
        <w:pStyle w:val="24"/>
        <w:numPr>
          <w:ilvl w:val="0"/>
          <w:numId w:val="7"/>
        </w:numPr>
        <w:rPr>
          <w:color w:val="BFBFBF" w:themeColor="background1" w:themeShade="BF"/>
        </w:rPr>
      </w:pPr>
      <w:r>
        <w:rPr>
          <w:rFonts w:hint="eastAsia"/>
          <w:color w:val="BFBFBF" w:themeColor="background1" w:themeShade="BF"/>
        </w:rPr>
        <w:t>增加可再生能源应用，减少化石能源。</w:t>
      </w:r>
    </w:p>
    <w:p>
      <w:pPr>
        <w:pStyle w:val="24"/>
        <w:numPr>
          <w:ilvl w:val="0"/>
          <w:numId w:val="7"/>
        </w:numPr>
        <w:rPr>
          <w:color w:val="BFBFBF" w:themeColor="background1" w:themeShade="BF"/>
        </w:rPr>
      </w:pPr>
      <w:r>
        <w:rPr>
          <w:color w:val="BFBFBF" w:themeColor="background1" w:themeShade="BF"/>
        </w:rPr>
        <w:t>应采用定时开关、自动控制等节能</w:t>
      </w:r>
      <w:r>
        <w:rPr>
          <w:rFonts w:hint="eastAsia"/>
          <w:color w:val="BFBFBF" w:themeColor="background1" w:themeShade="BF"/>
        </w:rPr>
        <w:t>控制</w:t>
      </w:r>
      <w:r>
        <w:rPr>
          <w:color w:val="BFBFBF" w:themeColor="background1" w:themeShade="BF"/>
        </w:rPr>
        <w:t>策略</w:t>
      </w:r>
      <w:r>
        <w:rPr>
          <w:rFonts w:hint="eastAsia"/>
          <w:color w:val="BFBFBF" w:themeColor="background1" w:themeShade="BF"/>
        </w:rPr>
        <w:t>，</w:t>
      </w:r>
      <w:r>
        <w:rPr>
          <w:color w:val="BFBFBF" w:themeColor="background1" w:themeShade="BF"/>
        </w:rPr>
        <w:t>提升</w:t>
      </w:r>
      <w:r>
        <w:rPr>
          <w:rFonts w:hint="eastAsia"/>
          <w:color w:val="BFBFBF" w:themeColor="background1" w:themeShade="BF"/>
        </w:rPr>
        <w:t>建筑运行管理水平。</w:t>
      </w:r>
    </w:p>
    <w:p>
      <w:pPr>
        <w:pStyle w:val="24"/>
        <w:numPr>
          <w:ilvl w:val="0"/>
          <w:numId w:val="7"/>
        </w:numPr>
        <w:rPr>
          <w:color w:val="BFBFBF" w:themeColor="background1" w:themeShade="BF"/>
        </w:rPr>
      </w:pPr>
      <w:r>
        <w:rPr>
          <w:color w:val="BFBFBF" w:themeColor="background1" w:themeShade="BF"/>
        </w:rPr>
        <w:t>提高绿化面积</w:t>
      </w:r>
      <w:r>
        <w:rPr>
          <w:rFonts w:hint="eastAsia"/>
          <w:color w:val="BFBFBF" w:themeColor="background1" w:themeShade="BF"/>
        </w:rPr>
        <w:t>。</w:t>
      </w:r>
    </w:p>
    <w:p>
      <w:pPr>
        <w:pStyle w:val="24"/>
        <w:numPr>
          <w:ilvl w:val="0"/>
          <w:numId w:val="7"/>
        </w:numPr>
        <w:rPr>
          <w:color w:val="BFBFBF" w:themeColor="background1" w:themeShade="BF"/>
        </w:rPr>
      </w:pPr>
      <w:r>
        <w:rPr>
          <w:rFonts w:hint="eastAsia"/>
          <w:color w:val="BFBFBF" w:themeColor="background1" w:themeShade="BF"/>
        </w:rPr>
        <w:t>实施</w:t>
      </w:r>
      <w:r>
        <w:rPr>
          <w:color w:val="BFBFBF" w:themeColor="background1" w:themeShade="BF"/>
        </w:rPr>
        <w:t>绿色施工</w:t>
      </w:r>
      <w:r>
        <w:rPr>
          <w:rFonts w:hint="eastAsia"/>
          <w:color w:val="BFBFBF" w:themeColor="background1" w:themeShade="BF"/>
        </w:rPr>
        <w:t>，减少资源的消耗，实现四节一环保。</w:t>
      </w:r>
    </w:p>
    <w:p>
      <w:pPr>
        <w:pStyle w:val="2"/>
      </w:pPr>
      <w:bookmarkStart w:id="129" w:name="_Toc29688"/>
      <w:r>
        <w:rPr>
          <w:rFonts w:hint="eastAsia"/>
        </w:rPr>
        <w:t>附录</w:t>
      </w:r>
      <w:bookmarkEnd w:id="129"/>
    </w:p>
    <w:p>
      <w:pPr>
        <w:pStyle w:val="4"/>
        <w:rPr>
          <w:rFonts w:hint="eastAsia"/>
          <w:lang w:val="en-US"/>
        </w:rPr>
      </w:pPr>
      <w:bookmarkStart w:id="130" w:name="_Toc29517"/>
      <w:r>
        <w:rPr>
          <w:rFonts w:hint="eastAsia"/>
          <w:lang w:val="en-US"/>
        </w:rPr>
        <w:t>围护结构概况</w:t>
      </w:r>
      <w:bookmarkEnd w:id="130"/>
    </w:p>
    <w:p/>
    <w:tbl>
      <w:tblPr>
        <w:tblStyle w:val="19"/>
        <w:tblW w:w="533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1162"/>
        <w:gridCol w:w="2722"/>
        <w:gridCol w:w="2299"/>
        <w:gridCol w:w="23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6" w:type="pct"/>
            <w:gridSpan w:val="3"/>
            <w:tcBorders>
              <w:top w:val="single" w:color="auto" w:sz="12" w:space="0"/>
              <w:bottom w:val="single" w:color="auto" w:sz="6" w:space="0"/>
            </w:tcBorders>
            <w:shd w:val="clear" w:color="auto" w:fill="E6E6E6"/>
            <w:vAlign w:val="center"/>
          </w:tcPr>
          <w:p>
            <w:pPr>
              <w:jc w:val="center"/>
              <w:rPr>
                <w:rFonts w:eastAsia="宋体"/>
                <w:bCs/>
                <w:sz w:val="21"/>
                <w:szCs w:val="21"/>
                <w:lang w:eastAsia="zh-CN"/>
              </w:rPr>
            </w:pPr>
          </w:p>
        </w:tc>
        <w:tc>
          <w:tcPr>
            <w:tcW w:w="2324" w:type="pct"/>
            <w:gridSpan w:val="2"/>
            <w:tcBorders>
              <w:top w:val="single" w:color="auto" w:sz="12" w:space="0"/>
              <w:bottom w:val="single" w:color="auto" w:sz="6" w:space="0"/>
            </w:tcBorders>
            <w:shd w:val="clear" w:color="auto" w:fill="E6E6E6"/>
            <w:vAlign w:val="center"/>
          </w:tcPr>
          <w:p>
            <w:pPr>
              <w:jc w:val="center"/>
              <w:rPr>
                <w:rFonts w:eastAsia="宋体"/>
                <w:bCs/>
                <w:sz w:val="21"/>
                <w:szCs w:val="21"/>
                <w:lang w:eastAsia="zh-CN"/>
              </w:rPr>
            </w:pPr>
            <w:bookmarkStart w:id="131" w:name="设计建筑别名"/>
            <w:r>
              <w:rPr>
                <w:rFonts w:hAnsi="宋体" w:eastAsia="宋体"/>
                <w:bCs/>
                <w:sz w:val="21"/>
                <w:szCs w:val="21"/>
                <w:lang w:eastAsia="zh-CN"/>
              </w:rPr>
              <w:t>设计建筑</w:t>
            </w:r>
            <w:bookmarkEnd w:id="13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6" w:type="pct"/>
            <w:gridSpan w:val="3"/>
            <w:tcBorders>
              <w:top w:val="single" w:color="auto" w:sz="6" w:space="0"/>
              <w:bottom w:val="single" w:color="auto" w:sz="6" w:space="0"/>
            </w:tcBorders>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体形系数S</w:t>
            </w:r>
          </w:p>
        </w:tc>
        <w:tc>
          <w:tcPr>
            <w:tcW w:w="2324" w:type="pct"/>
            <w:gridSpan w:val="2"/>
            <w:tcBorders>
              <w:top w:val="single" w:color="auto" w:sz="6" w:space="0"/>
              <w:bottom w:val="single" w:color="auto" w:sz="6" w:space="0"/>
            </w:tcBorders>
            <w:vAlign w:val="center"/>
          </w:tcPr>
          <w:p>
            <w:pPr>
              <w:jc w:val="center"/>
              <w:rPr>
                <w:rFonts w:hint="eastAsia" w:eastAsia="宋体"/>
                <w:bCs/>
                <w:sz w:val="21"/>
                <w:szCs w:val="21"/>
                <w:lang w:eastAsia="zh-CN"/>
              </w:rPr>
            </w:pPr>
            <w:bookmarkStart w:id="132" w:name="体型系数"/>
            <w:r>
              <w:rPr>
                <w:rFonts w:hint="eastAsia" w:eastAsia="宋体"/>
                <w:kern w:val="0"/>
                <w:sz w:val="21"/>
                <w:szCs w:val="21"/>
                <w:lang w:eastAsia="zh-CN"/>
              </w:rPr>
              <w:t>0.14</w:t>
            </w:r>
            <w:bookmarkEnd w:id="13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6" w:type="pct"/>
            <w:gridSpan w:val="3"/>
            <w:tcBorders>
              <w:top w:val="single" w:color="auto" w:sz="6" w:space="0"/>
              <w:bottom w:val="single" w:color="auto" w:sz="6" w:space="0"/>
            </w:tcBorders>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w:t>
            </w:r>
          </w:p>
          <w:p>
            <w:pPr>
              <w:widowControl/>
              <w:jc w:val="center"/>
              <w:rPr>
                <w:rFonts w:eastAsia="宋体"/>
                <w:kern w:val="0"/>
                <w:sz w:val="21"/>
                <w:szCs w:val="21"/>
                <w:lang w:eastAsia="zh-CN"/>
              </w:rPr>
            </w:pPr>
            <w:r>
              <w:rPr>
                <w:rFonts w:hint="eastAsia" w:eastAsia="宋体"/>
                <w:kern w:val="0"/>
                <w:sz w:val="21"/>
                <w:szCs w:val="21"/>
                <w:lang w:eastAsia="zh-CN"/>
              </w:rPr>
              <w:t>和</w:t>
            </w:r>
            <w:r>
              <w:rPr>
                <w:rFonts w:hint="eastAsia" w:eastAsia="宋体"/>
                <w:sz w:val="21"/>
                <w:szCs w:val="21"/>
                <w:lang w:eastAsia="zh-CN"/>
              </w:rPr>
              <w:t>热惰性</w:t>
            </w:r>
            <w:r>
              <w:rPr>
                <w:rFonts w:hint="eastAsia" w:eastAsia="宋体"/>
                <w:kern w:val="0"/>
                <w:sz w:val="21"/>
                <w:szCs w:val="21"/>
                <w:lang w:eastAsia="zh-CN"/>
              </w:rPr>
              <w:t>指标</w:t>
            </w:r>
            <w:r>
              <w:rPr>
                <w:rFonts w:eastAsia="宋体"/>
                <w:kern w:val="0"/>
                <w:sz w:val="21"/>
                <w:szCs w:val="21"/>
                <w:lang w:eastAsia="zh-CN"/>
              </w:rPr>
              <w:t xml:space="preserve"> D</w:t>
            </w:r>
          </w:p>
        </w:tc>
        <w:tc>
          <w:tcPr>
            <w:tcW w:w="2324" w:type="pct"/>
            <w:gridSpan w:val="2"/>
            <w:tcBorders>
              <w:top w:val="single" w:color="auto" w:sz="6" w:space="0"/>
              <w:bottom w:val="single" w:color="auto" w:sz="6" w:space="0"/>
            </w:tcBorders>
            <w:vAlign w:val="center"/>
          </w:tcPr>
          <w:p>
            <w:pPr>
              <w:jc w:val="center"/>
              <w:rPr>
                <w:rFonts w:eastAsia="宋体"/>
                <w:bCs/>
                <w:sz w:val="21"/>
                <w:szCs w:val="21"/>
                <w:lang w:eastAsia="zh-CN"/>
              </w:rPr>
            </w:pPr>
            <w:bookmarkStart w:id="133" w:name="屋顶K"/>
            <w:r>
              <w:rPr>
                <w:rFonts w:hint="eastAsia" w:eastAsia="宋体"/>
                <w:bCs/>
                <w:sz w:val="21"/>
                <w:szCs w:val="21"/>
                <w:lang w:eastAsia="zh-CN"/>
              </w:rPr>
              <w:t>0.77</w:t>
            </w:r>
            <w:bookmarkEnd w:id="133"/>
          </w:p>
          <w:p>
            <w:pPr>
              <w:jc w:val="center"/>
              <w:rPr>
                <w:rFonts w:eastAsia="宋体"/>
                <w:bCs/>
                <w:sz w:val="21"/>
                <w:szCs w:val="21"/>
                <w:lang w:eastAsia="zh-CN"/>
              </w:rPr>
            </w:pPr>
            <w:bookmarkStart w:id="134" w:name="屋顶D"/>
            <w:r>
              <w:rPr>
                <w:rFonts w:eastAsia="宋体"/>
                <w:bCs/>
                <w:sz w:val="21"/>
                <w:szCs w:val="21"/>
                <w:lang w:eastAsia="zh-CN"/>
              </w:rPr>
              <w:t>3.69</w:t>
            </w:r>
            <w:bookmarkEnd w:id="13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6" w:type="pct"/>
            <w:gridSpan w:val="3"/>
            <w:tcBorders>
              <w:top w:val="single" w:color="auto" w:sz="6" w:space="0"/>
              <w:bottom w:val="single" w:color="auto" w:sz="6" w:space="0"/>
            </w:tcBorders>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外墙传热系数</w:t>
            </w:r>
            <w:r>
              <w:rPr>
                <w:rFonts w:eastAsia="宋体"/>
                <w:kern w:val="0"/>
                <w:sz w:val="21"/>
                <w:szCs w:val="21"/>
                <w:lang w:eastAsia="zh-CN"/>
              </w:rPr>
              <w:t>K</w:t>
            </w:r>
          </w:p>
          <w:p>
            <w:pPr>
              <w:widowControl/>
              <w:jc w:val="center"/>
              <w:rPr>
                <w:rFonts w:eastAsia="宋体"/>
                <w:kern w:val="0"/>
                <w:sz w:val="21"/>
                <w:szCs w:val="21"/>
                <w:lang w:eastAsia="zh-CN"/>
              </w:rPr>
            </w:pPr>
            <w:r>
              <w:rPr>
                <w:rFonts w:hint="eastAsia" w:eastAsia="宋体"/>
                <w:kern w:val="0"/>
                <w:sz w:val="21"/>
                <w:szCs w:val="21"/>
                <w:lang w:eastAsia="zh-CN"/>
              </w:rPr>
              <w:t>和</w:t>
            </w:r>
            <w:r>
              <w:rPr>
                <w:rFonts w:hint="eastAsia" w:eastAsia="宋体"/>
                <w:sz w:val="21"/>
                <w:szCs w:val="21"/>
                <w:lang w:eastAsia="zh-CN"/>
              </w:rPr>
              <w:t>热惰性</w:t>
            </w:r>
            <w:r>
              <w:rPr>
                <w:rFonts w:hint="eastAsia" w:eastAsia="宋体"/>
                <w:kern w:val="0"/>
                <w:sz w:val="21"/>
                <w:szCs w:val="21"/>
                <w:lang w:eastAsia="zh-CN"/>
              </w:rPr>
              <w:t>指标</w:t>
            </w:r>
            <w:r>
              <w:rPr>
                <w:rFonts w:eastAsia="宋体"/>
                <w:kern w:val="0"/>
                <w:sz w:val="21"/>
                <w:szCs w:val="21"/>
                <w:lang w:eastAsia="zh-CN"/>
              </w:rPr>
              <w:t xml:space="preserve"> D</w:t>
            </w:r>
          </w:p>
        </w:tc>
        <w:tc>
          <w:tcPr>
            <w:tcW w:w="2324" w:type="pct"/>
            <w:gridSpan w:val="2"/>
            <w:tcBorders>
              <w:top w:val="single" w:color="auto" w:sz="6" w:space="0"/>
              <w:bottom w:val="single" w:color="auto" w:sz="6" w:space="0"/>
            </w:tcBorders>
            <w:vAlign w:val="center"/>
          </w:tcPr>
          <w:p>
            <w:pPr>
              <w:jc w:val="center"/>
              <w:rPr>
                <w:rFonts w:eastAsia="宋体"/>
                <w:bCs/>
                <w:sz w:val="21"/>
                <w:szCs w:val="21"/>
                <w:lang w:eastAsia="zh-CN"/>
              </w:rPr>
            </w:pPr>
            <w:bookmarkStart w:id="135" w:name="外墙K"/>
            <w:r>
              <w:rPr>
                <w:rFonts w:hint="eastAsia" w:eastAsia="宋体"/>
                <w:bCs/>
                <w:sz w:val="21"/>
                <w:szCs w:val="21"/>
                <w:lang w:eastAsia="zh-CN"/>
              </w:rPr>
              <w:t>1.47</w:t>
            </w:r>
            <w:bookmarkEnd w:id="135"/>
          </w:p>
          <w:p>
            <w:pPr>
              <w:jc w:val="center"/>
              <w:rPr>
                <w:rFonts w:eastAsia="宋体"/>
                <w:bCs/>
                <w:sz w:val="21"/>
                <w:szCs w:val="21"/>
                <w:lang w:eastAsia="zh-CN"/>
              </w:rPr>
            </w:pPr>
            <w:bookmarkStart w:id="136" w:name="外墙D"/>
            <w:r>
              <w:rPr>
                <w:rFonts w:hint="eastAsia" w:eastAsia="宋体"/>
                <w:bCs/>
                <w:sz w:val="21"/>
                <w:szCs w:val="21"/>
                <w:lang w:eastAsia="zh-CN"/>
              </w:rPr>
              <w:t>2.94</w:t>
            </w:r>
            <w:bookmarkEnd w:id="13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6" w:type="pct"/>
            <w:gridSpan w:val="3"/>
            <w:tcBorders>
              <w:top w:val="single" w:color="auto" w:sz="6" w:space="0"/>
              <w:bottom w:val="single" w:color="auto" w:sz="6" w:space="0"/>
            </w:tcBorders>
            <w:shd w:val="clear" w:color="auto" w:fill="E6E6E6"/>
            <w:vAlign w:val="center"/>
          </w:tcPr>
          <w:p>
            <w:pPr>
              <w:widowControl/>
              <w:jc w:val="center"/>
              <w:rPr>
                <w:rFonts w:eastAsia="宋体"/>
                <w:sz w:val="21"/>
                <w:szCs w:val="21"/>
                <w:lang w:eastAsia="zh-CN"/>
              </w:rPr>
            </w:pPr>
            <w:r>
              <w:rPr>
                <w:rFonts w:hint="eastAsia" w:eastAsia="宋体"/>
                <w:sz w:val="21"/>
                <w:szCs w:val="21"/>
                <w:lang w:eastAsia="zh-CN"/>
              </w:rPr>
              <w:t>挑空</w:t>
            </w:r>
            <w:r>
              <w:rPr>
                <w:rFonts w:eastAsia="宋体"/>
                <w:sz w:val="21"/>
                <w:szCs w:val="21"/>
                <w:lang w:eastAsia="zh-CN"/>
              </w:rPr>
              <w:t>(</w:t>
            </w:r>
            <w:r>
              <w:rPr>
                <w:rFonts w:hint="eastAsia" w:eastAsia="宋体"/>
                <w:sz w:val="21"/>
                <w:szCs w:val="21"/>
                <w:lang w:eastAsia="zh-CN"/>
              </w:rPr>
              <w:t>或架空</w:t>
            </w:r>
            <w:r>
              <w:rPr>
                <w:rFonts w:eastAsia="宋体"/>
                <w:sz w:val="21"/>
                <w:szCs w:val="21"/>
                <w:lang w:eastAsia="zh-CN"/>
              </w:rPr>
              <w:t>)</w:t>
            </w:r>
            <w:r>
              <w:rPr>
                <w:rFonts w:hint="eastAsia" w:eastAsia="宋体"/>
                <w:sz w:val="21"/>
                <w:szCs w:val="21"/>
                <w:lang w:eastAsia="zh-CN"/>
              </w:rPr>
              <w:t>楼板传热系数</w:t>
            </w:r>
            <w:r>
              <w:rPr>
                <w:rFonts w:eastAsia="宋体"/>
                <w:sz w:val="21"/>
                <w:szCs w:val="21"/>
                <w:lang w:eastAsia="zh-CN"/>
              </w:rPr>
              <w:t>K</w:t>
            </w:r>
          </w:p>
          <w:p>
            <w:pPr>
              <w:widowControl/>
              <w:jc w:val="center"/>
              <w:rPr>
                <w:rFonts w:hAnsi="宋体" w:eastAsia="宋体"/>
                <w:kern w:val="0"/>
                <w:sz w:val="21"/>
                <w:szCs w:val="21"/>
                <w:lang w:eastAsia="zh-CN"/>
              </w:rPr>
            </w:pPr>
            <w:r>
              <w:rPr>
                <w:rFonts w:hint="eastAsia" w:eastAsia="宋体"/>
                <w:sz w:val="21"/>
                <w:szCs w:val="21"/>
                <w:lang w:eastAsia="zh-CN"/>
              </w:rPr>
              <w:t>和热惰性指标</w:t>
            </w:r>
            <w:r>
              <w:rPr>
                <w:rFonts w:eastAsia="宋体"/>
                <w:sz w:val="21"/>
                <w:szCs w:val="21"/>
                <w:lang w:eastAsia="zh-CN"/>
              </w:rPr>
              <w:t xml:space="preserve"> D</w:t>
            </w:r>
          </w:p>
        </w:tc>
        <w:tc>
          <w:tcPr>
            <w:tcW w:w="2324" w:type="pct"/>
            <w:gridSpan w:val="2"/>
            <w:tcBorders>
              <w:top w:val="single" w:color="auto" w:sz="6" w:space="0"/>
              <w:bottom w:val="single" w:color="auto" w:sz="6" w:space="0"/>
            </w:tcBorders>
            <w:vAlign w:val="center"/>
          </w:tcPr>
          <w:p>
            <w:pPr>
              <w:jc w:val="center"/>
              <w:rPr>
                <w:rFonts w:eastAsia="宋体"/>
                <w:bCs/>
                <w:sz w:val="21"/>
                <w:szCs w:val="21"/>
                <w:lang w:eastAsia="zh-CN"/>
              </w:rPr>
            </w:pPr>
            <w:bookmarkStart w:id="137" w:name="挑空楼板K"/>
            <w:r>
              <w:rPr>
                <w:rFonts w:eastAsia="宋体"/>
                <w:bCs/>
                <w:sz w:val="21"/>
                <w:szCs w:val="21"/>
                <w:lang w:eastAsia="zh-CN"/>
              </w:rPr>
              <w:t>1.19</w:t>
            </w:r>
            <w:bookmarkEnd w:id="137"/>
          </w:p>
          <w:p>
            <w:pPr>
              <w:jc w:val="center"/>
              <w:rPr>
                <w:rFonts w:eastAsia="宋体"/>
                <w:bCs/>
                <w:sz w:val="21"/>
                <w:szCs w:val="21"/>
                <w:lang w:eastAsia="zh-CN"/>
              </w:rPr>
            </w:pPr>
            <w:bookmarkStart w:id="138" w:name="挑空楼板D"/>
            <w:r>
              <w:rPr>
                <w:rFonts w:eastAsia="宋体"/>
                <w:bCs/>
                <w:sz w:val="21"/>
                <w:szCs w:val="21"/>
                <w:lang w:eastAsia="zh-CN"/>
              </w:rPr>
              <w:t>2.15</w:t>
            </w:r>
            <w:bookmarkEnd w:id="13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6" w:type="pct"/>
            <w:gridSpan w:val="3"/>
            <w:tcBorders>
              <w:top w:val="single" w:color="auto" w:sz="6" w:space="0"/>
              <w:bottom w:val="single" w:color="auto" w:sz="6" w:space="0"/>
            </w:tcBorders>
            <w:shd w:val="clear" w:color="auto" w:fill="E6E6E6"/>
            <w:vAlign w:val="center"/>
          </w:tcPr>
          <w:p>
            <w:pPr>
              <w:widowControl/>
              <w:jc w:val="center"/>
              <w:rPr>
                <w:rFonts w:eastAsia="宋体"/>
                <w:bCs/>
                <w:sz w:val="21"/>
                <w:szCs w:val="21"/>
                <w:lang w:eastAsia="zh-CN"/>
              </w:rPr>
            </w:pPr>
            <w:r>
              <w:rPr>
                <w:rFonts w:hint="eastAsia" w:eastAsia="宋体"/>
                <w:bCs/>
                <w:sz w:val="21"/>
                <w:szCs w:val="21"/>
                <w:lang w:eastAsia="zh-CN"/>
              </w:rPr>
              <w:t>天窗传热系数</w:t>
            </w:r>
            <w:r>
              <w:rPr>
                <w:rFonts w:eastAsia="宋体"/>
                <w:bCs/>
                <w:sz w:val="21"/>
                <w:szCs w:val="21"/>
                <w:lang w:eastAsia="zh-CN"/>
              </w:rPr>
              <w:t>K</w:t>
            </w:r>
          </w:p>
          <w:p>
            <w:pPr>
              <w:widowControl/>
              <w:jc w:val="center"/>
              <w:rPr>
                <w:rFonts w:eastAsia="宋体"/>
                <w:sz w:val="21"/>
                <w:szCs w:val="21"/>
                <w:lang w:eastAsia="zh-CN"/>
              </w:rPr>
            </w:pPr>
            <w:r>
              <w:rPr>
                <w:rFonts w:hint="eastAsia" w:eastAsia="宋体"/>
                <w:bCs/>
                <w:sz w:val="21"/>
                <w:szCs w:val="21"/>
                <w:lang w:eastAsia="zh-CN"/>
              </w:rPr>
              <w:t>和太阳得热系数</w:t>
            </w:r>
            <w:r>
              <w:rPr>
                <w:rFonts w:eastAsia="宋体"/>
                <w:bCs/>
                <w:sz w:val="21"/>
                <w:szCs w:val="21"/>
                <w:lang w:eastAsia="zh-CN"/>
              </w:rPr>
              <w:t xml:space="preserve"> SHGC</w:t>
            </w:r>
          </w:p>
        </w:tc>
        <w:tc>
          <w:tcPr>
            <w:tcW w:w="2324" w:type="pct"/>
            <w:gridSpan w:val="2"/>
            <w:tcBorders>
              <w:top w:val="single" w:color="auto" w:sz="6" w:space="0"/>
              <w:bottom w:val="single" w:color="auto" w:sz="6" w:space="0"/>
            </w:tcBorders>
            <w:vAlign w:val="center"/>
          </w:tcPr>
          <w:p>
            <w:pPr>
              <w:jc w:val="center"/>
              <w:rPr>
                <w:rFonts w:eastAsia="宋体"/>
                <w:bCs/>
                <w:sz w:val="21"/>
                <w:szCs w:val="21"/>
                <w:lang w:eastAsia="zh-CN"/>
              </w:rPr>
            </w:pPr>
            <w:bookmarkStart w:id="139" w:name="天窗K"/>
            <w:r>
              <w:rPr>
                <w:rFonts w:eastAsia="宋体"/>
                <w:bCs/>
                <w:sz w:val="21"/>
                <w:szCs w:val="21"/>
                <w:lang w:eastAsia="zh-CN"/>
              </w:rPr>
              <w:t>－</w:t>
            </w:r>
            <w:bookmarkEnd w:id="139"/>
          </w:p>
          <w:p>
            <w:pPr>
              <w:jc w:val="center"/>
              <w:rPr>
                <w:rFonts w:eastAsia="宋体"/>
                <w:bCs/>
                <w:sz w:val="21"/>
                <w:szCs w:val="21"/>
                <w:lang w:eastAsia="zh-CN"/>
              </w:rPr>
            </w:pPr>
            <w:bookmarkStart w:id="140" w:name="天窗SHGC"/>
            <w:r>
              <w:rPr>
                <w:rFonts w:eastAsia="宋体"/>
                <w:bCs/>
                <w:sz w:val="21"/>
                <w:szCs w:val="21"/>
                <w:lang w:eastAsia="zh-CN"/>
              </w:rPr>
              <w:t>－</w:t>
            </w:r>
            <w:bookmarkEnd w:id="14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4" w:type="pct"/>
            <w:vMerge w:val="restar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587"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朝向</w:t>
            </w:r>
          </w:p>
        </w:tc>
        <w:tc>
          <w:tcPr>
            <w:tcW w:w="1375" w:type="pct"/>
            <w:tcBorders>
              <w:top w:val="single" w:color="auto" w:sz="6" w:space="0"/>
              <w:left w:val="single" w:color="auto" w:sz="4"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立面</w:t>
            </w:r>
          </w:p>
        </w:tc>
        <w:tc>
          <w:tcPr>
            <w:tcW w:w="1161"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1163"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14"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587" w:type="pct"/>
            <w:tcBorders>
              <w:top w:val="single" w:color="auto" w:sz="6" w:space="0"/>
              <w:bottom w:val="single" w:color="auto" w:sz="6" w:space="0"/>
              <w:right w:val="single" w:color="auto" w:sz="4" w:space="0"/>
            </w:tcBorders>
            <w:shd w:val="clear" w:color="auto" w:fill="E6E6E6"/>
            <w:vAlign w:val="center"/>
          </w:tcPr>
          <w:p>
            <w:pPr>
              <w:jc w:val="center"/>
              <w:rPr>
                <w:rFonts w:hAnsi="宋体" w:eastAsia="宋体"/>
                <w:bCs/>
                <w:sz w:val="21"/>
                <w:szCs w:val="21"/>
                <w:lang w:eastAsia="zh-CN"/>
              </w:rPr>
            </w:pPr>
            <w:bookmarkStart w:id="141" w:name="多立面－计算条件表－13－2－朝向立面窗墙比K参照"/>
            <w:r>
              <w:rPr>
                <w:rFonts w:hint="eastAsia" w:hAnsi="宋体" w:eastAsia="宋体"/>
                <w:bCs/>
                <w:sz w:val="21"/>
                <w:szCs w:val="21"/>
                <w:lang w:eastAsia="zh-CN"/>
              </w:rPr>
              <w:t>南向</w:t>
            </w:r>
            <w:bookmarkEnd w:id="141"/>
          </w:p>
        </w:tc>
        <w:tc>
          <w:tcPr>
            <w:tcW w:w="1375" w:type="pct"/>
            <w:tcBorders>
              <w:top w:val="single" w:color="auto" w:sz="6" w:space="0"/>
              <w:left w:val="single" w:color="auto" w:sz="4" w:space="0"/>
              <w:bottom w:val="single" w:color="auto" w:sz="6" w:space="0"/>
            </w:tcBorders>
            <w:shd w:val="clear" w:color="auto" w:fill="auto"/>
            <w:vAlign w:val="center"/>
          </w:tcPr>
          <w:p>
            <w:pPr>
              <w:jc w:val="center"/>
              <w:rPr>
                <w:rFonts w:hAnsi="宋体" w:eastAsia="宋体"/>
                <w:bCs/>
                <w:sz w:val="21"/>
                <w:szCs w:val="21"/>
                <w:lang w:eastAsia="zh-CN"/>
              </w:rPr>
            </w:pPr>
            <w:r>
              <w:rPr>
                <w:rFonts w:hAnsi="宋体" w:eastAsia="宋体"/>
                <w:bCs/>
                <w:sz w:val="21"/>
                <w:szCs w:val="21"/>
                <w:lang w:eastAsia="zh-CN"/>
              </w:rPr>
              <w:t>南-默认立面</w:t>
            </w:r>
          </w:p>
        </w:tc>
        <w:tc>
          <w:tcPr>
            <w:tcW w:w="1161"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0.26</w:t>
            </w:r>
          </w:p>
        </w:tc>
        <w:tc>
          <w:tcPr>
            <w:tcW w:w="1163"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4"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587"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北向</w:t>
            </w:r>
          </w:p>
        </w:tc>
        <w:tc>
          <w:tcPr>
            <w:tcW w:w="1375" w:type="pct"/>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北-默认立面</w:t>
            </w:r>
          </w:p>
        </w:tc>
        <w:tc>
          <w:tcPr>
            <w:tcW w:w="1161"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0.23</w:t>
            </w:r>
          </w:p>
        </w:tc>
        <w:tc>
          <w:tcPr>
            <w:tcW w:w="1163"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4"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587"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东向</w:t>
            </w:r>
          </w:p>
        </w:tc>
        <w:tc>
          <w:tcPr>
            <w:tcW w:w="1375" w:type="pct"/>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东-默认立面</w:t>
            </w:r>
          </w:p>
        </w:tc>
        <w:tc>
          <w:tcPr>
            <w:tcW w:w="1161"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0.10</w:t>
            </w:r>
          </w:p>
        </w:tc>
        <w:tc>
          <w:tcPr>
            <w:tcW w:w="1163"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4" w:type="pct"/>
            <w:vMerge w:val="continue"/>
            <w:tcBorders>
              <w:top w:val="single" w:color="auto" w:sz="6" w:space="0"/>
              <w:bottom w:val="single" w:color="auto" w:sz="12" w:space="0"/>
            </w:tcBorders>
            <w:vAlign w:val="center"/>
          </w:tcPr>
          <w:p>
            <w:pPr>
              <w:jc w:val="center"/>
              <w:rPr>
                <w:rFonts w:eastAsia="宋体"/>
                <w:bCs/>
                <w:sz w:val="21"/>
                <w:szCs w:val="21"/>
                <w:lang w:eastAsia="zh-CN"/>
              </w:rPr>
            </w:pPr>
          </w:p>
        </w:tc>
        <w:tc>
          <w:tcPr>
            <w:tcW w:w="587" w:type="pct"/>
            <w:tcBorders>
              <w:top w:val="single" w:color="auto" w:sz="6" w:space="0"/>
              <w:bottom w:val="single" w:color="auto" w:sz="12"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西向</w:t>
            </w:r>
          </w:p>
        </w:tc>
        <w:tc>
          <w:tcPr>
            <w:tcW w:w="1375" w:type="pct"/>
            <w:tcBorders>
              <w:top w:val="single" w:color="auto" w:sz="6" w:space="0"/>
              <w:left w:val="single" w:color="auto" w:sz="4" w:space="0"/>
              <w:bottom w:val="single" w:color="auto" w:sz="12"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西-默认立面</w:t>
            </w:r>
          </w:p>
        </w:tc>
        <w:tc>
          <w:tcPr>
            <w:tcW w:w="1161"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0.26</w:t>
            </w:r>
          </w:p>
        </w:tc>
        <w:tc>
          <w:tcPr>
            <w:tcW w:w="1163"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3.90</w:t>
            </w:r>
          </w:p>
        </w:tc>
      </w:tr>
    </w:tbl>
    <w:p>
      <w:pPr>
        <w:rPr>
          <w:rFonts w:hint="eastAsia"/>
          <w:lang w:val="en-US"/>
        </w:rPr>
      </w:pPr>
    </w:p>
    <w:p>
      <w:pPr>
        <w:pStyle w:val="4"/>
        <w:rPr>
          <w:rFonts w:hint="eastAsia"/>
          <w:lang w:val="en-US"/>
        </w:rPr>
      </w:pPr>
      <w:bookmarkStart w:id="142" w:name="_Toc17393"/>
      <w:r>
        <w:rPr>
          <w:rFonts w:hint="eastAsia"/>
          <w:lang w:val="en-US"/>
        </w:rPr>
        <w:t>房间类型</w:t>
      </w:r>
      <w:bookmarkEnd w:id="142"/>
    </w:p>
    <w:p>
      <w:pPr>
        <w:pStyle w:val="5"/>
        <w:rPr>
          <w:rFonts w:hint="eastAsia"/>
          <w:lang w:val="en-US"/>
        </w:rPr>
      </w:pPr>
      <w:bookmarkStart w:id="143" w:name="_Toc24204"/>
      <w:r>
        <w:rPr>
          <w:rFonts w:hint="eastAsia"/>
          <w:lang w:val="en-US"/>
        </w:rPr>
        <w:t>房间参数表</w:t>
      </w:r>
      <w:bookmarkEnd w:id="143"/>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w:t>
            </w:r>
            <w:r>
              <w:br w:type="textWrapping"/>
            </w:r>
            <w:r>
              <w:t>温度℃</w:t>
            </w:r>
          </w:p>
        </w:tc>
        <w:tc>
          <w:tcPr>
            <w:shd w:val="clear" w:color="auto" w:fill="E6E6E6"/>
            <w:vAlign w:val="center"/>
          </w:tcPr>
          <w:p>
            <w:pPr>
              <w:jc w:val="center"/>
            </w:pPr>
            <w:r>
              <w:t>供暖</w:t>
            </w:r>
            <w:r>
              <w:br w:type="textWrapping"/>
            </w:r>
            <w:r>
              <w:t>温度℃</w:t>
            </w:r>
          </w:p>
        </w:tc>
        <w:tc>
          <w:tcPr>
            <w:shd w:val="clear" w:color="auto" w:fill="E6E6E6"/>
            <w:vAlign w:val="center"/>
          </w:tcPr>
          <w:p>
            <w:pPr>
              <w:jc w:val="center"/>
            </w:pPr>
            <w:r>
              <w:t>新风量</w:t>
            </w:r>
          </w:p>
        </w:tc>
        <w:tc>
          <w:tcPr>
            <w:shd w:val="clear" w:color="auto" w:fill="E6E6E6"/>
            <w:vAlign w:val="center"/>
          </w:tcPr>
          <w:p>
            <w:pPr>
              <w:jc w:val="center"/>
            </w:pPr>
            <w:r>
              <w:t>渗透风</w:t>
            </w:r>
            <w:r>
              <w:br w:type="textWrapping"/>
            </w:r>
            <w:r>
              <w:t>换气次数</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休息室</w:t>
            </w:r>
          </w:p>
        </w:tc>
        <w:tc>
          <w:tcPr>
            <w:vAlign w:val="center"/>
          </w:tcPr>
          <w:p>
            <w:pPr>
              <w:jc w:val="center"/>
            </w:pPr>
            <w:r>
              <w:t>26</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3.3(㎡/人)</w:t>
            </w:r>
          </w:p>
        </w:tc>
        <w:tc>
          <w:tcPr>
            <w:vAlign w:val="center"/>
          </w:tcPr>
          <w:p>
            <w:pPr>
              <w:jc w:val="center"/>
            </w:pPr>
            <w:r>
              <w:t>5(W/㎡)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办公-普通办公室</w:t>
            </w:r>
          </w:p>
        </w:tc>
        <w:tc>
          <w:tcPr>
            <w:vAlign w:val="center"/>
          </w:tcPr>
          <w:p>
            <w:pPr>
              <w:jc w:val="center"/>
            </w:pPr>
            <w:r>
              <w:t>26</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8(㎡/人)</w:t>
            </w:r>
          </w:p>
        </w:tc>
        <w:tc>
          <w:tcPr>
            <w:vAlign w:val="center"/>
          </w:tcPr>
          <w:p>
            <w:pPr>
              <w:jc w:val="center"/>
            </w:pPr>
            <w:r>
              <w:t>8(W/㎡)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普通办公室</w:t>
            </w:r>
          </w:p>
        </w:tc>
        <w:tc>
          <w:tcPr>
            <w:vAlign w:val="center"/>
          </w:tcPr>
          <w:p>
            <w:pPr>
              <w:jc w:val="center"/>
            </w:pPr>
            <w:r>
              <w:t>26</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8(㎡/人)</w:t>
            </w:r>
          </w:p>
        </w:tc>
        <w:tc>
          <w:tcPr>
            <w:vAlign w:val="center"/>
          </w:tcPr>
          <w:p>
            <w:pPr>
              <w:jc w:val="center"/>
            </w:pPr>
            <w:r>
              <w:t>8(W/㎡)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餐厅</w:t>
            </w:r>
          </w:p>
        </w:tc>
        <w:tc>
          <w:tcPr>
            <w:vAlign w:val="center"/>
          </w:tcPr>
          <w:p>
            <w:pPr>
              <w:jc w:val="center"/>
            </w:pPr>
            <w:r>
              <w:t>26</w:t>
            </w:r>
          </w:p>
        </w:tc>
        <w:tc>
          <w:tcPr>
            <w:vAlign w:val="center"/>
          </w:tcPr>
          <w:p>
            <w:pPr>
              <w:jc w:val="center"/>
            </w:pPr>
            <w:r>
              <w:t>18</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1(㎡/人)</w:t>
            </w:r>
          </w:p>
        </w:tc>
        <w:tc>
          <w:tcPr>
            <w:vAlign w:val="center"/>
          </w:tcPr>
          <w:p>
            <w:pPr>
              <w:jc w:val="center"/>
            </w:pPr>
            <w:r>
              <w:t>8(W/㎡)</w:t>
            </w:r>
          </w:p>
        </w:tc>
        <w:tc>
          <w:tcPr>
            <w:vAlign w:val="center"/>
          </w:tcPr>
          <w:p>
            <w:pPr>
              <w:jc w:val="center"/>
            </w:pPr>
            <w:r>
              <w:t>13(W/㎡)</w:t>
            </w:r>
          </w:p>
        </w:tc>
      </w:tr>
    </w:tbl>
    <w:p>
      <w:pPr>
        <w:pStyle w:val="5"/>
        <w:rPr>
          <w:rFonts w:hint="eastAsia"/>
          <w:lang w:val="en-US"/>
        </w:rPr>
      </w:pPr>
      <w:bookmarkStart w:id="144" w:name="_Toc16345"/>
      <w:r>
        <w:rPr>
          <w:rFonts w:hint="eastAsia"/>
          <w:lang w:val="en-US"/>
        </w:rPr>
        <w:t>作息时间表</w:t>
      </w:r>
      <w:bookmarkEnd w:id="144"/>
    </w:p>
    <w:p>
      <w:pPr>
        <w:rPr>
          <w:rFonts w:hint="eastAsia"/>
          <w:lang w:val="en-US"/>
        </w:rPr>
      </w:pPr>
      <w:r>
        <w:rPr>
          <w:rFonts w:hint="eastAsia"/>
          <w:lang w:val="en-US"/>
        </w:rPr>
        <w:t>详见最后的时间表</w:t>
      </w:r>
    </w:p>
    <w:p>
      <w:pPr>
        <w:pStyle w:val="4"/>
        <w:rPr>
          <w:rFonts w:hint="eastAsia"/>
          <w:lang w:val="en-US"/>
        </w:rPr>
      </w:pPr>
      <w:bookmarkStart w:id="145" w:name="_Toc17542"/>
      <w:r>
        <w:rPr>
          <w:rFonts w:hint="eastAsia"/>
          <w:lang w:val="en-US"/>
        </w:rPr>
        <w:t>暖通空调系统</w:t>
      </w:r>
      <w:bookmarkEnd w:id="145"/>
    </w:p>
    <w:p>
      <w:pPr>
        <w:pStyle w:val="5"/>
        <w:rPr>
          <w:rFonts w:hint="eastAsia"/>
          <w:lang w:val="en-US"/>
        </w:rPr>
      </w:pPr>
      <w:bookmarkStart w:id="146" w:name="_Toc18673"/>
      <w:r>
        <w:rPr>
          <w:rFonts w:hint="eastAsia"/>
          <w:lang w:val="en-US"/>
        </w:rPr>
        <w:t>系统类型</w:t>
      </w:r>
      <w:bookmarkEnd w:id="146"/>
    </w:p>
    <w:p>
      <w:pPr>
        <w:pStyle w:val="6"/>
        <w:rPr>
          <w:rFonts w:hint="eastAsia"/>
          <w:lang w:val="en-US"/>
        </w:rPr>
      </w:pPr>
      <w:r>
        <w:rPr>
          <w:rFonts w:hint="eastAsia"/>
          <w:lang w:val="en-US"/>
        </w:rPr>
        <w:t>系统分区</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制冷</w:t>
            </w:r>
            <w:r>
              <w:br w:type="textWrapping"/>
            </w:r>
            <w:r>
              <w:t>SEER</w:t>
            </w:r>
          </w:p>
        </w:tc>
        <w:tc>
          <w:tcPr>
            <w:shd w:val="clear" w:color="auto" w:fill="E6E6E6"/>
            <w:vAlign w:val="center"/>
          </w:tcPr>
          <w:p>
            <w:pPr>
              <w:jc w:val="center"/>
            </w:pPr>
            <w:r>
              <w:t>制热</w:t>
            </w:r>
            <w:r>
              <w:br w:type="textWrapping"/>
            </w:r>
            <w:r>
              <w:t>HSPF</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w:t>
            </w:r>
          </w:p>
        </w:tc>
        <w:tc>
          <w:tcPr>
            <w:vAlign w:val="center"/>
          </w:tcPr>
          <w:p>
            <w:r>
              <w:t>双管制风机盘管</w:t>
            </w:r>
          </w:p>
        </w:tc>
        <w:tc>
          <w:tcPr>
            <w:vAlign w:val="center"/>
          </w:tcPr>
          <w:p>
            <w:r>
              <w:t>－</w:t>
            </w:r>
          </w:p>
        </w:tc>
        <w:tc>
          <w:tcPr>
            <w:vAlign w:val="center"/>
          </w:tcPr>
          <w:p>
            <w:r>
              <w:t>－</w:t>
            </w:r>
          </w:p>
        </w:tc>
        <w:tc>
          <w:tcPr>
            <w:vAlign w:val="center"/>
          </w:tcPr>
          <w:p>
            <w:r>
              <w:t>6931.47</w:t>
            </w:r>
          </w:p>
        </w:tc>
        <w:tc>
          <w:tcPr>
            <w:vAlign w:val="center"/>
          </w:tcPr>
          <w:p>
            <w:r>
              <w:t>所有房间</w:t>
            </w:r>
          </w:p>
        </w:tc>
      </w:tr>
    </w:tbl>
    <w:p>
      <w:pPr>
        <w:pStyle w:val="6"/>
        <w:rPr>
          <w:rFonts w:hint="eastAsia"/>
          <w:lang w:val="en-US"/>
        </w:rPr>
      </w:pPr>
      <w:r>
        <w:rPr>
          <w:rFonts w:hint="eastAsia"/>
          <w:lang w:val="en-US"/>
        </w:rPr>
        <w:t>热回收参数</w:t>
      </w:r>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262"/>
        <w:gridCol w:w="1731"/>
        <w:gridCol w:w="1731"/>
        <w:gridCol w:w="1731"/>
        <w:gridCol w:w="1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系统编号</w:t>
            </w:r>
          </w:p>
        </w:tc>
        <w:tc>
          <w:tcPr>
            <w:vMerge w:val="restart"/>
            <w:shd w:val="clear" w:color="auto" w:fill="E6E6E6"/>
            <w:vAlign w:val="center"/>
          </w:tcPr>
          <w:p>
            <w:pPr>
              <w:jc w:val="center"/>
            </w:pPr>
            <w:r>
              <w:t>热回收</w:t>
            </w:r>
          </w:p>
        </w:tc>
        <w:tc>
          <w:tcPr>
            <w:gridSpan w:val="2"/>
            <w:shd w:val="clear" w:color="auto" w:fill="E6E6E6"/>
            <w:vAlign w:val="center"/>
          </w:tcPr>
          <w:p>
            <w:pPr>
              <w:jc w:val="center"/>
            </w:pPr>
            <w:r>
              <w:t>供冷</w:t>
            </w:r>
          </w:p>
        </w:tc>
        <w:tc>
          <w:tcPr>
            <w:gridSpan w:val="2"/>
            <w:shd w:val="clear" w:color="auto" w:fill="E6E6E6"/>
            <w:vAlign w:val="center"/>
          </w:tcPr>
          <w:p>
            <w:pPr>
              <w:jc w:val="center"/>
            </w:pPr>
            <w:r>
              <w:t>供暖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回收效率</w:t>
            </w:r>
          </w:p>
        </w:tc>
        <w:tc>
          <w:tcPr>
            <w:vAlign w:val="center"/>
          </w:tcPr>
          <w:p>
            <w:r>
              <w:t>启动温(焓)差</w:t>
            </w:r>
          </w:p>
        </w:tc>
        <w:tc>
          <w:tcPr>
            <w:vAlign w:val="center"/>
          </w:tcPr>
          <w:p>
            <w:r>
              <w:t>回收效率</w:t>
            </w:r>
          </w:p>
        </w:tc>
        <w:tc>
          <w:tcPr>
            <w:vAlign w:val="center"/>
          </w:tcPr>
          <w:p>
            <w:r>
              <w:t>启动温(焓)差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w:t>
            </w:r>
          </w:p>
        </w:tc>
        <w:tc>
          <w:tcPr>
            <w:vAlign w:val="center"/>
          </w:tcPr>
          <w:p>
            <w:r>
              <w:t>显热回收</w:t>
            </w:r>
          </w:p>
        </w:tc>
        <w:tc>
          <w:tcPr>
            <w:vAlign w:val="center"/>
          </w:tcPr>
          <w:p>
            <w:r>
              <w:t>0.60</w:t>
            </w:r>
          </w:p>
        </w:tc>
        <w:tc>
          <w:tcPr>
            <w:vAlign w:val="center"/>
          </w:tcPr>
          <w:p>
            <w:r>
              <w:t>5℃</w:t>
            </w:r>
          </w:p>
        </w:tc>
        <w:tc>
          <w:tcPr>
            <w:vAlign w:val="center"/>
          </w:tcPr>
          <w:p>
            <w:r>
              <w:t>0.65</w:t>
            </w:r>
          </w:p>
        </w:tc>
        <w:tc>
          <w:tcPr>
            <w:vAlign w:val="center"/>
          </w:tcPr>
          <w:p>
            <w:r>
              <w:t>5(℃)</w:t>
            </w:r>
          </w:p>
        </w:tc>
      </w:tr>
    </w:tbl>
    <w:p>
      <w:pPr>
        <w:pStyle w:val="5"/>
        <w:rPr>
          <w:rFonts w:hint="eastAsia"/>
          <w:lang w:val="en-US"/>
        </w:rPr>
      </w:pPr>
      <w:bookmarkStart w:id="147" w:name="_Toc8143"/>
      <w:r>
        <w:rPr>
          <w:rFonts w:hint="eastAsia"/>
          <w:lang w:val="en-US"/>
        </w:rPr>
        <w:t>供暖系统</w:t>
      </w:r>
      <w:bookmarkEnd w:id="147"/>
    </w:p>
    <w:p>
      <w:pPr>
        <w:pStyle w:val="6"/>
        <w:rPr>
          <w:rFonts w:hint="eastAsia"/>
          <w:lang w:val="en-US"/>
        </w:rPr>
      </w:pPr>
      <w:r>
        <w:rPr>
          <w:rFonts w:hint="eastAsia"/>
          <w:lang w:val="en-US"/>
        </w:rPr>
        <w:t>默认热源</w:t>
      </w:r>
    </w:p>
    <w:p>
      <w:pPr>
        <w:pStyle w:val="7"/>
        <w:rPr>
          <w:rFonts w:hint="eastAsia"/>
          <w:lang w:val="en-US"/>
        </w:rPr>
      </w:pPr>
      <w:r>
        <w:rPr>
          <w:rFonts w:hint="eastAsia"/>
          <w:lang w:val="en-US"/>
        </w:rPr>
        <w:t>供应的系统</w:t>
      </w:r>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76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FFFFFF"/>
            <w:vAlign w:val="center"/>
          </w:tcPr>
          <w:p>
            <w:r>
              <w:t>Sys</w:t>
            </w:r>
          </w:p>
        </w:tc>
      </w:tr>
    </w:tbl>
    <w:p>
      <w:pPr>
        <w:pStyle w:val="7"/>
        <w:rPr>
          <w:rFonts w:hint="eastAsia"/>
          <w:lang w:val="en-US"/>
        </w:rPr>
      </w:pPr>
      <w:r>
        <w:rPr>
          <w:rFonts w:hint="eastAsia"/>
          <w:lang w:val="en-US"/>
        </w:rPr>
        <w:t>热泵系统</w:t>
      </w:r>
    </w:p>
    <w:p>
      <w:pPr>
        <w:pStyle w:val="8"/>
        <w:rPr>
          <w:rFonts w:hint="eastAsia"/>
          <w:lang w:val="en-US"/>
        </w:rPr>
      </w:pPr>
      <w:r>
        <w:rPr>
          <w:rFonts w:hint="eastAsia"/>
          <w:lang w:val="en-US"/>
        </w:rPr>
        <w:t>热泵机组</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11"/>
        <w:gridCol w:w="1697"/>
        <w:gridCol w:w="1697"/>
        <w:gridCol w:w="1697"/>
        <w:gridCol w:w="1697"/>
        <w:gridCol w:w="7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名称</w:t>
            </w:r>
          </w:p>
        </w:tc>
        <w:tc>
          <w:tcPr>
            <w:shd w:val="clear" w:color="auto" w:fill="E6E6E6"/>
            <w:vAlign w:val="center"/>
          </w:tcPr>
          <w:p>
            <w:pPr>
              <w:jc w:val="center"/>
            </w:pPr>
            <w:r>
              <w:t>类型</w:t>
            </w:r>
          </w:p>
        </w:tc>
        <w:tc>
          <w:tcPr>
            <w:shd w:val="clear" w:color="auto" w:fill="E6E6E6"/>
            <w:vAlign w:val="center"/>
          </w:tcPr>
          <w:p>
            <w:pPr>
              <w:jc w:val="center"/>
            </w:pPr>
            <w:r>
              <w:t>额定耗电量(kW)</w:t>
            </w:r>
          </w:p>
        </w:tc>
        <w:tc>
          <w:tcPr>
            <w:shd w:val="clear" w:color="auto" w:fill="E6E6E6"/>
            <w:vAlign w:val="center"/>
          </w:tcPr>
          <w:p>
            <w:pPr>
              <w:jc w:val="center"/>
            </w:pPr>
            <w:r>
              <w:t>额定制热量(kW)</w:t>
            </w:r>
          </w:p>
        </w:tc>
        <w:tc>
          <w:tcPr>
            <w:shd w:val="clear" w:color="auto" w:fill="E6E6E6"/>
            <w:vAlign w:val="center"/>
          </w:tcPr>
          <w:p>
            <w:pPr>
              <w:jc w:val="center"/>
            </w:pPr>
            <w:r>
              <w:t>额定性能系数 COP</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热泵机组</w:t>
            </w:r>
          </w:p>
        </w:tc>
        <w:tc>
          <w:tcPr>
            <w:vAlign w:val="center"/>
          </w:tcPr>
          <w:p>
            <w:r>
              <w:t>地源热泵</w:t>
            </w:r>
          </w:p>
        </w:tc>
        <w:tc>
          <w:tcPr>
            <w:vAlign w:val="center"/>
          </w:tcPr>
          <w:p>
            <w:r>
              <w:t>125</w:t>
            </w:r>
          </w:p>
        </w:tc>
        <w:tc>
          <w:tcPr>
            <w:vAlign w:val="center"/>
          </w:tcPr>
          <w:p>
            <w:r>
              <w:t>500</w:t>
            </w:r>
          </w:p>
        </w:tc>
        <w:tc>
          <w:tcPr>
            <w:vAlign w:val="center"/>
          </w:tcPr>
          <w:p>
            <w:r>
              <w:t>4.00</w:t>
            </w:r>
          </w:p>
        </w:tc>
        <w:tc>
          <w:tcPr>
            <w:vAlign w:val="center"/>
          </w:tcPr>
          <w:p>
            <w:r>
              <w:t>1</w:t>
            </w:r>
          </w:p>
        </w:tc>
      </w:tr>
    </w:tbl>
    <w:p>
      <w:pPr>
        <w:pStyle w:val="8"/>
        <w:rPr>
          <w:rFonts w:hint="eastAsia"/>
          <w:lang w:val="en-US"/>
        </w:rPr>
      </w:pPr>
      <w:r>
        <w:rPr>
          <w:rFonts w:hint="eastAsia"/>
          <w:lang w:val="en-US"/>
        </w:rPr>
        <w:t>热水循环泵</w:t>
      </w:r>
    </w:p>
    <w:tbl>
      <w:tblPr>
        <w:tblStyle w:val="19"/>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677"/>
        <w:gridCol w:w="1267"/>
        <w:gridCol w:w="990"/>
        <w:gridCol w:w="2122"/>
        <w:gridCol w:w="1556"/>
        <w:gridCol w:w="7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类型</w:t>
            </w:r>
          </w:p>
        </w:tc>
        <w:tc>
          <w:tcPr>
            <w:shd w:val="clear" w:color="auto" w:fill="E6E6E6"/>
            <w:vAlign w:val="center"/>
          </w:tcPr>
          <w:p>
            <w:pPr>
              <w:jc w:val="center"/>
            </w:pPr>
            <w:r>
              <w:t>流量(m3/h)</w:t>
            </w:r>
          </w:p>
        </w:tc>
        <w:tc>
          <w:tcPr>
            <w:shd w:val="clear" w:color="auto" w:fill="E6E6E6"/>
            <w:vAlign w:val="center"/>
          </w:tcPr>
          <w:p>
            <w:pPr>
              <w:jc w:val="center"/>
            </w:pPr>
            <w:r>
              <w:t>扬程(m)</w:t>
            </w:r>
          </w:p>
        </w:tc>
        <w:tc>
          <w:tcPr>
            <w:shd w:val="clear" w:color="auto" w:fill="E6E6E6"/>
            <w:vAlign w:val="center"/>
          </w:tcPr>
          <w:p>
            <w:pPr>
              <w:jc w:val="center"/>
            </w:pPr>
            <w:r>
              <w:t>设计工作效率(%)</w:t>
            </w:r>
          </w:p>
        </w:tc>
        <w:tc>
          <w:tcPr>
            <w:shd w:val="clear" w:color="auto" w:fill="E6E6E6"/>
            <w:vAlign w:val="center"/>
          </w:tcPr>
          <w:p>
            <w:pPr>
              <w:jc w:val="center"/>
            </w:pPr>
            <w:r>
              <w:t>输入功率(kW)</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变频</w:t>
            </w:r>
          </w:p>
        </w:tc>
        <w:tc>
          <w:tcPr>
            <w:vAlign w:val="center"/>
          </w:tcPr>
          <w:p>
            <w:r>
              <w:t>1000</w:t>
            </w:r>
          </w:p>
        </w:tc>
        <w:tc>
          <w:tcPr>
            <w:vAlign w:val="center"/>
          </w:tcPr>
          <w:p>
            <w:r>
              <w:t>20</w:t>
            </w:r>
          </w:p>
        </w:tc>
        <w:tc>
          <w:tcPr>
            <w:vAlign w:val="center"/>
          </w:tcPr>
          <w:p>
            <w:r>
              <w:t>80</w:t>
            </w:r>
          </w:p>
        </w:tc>
        <w:tc>
          <w:tcPr>
            <w:vAlign w:val="center"/>
          </w:tcPr>
          <w:p>
            <w:r>
              <w:t>78.3</w:t>
            </w:r>
          </w:p>
        </w:tc>
        <w:tc>
          <w:tcPr>
            <w:vAlign w:val="center"/>
          </w:tcPr>
          <w:p>
            <w:r>
              <w:t>2</w:t>
            </w:r>
          </w:p>
        </w:tc>
      </w:tr>
    </w:tbl>
    <w:p>
      <w:pPr>
        <w:pStyle w:val="8"/>
        <w:rPr>
          <w:rFonts w:hint="eastAsia"/>
          <w:lang w:val="en-US"/>
        </w:rPr>
      </w:pPr>
      <w:r>
        <w:rPr>
          <w:rFonts w:hint="eastAsia"/>
          <w:lang w:val="en-US"/>
        </w:rPr>
        <w:t>运行工况</w:t>
      </w:r>
    </w:p>
    <w:tbl>
      <w:tblPr>
        <w:tblStyle w:val="19"/>
        <w:tblW w:w="929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39"/>
        <w:gridCol w:w="1556"/>
        <w:gridCol w:w="1415"/>
        <w:gridCol w:w="1556"/>
        <w:gridCol w:w="1499"/>
        <w:gridCol w:w="1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负载率(%)</w:t>
            </w:r>
          </w:p>
        </w:tc>
        <w:tc>
          <w:tcPr>
            <w:shd w:val="clear" w:color="auto" w:fill="E6E6E6"/>
            <w:vAlign w:val="center"/>
          </w:tcPr>
          <w:p>
            <w:pPr>
              <w:jc w:val="center"/>
            </w:pPr>
            <w:r>
              <w:t>机组制热量(kW)</w:t>
            </w:r>
          </w:p>
        </w:tc>
        <w:tc>
          <w:tcPr>
            <w:shd w:val="clear" w:color="auto" w:fill="E6E6E6"/>
            <w:vAlign w:val="center"/>
          </w:tcPr>
          <w:p>
            <w:pPr>
              <w:jc w:val="center"/>
            </w:pPr>
            <w:r>
              <w:t>机组功率(kW)</w:t>
            </w:r>
          </w:p>
        </w:tc>
        <w:tc>
          <w:tcPr>
            <w:shd w:val="clear" w:color="auto" w:fill="E6E6E6"/>
            <w:vAlign w:val="center"/>
          </w:tcPr>
          <w:p>
            <w:pPr>
              <w:jc w:val="center"/>
            </w:pPr>
            <w:r>
              <w:t>性能系数(COP)</w:t>
            </w:r>
          </w:p>
        </w:tc>
        <w:tc>
          <w:tcPr>
            <w:shd w:val="clear" w:color="auto" w:fill="E6E6E6"/>
            <w:vAlign w:val="center"/>
          </w:tcPr>
          <w:p>
            <w:pPr>
              <w:jc w:val="center"/>
            </w:pPr>
            <w:r>
              <w:t>供暖水泵功率(kW)</w:t>
            </w:r>
          </w:p>
        </w:tc>
        <w:tc>
          <w:tcPr>
            <w:shd w:val="clear" w:color="auto" w:fill="E6E6E6"/>
            <w:vAlign w:val="center"/>
          </w:tcPr>
          <w:p>
            <w:pPr>
              <w:jc w:val="center"/>
            </w:pPr>
            <w:r>
              <w:t>热源侧水泵功率(kW)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20</w:t>
            </w:r>
          </w:p>
        </w:tc>
        <w:tc>
          <w:tcPr>
            <w:vAlign w:val="center"/>
          </w:tcPr>
          <w:p>
            <w:r>
              <w:t>100</w:t>
            </w:r>
          </w:p>
        </w:tc>
        <w:tc>
          <w:tcPr>
            <w:vAlign w:val="center"/>
          </w:tcPr>
          <w:p>
            <w:r>
              <w:t>25</w:t>
            </w:r>
          </w:p>
        </w:tc>
        <w:tc>
          <w:tcPr>
            <w:vAlign w:val="center"/>
          </w:tcPr>
          <w:p>
            <w:r>
              <w:t>4.00</w:t>
            </w:r>
          </w:p>
        </w:tc>
        <w:tc>
          <w:tcPr>
            <w:vAlign w:val="center"/>
          </w:tcPr>
          <w:p>
            <w:r>
              <w:t>37.6</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40</w:t>
            </w:r>
          </w:p>
        </w:tc>
        <w:tc>
          <w:tcPr>
            <w:vAlign w:val="center"/>
          </w:tcPr>
          <w:p>
            <w:r>
              <w:t>200</w:t>
            </w:r>
          </w:p>
        </w:tc>
        <w:tc>
          <w:tcPr>
            <w:vAlign w:val="center"/>
          </w:tcPr>
          <w:p>
            <w:r>
              <w:t>50</w:t>
            </w:r>
          </w:p>
        </w:tc>
        <w:tc>
          <w:tcPr>
            <w:vAlign w:val="center"/>
          </w:tcPr>
          <w:p>
            <w:r>
              <w:t>4.00</w:t>
            </w:r>
          </w:p>
        </w:tc>
        <w:tc>
          <w:tcPr>
            <w:vAlign w:val="center"/>
          </w:tcPr>
          <w:p>
            <w:r>
              <w:t>37.6</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60</w:t>
            </w:r>
          </w:p>
        </w:tc>
        <w:tc>
          <w:tcPr>
            <w:vAlign w:val="center"/>
          </w:tcPr>
          <w:p>
            <w:r>
              <w:t>300</w:t>
            </w:r>
          </w:p>
        </w:tc>
        <w:tc>
          <w:tcPr>
            <w:vAlign w:val="center"/>
          </w:tcPr>
          <w:p>
            <w:r>
              <w:t>75</w:t>
            </w:r>
          </w:p>
        </w:tc>
        <w:tc>
          <w:tcPr>
            <w:vAlign w:val="center"/>
          </w:tcPr>
          <w:p>
            <w:r>
              <w:t>4.00</w:t>
            </w:r>
          </w:p>
        </w:tc>
        <w:tc>
          <w:tcPr>
            <w:vAlign w:val="center"/>
          </w:tcPr>
          <w:p>
            <w:r>
              <w:t>37.6</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w:t>
            </w:r>
          </w:p>
        </w:tc>
        <w:tc>
          <w:tcPr>
            <w:vAlign w:val="center"/>
          </w:tcPr>
          <w:p>
            <w:r>
              <w:t>400</w:t>
            </w:r>
          </w:p>
        </w:tc>
        <w:tc>
          <w:tcPr>
            <w:vAlign w:val="center"/>
          </w:tcPr>
          <w:p>
            <w:r>
              <w:t>100</w:t>
            </w:r>
          </w:p>
        </w:tc>
        <w:tc>
          <w:tcPr>
            <w:vAlign w:val="center"/>
          </w:tcPr>
          <w:p>
            <w:r>
              <w:t>4.00</w:t>
            </w:r>
          </w:p>
        </w:tc>
        <w:tc>
          <w:tcPr>
            <w:vAlign w:val="center"/>
          </w:tcPr>
          <w:p>
            <w:r>
              <w:t>37.6</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w:t>
            </w:r>
          </w:p>
        </w:tc>
        <w:tc>
          <w:tcPr>
            <w:vAlign w:val="center"/>
          </w:tcPr>
          <w:p>
            <w:r>
              <w:t>500</w:t>
            </w:r>
          </w:p>
        </w:tc>
        <w:tc>
          <w:tcPr>
            <w:vAlign w:val="center"/>
          </w:tcPr>
          <w:p>
            <w:r>
              <w:t>125</w:t>
            </w:r>
          </w:p>
        </w:tc>
        <w:tc>
          <w:tcPr>
            <w:vAlign w:val="center"/>
          </w:tcPr>
          <w:p>
            <w:r>
              <w:t>4.00</w:t>
            </w:r>
          </w:p>
        </w:tc>
        <w:tc>
          <w:tcPr>
            <w:vAlign w:val="center"/>
          </w:tcPr>
          <w:p>
            <w:r>
              <w:t>37.6</w:t>
            </w:r>
          </w:p>
        </w:tc>
        <w:tc>
          <w:tcPr>
            <w:vAlign w:val="center"/>
          </w:tcPr>
          <w:p>
            <w:r>
              <w:t>8</w:t>
            </w:r>
          </w:p>
        </w:tc>
      </w:tr>
    </w:tbl>
    <w:p>
      <w:pPr>
        <w:pStyle w:val="8"/>
        <w:rPr>
          <w:rFonts w:hint="eastAsia"/>
          <w:lang w:val="en-US"/>
        </w:rPr>
      </w:pPr>
      <w:r>
        <w:rPr>
          <w:rFonts w:hint="eastAsia"/>
          <w:lang w:val="en-US"/>
        </w:rPr>
        <w:t>制热能耗</w:t>
      </w:r>
    </w:p>
    <w:tbl>
      <w:tblPr>
        <w:tblStyle w:val="19"/>
        <w:tblW w:w="930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415"/>
        <w:gridCol w:w="1273"/>
        <w:gridCol w:w="1415"/>
        <w:gridCol w:w="1415"/>
        <w:gridCol w:w="1273"/>
        <w:gridCol w:w="139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负荷区间</w:t>
            </w:r>
            <w:r>
              <w:br w:type="textWrapping"/>
            </w:r>
            <w:r>
              <w:t>(%)</w:t>
            </w:r>
          </w:p>
        </w:tc>
        <w:tc>
          <w:tcPr>
            <w:shd w:val="clear" w:color="auto" w:fill="E6E6E6"/>
            <w:vAlign w:val="center"/>
          </w:tcPr>
          <w:p>
            <w:pPr>
              <w:jc w:val="center"/>
            </w:pPr>
            <w:r>
              <w:t>区间负荷</w:t>
            </w:r>
            <w:r>
              <w:br w:type="textWrapping"/>
            </w:r>
            <w:r>
              <w:t>(kWh)</w:t>
            </w:r>
          </w:p>
        </w:tc>
        <w:tc>
          <w:tcPr>
            <w:shd w:val="clear" w:color="auto" w:fill="E6E6E6"/>
            <w:vAlign w:val="center"/>
          </w:tcPr>
          <w:p>
            <w:pPr>
              <w:jc w:val="center"/>
            </w:pPr>
            <w:r>
              <w:t>运行时长</w:t>
            </w:r>
            <w:r>
              <w:br w:type="textWrapping"/>
            </w:r>
            <w:r>
              <w:t>(h)</w:t>
            </w:r>
          </w:p>
        </w:tc>
        <w:tc>
          <w:tcPr>
            <w:shd w:val="clear" w:color="auto" w:fill="E6E6E6"/>
            <w:vAlign w:val="center"/>
          </w:tcPr>
          <w:p>
            <w:pPr>
              <w:jc w:val="center"/>
            </w:pPr>
            <w:r>
              <w:t>平均性能系数</w:t>
            </w:r>
            <w:r>
              <w:br w:type="textWrapping"/>
            </w:r>
            <w:r>
              <w:t>(COP)</w:t>
            </w:r>
          </w:p>
        </w:tc>
        <w:tc>
          <w:tcPr>
            <w:shd w:val="clear" w:color="auto" w:fill="E6E6E6"/>
            <w:vAlign w:val="center"/>
          </w:tcPr>
          <w:p>
            <w:pPr>
              <w:jc w:val="center"/>
            </w:pPr>
            <w:r>
              <w:t>热泵机组</w:t>
            </w:r>
            <w:r>
              <w:br w:type="textWrapping"/>
            </w:r>
            <w:r>
              <w:t>(kWh)</w:t>
            </w:r>
          </w:p>
        </w:tc>
        <w:tc>
          <w:tcPr>
            <w:shd w:val="clear" w:color="auto" w:fill="E6E6E6"/>
            <w:vAlign w:val="center"/>
          </w:tcPr>
          <w:p>
            <w:pPr>
              <w:jc w:val="center"/>
            </w:pPr>
            <w:r>
              <w:t>供暖水泵</w:t>
            </w:r>
            <w:r>
              <w:br w:type="textWrapping"/>
            </w:r>
            <w:r>
              <w:t>(kWh)</w:t>
            </w:r>
          </w:p>
        </w:tc>
        <w:tc>
          <w:tcPr>
            <w:shd w:val="clear" w:color="auto" w:fill="E6E6E6"/>
            <w:vAlign w:val="center"/>
          </w:tcPr>
          <w:p>
            <w:pPr>
              <w:jc w:val="center"/>
            </w:pPr>
            <w:r>
              <w:t>热源侧水泵</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0~20</w:t>
            </w:r>
          </w:p>
        </w:tc>
        <w:tc>
          <w:tcPr>
            <w:vAlign w:val="center"/>
          </w:tcPr>
          <w:p>
            <w:r>
              <w:t>6233</w:t>
            </w:r>
          </w:p>
        </w:tc>
        <w:tc>
          <w:tcPr>
            <w:vAlign w:val="center"/>
          </w:tcPr>
          <w:p>
            <w:r>
              <w:t>147</w:t>
            </w:r>
          </w:p>
        </w:tc>
        <w:tc>
          <w:tcPr>
            <w:vAlign w:val="center"/>
          </w:tcPr>
          <w:p>
            <w:r>
              <w:t>4.00</w:t>
            </w:r>
          </w:p>
        </w:tc>
        <w:tc>
          <w:tcPr>
            <w:vAlign w:val="center"/>
          </w:tcPr>
          <w:p>
            <w:r>
              <w:t>1558</w:t>
            </w:r>
          </w:p>
        </w:tc>
        <w:tc>
          <w:tcPr>
            <w:vAlign w:val="center"/>
          </w:tcPr>
          <w:p>
            <w:r>
              <w:t>7097</w:t>
            </w:r>
          </w:p>
        </w:tc>
        <w:tc>
          <w:tcPr>
            <w:vAlign w:val="center"/>
          </w:tcPr>
          <w:p>
            <w:r>
              <w:t>1176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20~40</w:t>
            </w:r>
          </w:p>
        </w:tc>
        <w:tc>
          <w:tcPr>
            <w:vAlign w:val="center"/>
          </w:tcPr>
          <w:p>
            <w:r>
              <w:t>36403</w:t>
            </w:r>
          </w:p>
        </w:tc>
        <w:tc>
          <w:tcPr>
            <w:vAlign w:val="center"/>
          </w:tcPr>
          <w:p>
            <w:r>
              <w:t>236</w:t>
            </w:r>
          </w:p>
        </w:tc>
        <w:tc>
          <w:tcPr>
            <w:vAlign w:val="center"/>
          </w:tcPr>
          <w:p>
            <w:r>
              <w:t>4.00</w:t>
            </w:r>
          </w:p>
        </w:tc>
        <w:tc>
          <w:tcPr>
            <w:vAlign w:val="center"/>
          </w:tcPr>
          <w:p>
            <w:r>
              <w:t>9101</w:t>
            </w:r>
          </w:p>
        </w:tc>
        <w:tc>
          <w:tcPr>
            <w:vAlign w:val="center"/>
          </w:tcPr>
          <w:p>
            <w:r>
              <w:t>8986</w:t>
            </w:r>
          </w:p>
        </w:tc>
        <w:tc>
          <w:tcPr>
            <w:vAlign w:val="center"/>
          </w:tcPr>
          <w:p>
            <w:r>
              <w:t>1888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40~60</w:t>
            </w:r>
          </w:p>
        </w:tc>
        <w:tc>
          <w:tcPr>
            <w:vAlign w:val="center"/>
          </w:tcPr>
          <w:p>
            <w:r>
              <w:t>59613</w:t>
            </w:r>
          </w:p>
        </w:tc>
        <w:tc>
          <w:tcPr>
            <w:vAlign w:val="center"/>
          </w:tcPr>
          <w:p>
            <w:r>
              <w:t>234</w:t>
            </w:r>
          </w:p>
        </w:tc>
        <w:tc>
          <w:tcPr>
            <w:vAlign w:val="center"/>
          </w:tcPr>
          <w:p>
            <w:r>
              <w:t>4.00</w:t>
            </w:r>
          </w:p>
        </w:tc>
        <w:tc>
          <w:tcPr>
            <w:vAlign w:val="center"/>
          </w:tcPr>
          <w:p>
            <w:r>
              <w:t>14903</w:t>
            </w:r>
          </w:p>
        </w:tc>
        <w:tc>
          <w:tcPr>
            <w:vAlign w:val="center"/>
          </w:tcPr>
          <w:p>
            <w:r>
              <w:t>9174</w:t>
            </w:r>
          </w:p>
        </w:tc>
        <w:tc>
          <w:tcPr>
            <w:vAlign w:val="center"/>
          </w:tcPr>
          <w:p>
            <w:r>
              <w:t>1872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60~80</w:t>
            </w:r>
          </w:p>
        </w:tc>
        <w:tc>
          <w:tcPr>
            <w:vAlign w:val="center"/>
          </w:tcPr>
          <w:p>
            <w:r>
              <w:t>108455</w:t>
            </w:r>
          </w:p>
        </w:tc>
        <w:tc>
          <w:tcPr>
            <w:vAlign w:val="center"/>
          </w:tcPr>
          <w:p>
            <w:r>
              <w:t>312</w:t>
            </w:r>
          </w:p>
        </w:tc>
        <w:tc>
          <w:tcPr>
            <w:vAlign w:val="center"/>
          </w:tcPr>
          <w:p>
            <w:r>
              <w:t>4.00</w:t>
            </w:r>
          </w:p>
        </w:tc>
        <w:tc>
          <w:tcPr>
            <w:vAlign w:val="center"/>
          </w:tcPr>
          <w:p>
            <w:r>
              <w:t>27114</w:t>
            </w:r>
          </w:p>
        </w:tc>
        <w:tc>
          <w:tcPr>
            <w:vAlign w:val="center"/>
          </w:tcPr>
          <w:p>
            <w:r>
              <w:t>11919</w:t>
            </w:r>
          </w:p>
        </w:tc>
        <w:tc>
          <w:tcPr>
            <w:vAlign w:val="center"/>
          </w:tcPr>
          <w:p>
            <w:r>
              <w:t>2496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80~100</w:t>
            </w:r>
          </w:p>
        </w:tc>
        <w:tc>
          <w:tcPr>
            <w:vAlign w:val="center"/>
          </w:tcPr>
          <w:p>
            <w:r>
              <w:t>140119</w:t>
            </w:r>
          </w:p>
        </w:tc>
        <w:tc>
          <w:tcPr>
            <w:vAlign w:val="center"/>
          </w:tcPr>
          <w:p>
            <w:r>
              <w:t>313</w:t>
            </w:r>
          </w:p>
        </w:tc>
        <w:tc>
          <w:tcPr>
            <w:vAlign w:val="center"/>
          </w:tcPr>
          <w:p>
            <w:r>
              <w:t>4.00</w:t>
            </w:r>
          </w:p>
        </w:tc>
        <w:tc>
          <w:tcPr>
            <w:vAlign w:val="center"/>
          </w:tcPr>
          <w:p>
            <w:r>
              <w:t>35030</w:t>
            </w:r>
          </w:p>
        </w:tc>
        <w:tc>
          <w:tcPr>
            <w:vAlign w:val="center"/>
          </w:tcPr>
          <w:p>
            <w:r>
              <w:t>11318</w:t>
            </w:r>
          </w:p>
        </w:tc>
        <w:tc>
          <w:tcPr>
            <w:vAlign w:val="center"/>
          </w:tcPr>
          <w:p>
            <w:r>
              <w:t>2504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&gt;100</w:t>
            </w:r>
          </w:p>
        </w:tc>
        <w:tc>
          <w:tcPr>
            <w:vAlign w:val="center"/>
          </w:tcPr>
          <w:p>
            <w:r>
              <w:t>485290</w:t>
            </w:r>
          </w:p>
        </w:tc>
        <w:tc>
          <w:tcPr>
            <w:vAlign w:val="center"/>
          </w:tcPr>
          <w:p>
            <w:r>
              <w:t>699</w:t>
            </w:r>
          </w:p>
        </w:tc>
        <w:tc>
          <w:tcPr>
            <w:vAlign w:val="center"/>
          </w:tcPr>
          <w:p>
            <w:r>
              <w:t>－</w:t>
            </w:r>
          </w:p>
        </w:tc>
        <w:tc>
          <w:tcPr>
            <w:vAlign w:val="center"/>
          </w:tcPr>
          <w:p>
            <w:r>
              <w:t>87375</w:t>
            </w:r>
          </w:p>
        </w:tc>
        <w:tc>
          <w:tcPr>
            <w:vAlign w:val="center"/>
          </w:tcPr>
          <w:p>
            <w:r>
              <w:t>25906</w:t>
            </w:r>
          </w:p>
        </w:tc>
        <w:tc>
          <w:tcPr>
            <w:vAlign w:val="center"/>
          </w:tcPr>
          <w:p>
            <w:r>
              <w:t>5592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836113</w:t>
            </w:r>
          </w:p>
        </w:tc>
        <w:tc>
          <w:tcPr>
            <w:vAlign w:val="center"/>
          </w:tcPr>
          <w:p>
            <w:r>
              <w:t>1941</w:t>
            </w:r>
          </w:p>
        </w:tc>
        <w:tc>
          <w:tcPr>
            <w:vAlign w:val="center"/>
          </w:tcPr>
          <w:p/>
        </w:tc>
        <w:tc>
          <w:tcPr>
            <w:vAlign w:val="center"/>
          </w:tcPr>
          <w:p>
            <w:r>
              <w:t>175081</w:t>
            </w:r>
          </w:p>
        </w:tc>
        <w:tc>
          <w:tcPr>
            <w:vAlign w:val="center"/>
          </w:tcPr>
          <w:p>
            <w:r>
              <w:t>74401</w:t>
            </w:r>
          </w:p>
        </w:tc>
        <w:tc>
          <w:tcPr>
            <w:vAlign w:val="center"/>
          </w:tcPr>
          <w:p>
            <w:r>
              <w:t>15528</w:t>
            </w:r>
          </w:p>
        </w:tc>
      </w:tr>
    </w:tbl>
    <w:p/>
    <w:tbl>
      <w:tblPr>
        <w:tblStyle w:val="19"/>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26"/>
        <w:gridCol w:w="2326"/>
        <w:gridCol w:w="2326"/>
        <w:gridCol w:w="23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类别</w:t>
            </w:r>
          </w:p>
        </w:tc>
        <w:tc>
          <w:tcPr>
            <w:shd w:val="clear" w:color="auto" w:fill="E6E6E6"/>
            <w:vAlign w:val="center"/>
          </w:tcPr>
          <w:p>
            <w:pPr>
              <w:jc w:val="center"/>
            </w:pPr>
            <w:r>
              <w:t>电耗(kWh/a)</w:t>
            </w:r>
          </w:p>
        </w:tc>
        <w:tc>
          <w:tcPr>
            <w:shd w:val="clear" w:color="auto" w:fill="E6E6E6"/>
            <w:vAlign w:val="center"/>
          </w:tcPr>
          <w:p>
            <w:pPr>
              <w:jc w:val="center"/>
            </w:pPr>
            <w:r>
              <w:t>碳排放因子(kgCO2/kWh)</w:t>
            </w:r>
          </w:p>
        </w:tc>
        <w:tc>
          <w:tcPr>
            <w:shd w:val="clear" w:color="auto" w:fill="E6E6E6"/>
            <w:vAlign w:val="center"/>
          </w:tcPr>
          <w:p>
            <w:pPr>
              <w:jc w:val="center"/>
            </w:pPr>
            <w:r>
              <w:t>碳排放量(tCO2/a)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热泵机组</w:t>
            </w:r>
          </w:p>
        </w:tc>
        <w:tc>
          <w:tcPr>
            <w:vAlign w:val="center"/>
          </w:tcPr>
          <w:p>
            <w:r>
              <w:t>175081</w:t>
            </w:r>
          </w:p>
        </w:tc>
        <w:tc>
          <w:tcPr>
            <w:vMerge w:val="restart"/>
            <w:vAlign w:val="center"/>
          </w:tcPr>
          <w:p>
            <w:r>
              <w:t>0.5703</w:t>
            </w:r>
          </w:p>
        </w:tc>
        <w:tc>
          <w:tcPr>
            <w:vAlign w:val="center"/>
          </w:tcPr>
          <w:p>
            <w:r>
              <w:t>99.848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供暖水泵</w:t>
            </w:r>
          </w:p>
        </w:tc>
        <w:tc>
          <w:tcPr>
            <w:vAlign w:val="center"/>
          </w:tcPr>
          <w:p>
            <w:r>
              <w:t>74401</w:t>
            </w:r>
          </w:p>
        </w:tc>
        <w:tc>
          <w:tcPr>
            <w:vMerge w:val="continue"/>
            <w:vAlign w:val="center"/>
          </w:tcPr>
          <w:p/>
        </w:tc>
        <w:tc>
          <w:tcPr>
            <w:vAlign w:val="center"/>
          </w:tcPr>
          <w:p>
            <w:r>
              <w:t>42.431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热源侧水泵</w:t>
            </w:r>
          </w:p>
        </w:tc>
        <w:tc>
          <w:tcPr>
            <w:vAlign w:val="center"/>
          </w:tcPr>
          <w:p>
            <w:r>
              <w:t>15528</w:t>
            </w:r>
          </w:p>
        </w:tc>
        <w:tc>
          <w:tcPr>
            <w:vMerge w:val="continue"/>
            <w:vAlign w:val="center"/>
          </w:tcPr>
          <w:p/>
        </w:tc>
        <w:tc>
          <w:tcPr>
            <w:vAlign w:val="center"/>
          </w:tcPr>
          <w:p>
            <w:r>
              <w:t>8.856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r>
              <w:t>合计</w:t>
            </w:r>
          </w:p>
        </w:tc>
        <w:tc>
          <w:tcPr>
            <w:vAlign w:val="center"/>
          </w:tcPr>
          <w:p>
            <w:r>
              <w:t>151.135</w:t>
            </w:r>
          </w:p>
        </w:tc>
      </w:tr>
    </w:tbl>
    <w:p/>
    <w:p>
      <w:pPr>
        <w:pStyle w:val="5"/>
        <w:rPr>
          <w:rFonts w:hint="eastAsia"/>
          <w:lang w:val="en-US"/>
        </w:rPr>
      </w:pPr>
      <w:bookmarkStart w:id="148" w:name="_Toc23686"/>
      <w:r>
        <w:rPr>
          <w:rFonts w:hint="eastAsia"/>
          <w:lang w:val="en-US"/>
        </w:rPr>
        <w:t>空调风机</w:t>
      </w:r>
      <w:bookmarkEnd w:id="148"/>
    </w:p>
    <w:tbl>
      <w:tblPr>
        <w:tblStyle w:val="19"/>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26"/>
        <w:gridCol w:w="2326"/>
        <w:gridCol w:w="2326"/>
        <w:gridCol w:w="23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类别</w:t>
            </w:r>
          </w:p>
        </w:tc>
        <w:tc>
          <w:tcPr>
            <w:shd w:val="clear" w:color="auto" w:fill="E6E6E6"/>
            <w:vAlign w:val="center"/>
          </w:tcPr>
          <w:p>
            <w:pPr>
              <w:jc w:val="center"/>
            </w:pPr>
            <w:r>
              <w:t>电耗(kWh/a)</w:t>
            </w:r>
          </w:p>
        </w:tc>
        <w:tc>
          <w:tcPr>
            <w:shd w:val="clear" w:color="auto" w:fill="E6E6E6"/>
            <w:vAlign w:val="center"/>
          </w:tcPr>
          <w:p>
            <w:pPr>
              <w:jc w:val="center"/>
            </w:pPr>
            <w:r>
              <w:t>碳排放因子(kgCO2/kWh)</w:t>
            </w:r>
          </w:p>
        </w:tc>
        <w:tc>
          <w:tcPr>
            <w:shd w:val="clear" w:color="auto" w:fill="E6E6E6"/>
            <w:vAlign w:val="center"/>
          </w:tcPr>
          <w:p>
            <w:pPr>
              <w:jc w:val="center"/>
            </w:pPr>
            <w:r>
              <w:t>碳排放量(tCO2/a)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独立新排风</w:t>
            </w:r>
          </w:p>
        </w:tc>
        <w:tc>
          <w:tcPr>
            <w:vAlign w:val="center"/>
          </w:tcPr>
          <w:p>
            <w:r>
              <w:t>116638</w:t>
            </w:r>
          </w:p>
        </w:tc>
        <w:tc>
          <w:tcPr>
            <w:vMerge w:val="restart"/>
            <w:vAlign w:val="center"/>
          </w:tcPr>
          <w:p>
            <w:r>
              <w:t>0.5703</w:t>
            </w:r>
          </w:p>
        </w:tc>
        <w:tc>
          <w:tcPr>
            <w:vAlign w:val="center"/>
          </w:tcPr>
          <w:p>
            <w:r>
              <w:t>66.518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风机盘管</w:t>
            </w:r>
          </w:p>
        </w:tc>
        <w:tc>
          <w:tcPr>
            <w:vAlign w:val="center"/>
          </w:tcPr>
          <w:p>
            <w:r>
              <w:t>1165</w:t>
            </w:r>
          </w:p>
        </w:tc>
        <w:tc>
          <w:tcPr>
            <w:vMerge w:val="continue"/>
            <w:vAlign w:val="center"/>
          </w:tcPr>
          <w:p/>
        </w:tc>
        <w:tc>
          <w:tcPr>
            <w:vAlign w:val="center"/>
          </w:tcPr>
          <w:p>
            <w:r>
              <w:t>0.664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全空气机组</w:t>
            </w:r>
          </w:p>
        </w:tc>
        <w:tc>
          <w:tcPr>
            <w:vAlign w:val="center"/>
          </w:tcPr>
          <w:p>
            <w:r>
              <w:t>0</w:t>
            </w:r>
          </w:p>
        </w:tc>
        <w:tc>
          <w:tcPr>
            <w:vMerge w:val="continue"/>
            <w:vAlign w:val="center"/>
          </w:tcPr>
          <w:p/>
        </w:tc>
        <w:tc>
          <w:tcPr>
            <w:vAlign w:val="center"/>
          </w:tcPr>
          <w:p>
            <w:r>
              <w:t>0.0000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r>
              <w:t>合计</w:t>
            </w:r>
          </w:p>
        </w:tc>
        <w:tc>
          <w:tcPr>
            <w:vAlign w:val="center"/>
          </w:tcPr>
          <w:p>
            <w:r>
              <w:t>67.183</w:t>
            </w:r>
          </w:p>
        </w:tc>
      </w:tr>
    </w:tbl>
    <w:p>
      <w:pPr>
        <w:pStyle w:val="4"/>
        <w:rPr>
          <w:rFonts w:hint="eastAsia"/>
          <w:lang w:val="en-US"/>
        </w:rPr>
      </w:pPr>
      <w:bookmarkStart w:id="149" w:name="_Toc22876"/>
      <w:r>
        <w:rPr>
          <w:rFonts w:hint="eastAsia"/>
          <w:lang w:val="en-US"/>
        </w:rPr>
        <w:t>照明</w:t>
      </w:r>
      <w:bookmarkEnd w:id="149"/>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22"/>
        <w:gridCol w:w="1556"/>
        <w:gridCol w:w="854"/>
        <w:gridCol w:w="1098"/>
        <w:gridCol w:w="1330"/>
        <w:gridCol w:w="1330"/>
        <w:gridCol w:w="13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单位面积电耗</w:t>
            </w:r>
            <w:r>
              <w:br w:type="textWrapping"/>
            </w:r>
            <w:r>
              <w:t>(kWh/㎡.a)</w:t>
            </w:r>
          </w:p>
        </w:tc>
        <w:tc>
          <w:tcPr>
            <w:shd w:val="clear" w:color="auto" w:fill="E6E6E6"/>
            <w:vAlign w:val="center"/>
          </w:tcPr>
          <w:p>
            <w:pPr>
              <w:jc w:val="center"/>
            </w:pPr>
            <w:r>
              <w:t>房间个数</w:t>
            </w:r>
          </w:p>
        </w:tc>
        <w:tc>
          <w:tcPr>
            <w:shd w:val="clear" w:color="auto" w:fill="E6E6E6"/>
            <w:vAlign w:val="center"/>
          </w:tcPr>
          <w:p>
            <w:pPr>
              <w:jc w:val="center"/>
            </w:pPr>
            <w:r>
              <w:t>房间合计面积</w:t>
            </w:r>
            <w:r>
              <w:br w:type="textWrapping"/>
            </w:r>
            <w:r>
              <w:t>(㎡)</w:t>
            </w:r>
          </w:p>
        </w:tc>
        <w:tc>
          <w:tcPr>
            <w:shd w:val="clear" w:color="auto" w:fill="E6E6E6"/>
            <w:vAlign w:val="center"/>
          </w:tcPr>
          <w:p>
            <w:pPr>
              <w:jc w:val="center"/>
            </w:pPr>
            <w:r>
              <w:t>合计电耗</w:t>
            </w:r>
            <w:r>
              <w:br w:type="textWrapping"/>
            </w:r>
            <w:r>
              <w:t>(kWh/a)</w:t>
            </w:r>
          </w:p>
        </w:tc>
        <w:tc>
          <w:tcPr>
            <w:shd w:val="clear" w:color="auto" w:fill="E6E6E6"/>
            <w:vAlign w:val="center"/>
          </w:tcPr>
          <w:p>
            <w:pPr>
              <w:jc w:val="center"/>
            </w:pPr>
            <w:r>
              <w:t>碳排放因子(kgCO2/kWh)</w:t>
            </w:r>
          </w:p>
        </w:tc>
        <w:tc>
          <w:tcPr>
            <w:shd w:val="clear" w:color="auto" w:fill="E6E6E6"/>
            <w:vAlign w:val="center"/>
          </w:tcPr>
          <w:p>
            <w:pPr>
              <w:jc w:val="center"/>
            </w:pPr>
            <w:r>
              <w:t>碳排放量(tCO2/a)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休息室</w:t>
            </w:r>
          </w:p>
        </w:tc>
        <w:tc>
          <w:tcPr>
            <w:vAlign w:val="center"/>
          </w:tcPr>
          <w:p>
            <w:r>
              <w:t>7.59</w:t>
            </w:r>
          </w:p>
        </w:tc>
        <w:tc>
          <w:tcPr>
            <w:vAlign w:val="center"/>
          </w:tcPr>
          <w:p>
            <w:r>
              <w:t>12</w:t>
            </w:r>
          </w:p>
        </w:tc>
        <w:tc>
          <w:tcPr>
            <w:vAlign w:val="center"/>
          </w:tcPr>
          <w:p>
            <w:r>
              <w:t>362</w:t>
            </w:r>
          </w:p>
        </w:tc>
        <w:tc>
          <w:tcPr>
            <w:vAlign w:val="center"/>
          </w:tcPr>
          <w:p>
            <w:r>
              <w:t>2752</w:t>
            </w:r>
          </w:p>
        </w:tc>
        <w:tc>
          <w:tcPr>
            <w:vMerge w:val="restart"/>
            <w:vAlign w:val="center"/>
          </w:tcPr>
          <w:p>
            <w:r>
              <w:t>0.5703</w:t>
            </w:r>
          </w:p>
        </w:tc>
        <w:tc>
          <w:tcPr>
            <w:vAlign w:val="center"/>
          </w:tcPr>
          <w:p>
            <w:r>
              <w:t>1.570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普通办公室</w:t>
            </w:r>
          </w:p>
        </w:tc>
        <w:tc>
          <w:tcPr>
            <w:vAlign w:val="center"/>
          </w:tcPr>
          <w:p>
            <w:r>
              <w:t>12.15</w:t>
            </w:r>
          </w:p>
        </w:tc>
        <w:tc>
          <w:tcPr>
            <w:vAlign w:val="center"/>
          </w:tcPr>
          <w:p>
            <w:r>
              <w:t>77</w:t>
            </w:r>
          </w:p>
        </w:tc>
        <w:tc>
          <w:tcPr>
            <w:vAlign w:val="center"/>
          </w:tcPr>
          <w:p>
            <w:r>
              <w:t>3151</w:t>
            </w:r>
          </w:p>
        </w:tc>
        <w:tc>
          <w:tcPr>
            <w:vAlign w:val="center"/>
          </w:tcPr>
          <w:p>
            <w:r>
              <w:t>38280</w:t>
            </w:r>
          </w:p>
        </w:tc>
        <w:tc>
          <w:tcPr>
            <w:vMerge w:val="continue"/>
            <w:vAlign w:val="center"/>
          </w:tcPr>
          <w:p/>
        </w:tc>
        <w:tc>
          <w:tcPr>
            <w:vAlign w:val="center"/>
          </w:tcPr>
          <w:p>
            <w:r>
              <w:t>21.831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餐厅</w:t>
            </w:r>
          </w:p>
        </w:tc>
        <w:tc>
          <w:tcPr>
            <w:vAlign w:val="center"/>
          </w:tcPr>
          <w:p>
            <w:r>
              <w:t>32.12</w:t>
            </w:r>
          </w:p>
        </w:tc>
        <w:tc>
          <w:tcPr>
            <w:vAlign w:val="center"/>
          </w:tcPr>
          <w:p>
            <w:r>
              <w:t>3</w:t>
            </w:r>
          </w:p>
        </w:tc>
        <w:tc>
          <w:tcPr>
            <w:vAlign w:val="center"/>
          </w:tcPr>
          <w:p>
            <w:r>
              <w:t>3718</w:t>
            </w:r>
          </w:p>
        </w:tc>
        <w:tc>
          <w:tcPr>
            <w:vAlign w:val="center"/>
          </w:tcPr>
          <w:p>
            <w:r>
              <w:t>119410</w:t>
            </w:r>
          </w:p>
        </w:tc>
        <w:tc>
          <w:tcPr>
            <w:vMerge w:val="continue"/>
            <w:vAlign w:val="center"/>
          </w:tcPr>
          <w:p/>
        </w:tc>
        <w:tc>
          <w:tcPr>
            <w:vAlign w:val="center"/>
          </w:tcPr>
          <w:p>
            <w:r>
              <w:t>68.100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vAlign w:val="center"/>
          </w:tcPr>
          <w:p>
            <w:r>
              <w:t>总计</w:t>
            </w:r>
          </w:p>
        </w:tc>
        <w:tc>
          <w:tcPr>
            <w:vAlign w:val="center"/>
          </w:tcPr>
          <w:p>
            <w:r>
              <w:t>91.500</w:t>
            </w:r>
          </w:p>
        </w:tc>
      </w:tr>
    </w:tbl>
    <w:p>
      <w:pPr>
        <w:pStyle w:val="4"/>
        <w:rPr>
          <w:rFonts w:hint="eastAsia"/>
          <w:lang w:val="en-US"/>
        </w:rPr>
      </w:pPr>
      <w:bookmarkStart w:id="150" w:name="_Toc9491"/>
      <w:r>
        <w:rPr>
          <w:rFonts w:hint="eastAsia"/>
          <w:lang w:val="en-US"/>
        </w:rPr>
        <w:t>插座设备</w:t>
      </w:r>
      <w:bookmarkEnd w:id="150"/>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22"/>
        <w:gridCol w:w="1556"/>
        <w:gridCol w:w="854"/>
        <w:gridCol w:w="1098"/>
        <w:gridCol w:w="1330"/>
        <w:gridCol w:w="1330"/>
        <w:gridCol w:w="13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单位面积电耗</w:t>
            </w:r>
            <w:r>
              <w:br w:type="textWrapping"/>
            </w:r>
            <w:r>
              <w:t>(kWh/㎡.a)</w:t>
            </w:r>
          </w:p>
        </w:tc>
        <w:tc>
          <w:tcPr>
            <w:shd w:val="clear" w:color="auto" w:fill="E6E6E6"/>
            <w:vAlign w:val="center"/>
          </w:tcPr>
          <w:p>
            <w:pPr>
              <w:jc w:val="center"/>
            </w:pPr>
            <w:r>
              <w:t>房间个数</w:t>
            </w:r>
          </w:p>
        </w:tc>
        <w:tc>
          <w:tcPr>
            <w:shd w:val="clear" w:color="auto" w:fill="E6E6E6"/>
            <w:vAlign w:val="center"/>
          </w:tcPr>
          <w:p>
            <w:pPr>
              <w:jc w:val="center"/>
            </w:pPr>
            <w:r>
              <w:t>房间合计面积</w:t>
            </w:r>
            <w:r>
              <w:br w:type="textWrapping"/>
            </w:r>
            <w:r>
              <w:t>(㎡)</w:t>
            </w:r>
          </w:p>
        </w:tc>
        <w:tc>
          <w:tcPr>
            <w:shd w:val="clear" w:color="auto" w:fill="E6E6E6"/>
            <w:vAlign w:val="center"/>
          </w:tcPr>
          <w:p>
            <w:pPr>
              <w:jc w:val="center"/>
            </w:pPr>
            <w:r>
              <w:t>合计电耗</w:t>
            </w:r>
            <w:r>
              <w:br w:type="textWrapping"/>
            </w:r>
            <w:r>
              <w:t>(kWh/a)</w:t>
            </w:r>
          </w:p>
        </w:tc>
        <w:tc>
          <w:tcPr>
            <w:shd w:val="clear" w:color="auto" w:fill="E6E6E6"/>
            <w:vAlign w:val="center"/>
          </w:tcPr>
          <w:p>
            <w:pPr>
              <w:jc w:val="center"/>
            </w:pPr>
            <w:r>
              <w:t>碳排放因子(kgCO2/kWh)</w:t>
            </w:r>
          </w:p>
        </w:tc>
        <w:tc>
          <w:tcPr>
            <w:shd w:val="clear" w:color="auto" w:fill="E6E6E6"/>
            <w:vAlign w:val="center"/>
          </w:tcPr>
          <w:p>
            <w:pPr>
              <w:jc w:val="center"/>
            </w:pPr>
            <w:r>
              <w:t>碳排放量(tCO2/a)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休息室</w:t>
            </w:r>
          </w:p>
        </w:tc>
        <w:tc>
          <w:tcPr>
            <w:vAlign w:val="center"/>
          </w:tcPr>
          <w:p>
            <w:r>
              <w:t>0.00</w:t>
            </w:r>
          </w:p>
        </w:tc>
        <w:tc>
          <w:tcPr>
            <w:vAlign w:val="center"/>
          </w:tcPr>
          <w:p>
            <w:r>
              <w:t>12</w:t>
            </w:r>
          </w:p>
        </w:tc>
        <w:tc>
          <w:tcPr>
            <w:vAlign w:val="center"/>
          </w:tcPr>
          <w:p>
            <w:r>
              <w:t>362</w:t>
            </w:r>
          </w:p>
        </w:tc>
        <w:tc>
          <w:tcPr>
            <w:vAlign w:val="center"/>
          </w:tcPr>
          <w:p>
            <w:r>
              <w:t>0</w:t>
            </w:r>
          </w:p>
        </w:tc>
        <w:tc>
          <w:tcPr>
            <w:vMerge w:val="restart"/>
            <w:vAlign w:val="center"/>
          </w:tcPr>
          <w:p>
            <w:r>
              <w:t>0.5703</w:t>
            </w:r>
          </w:p>
        </w:tc>
        <w:tc>
          <w:tcPr>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普通办公室</w:t>
            </w:r>
          </w:p>
        </w:tc>
        <w:tc>
          <w:tcPr>
            <w:vAlign w:val="center"/>
          </w:tcPr>
          <w:p>
            <w:r>
              <w:t>31.87</w:t>
            </w:r>
          </w:p>
        </w:tc>
        <w:tc>
          <w:tcPr>
            <w:vAlign w:val="center"/>
          </w:tcPr>
          <w:p>
            <w:r>
              <w:t>77</w:t>
            </w:r>
          </w:p>
        </w:tc>
        <w:tc>
          <w:tcPr>
            <w:vAlign w:val="center"/>
          </w:tcPr>
          <w:p>
            <w:r>
              <w:t>3151</w:t>
            </w:r>
          </w:p>
        </w:tc>
        <w:tc>
          <w:tcPr>
            <w:vAlign w:val="center"/>
          </w:tcPr>
          <w:p>
            <w:r>
              <w:t>100398</w:t>
            </w:r>
          </w:p>
        </w:tc>
        <w:tc>
          <w:tcPr>
            <w:vMerge w:val="continue"/>
            <w:vAlign w:val="center"/>
          </w:tcPr>
          <w:p/>
        </w:tc>
        <w:tc>
          <w:tcPr>
            <w:vAlign w:val="center"/>
          </w:tcPr>
          <w:p>
            <w:r>
              <w:t>57.257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餐厅</w:t>
            </w:r>
          </w:p>
        </w:tc>
        <w:tc>
          <w:tcPr>
            <w:vAlign w:val="center"/>
          </w:tcPr>
          <w:p>
            <w:r>
              <w:t>47.93</w:t>
            </w:r>
          </w:p>
        </w:tc>
        <w:tc>
          <w:tcPr>
            <w:vAlign w:val="center"/>
          </w:tcPr>
          <w:p>
            <w:r>
              <w:t>3</w:t>
            </w:r>
          </w:p>
        </w:tc>
        <w:tc>
          <w:tcPr>
            <w:vAlign w:val="center"/>
          </w:tcPr>
          <w:p>
            <w:r>
              <w:t>3718</w:t>
            </w:r>
          </w:p>
        </w:tc>
        <w:tc>
          <w:tcPr>
            <w:vAlign w:val="center"/>
          </w:tcPr>
          <w:p>
            <w:r>
              <w:t>178190</w:t>
            </w:r>
          </w:p>
        </w:tc>
        <w:tc>
          <w:tcPr>
            <w:vMerge w:val="continue"/>
            <w:vAlign w:val="center"/>
          </w:tcPr>
          <w:p/>
        </w:tc>
        <w:tc>
          <w:tcPr>
            <w:vAlign w:val="center"/>
          </w:tcPr>
          <w:p>
            <w:r>
              <w:t>101.622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vAlign w:val="center"/>
          </w:tcPr>
          <w:p>
            <w:r>
              <w:t>总计</w:t>
            </w:r>
          </w:p>
        </w:tc>
        <w:tc>
          <w:tcPr>
            <w:vAlign w:val="center"/>
          </w:tcPr>
          <w:p>
            <w:r>
              <w:t>158.879</w:t>
            </w:r>
          </w:p>
        </w:tc>
      </w:tr>
    </w:tbl>
    <w:p>
      <w:pPr>
        <w:pStyle w:val="4"/>
        <w:rPr>
          <w:rFonts w:hint="eastAsia"/>
          <w:lang w:val="en-US"/>
        </w:rPr>
      </w:pPr>
      <w:bookmarkStart w:id="151" w:name="_Toc10677"/>
      <w:r>
        <w:rPr>
          <w:rFonts w:hint="eastAsia"/>
          <w:lang w:val="en-US"/>
        </w:rPr>
        <w:t>炊事</w:t>
      </w:r>
      <w:bookmarkEnd w:id="151"/>
    </w:p>
    <w:tbl>
      <w:tblPr>
        <w:tblStyle w:val="19"/>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839"/>
        <w:gridCol w:w="1697"/>
        <w:gridCol w:w="1980"/>
        <w:gridCol w:w="18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燃气用量指标</w:t>
            </w:r>
            <w:r>
              <w:br w:type="textWrapping"/>
            </w:r>
            <w:r>
              <w:t>(m3/m2·a)</w:t>
            </w:r>
          </w:p>
        </w:tc>
        <w:tc>
          <w:tcPr>
            <w:shd w:val="clear" w:color="auto" w:fill="E6E6E6"/>
            <w:vAlign w:val="center"/>
          </w:tcPr>
          <w:p>
            <w:pPr>
              <w:jc w:val="center"/>
            </w:pPr>
            <w:r>
              <w:t>燃气消耗</w:t>
            </w:r>
            <w:r>
              <w:br w:type="textWrapping"/>
            </w:r>
            <w:r>
              <w:t>(m3/a)</w:t>
            </w:r>
          </w:p>
        </w:tc>
        <w:tc>
          <w:tcPr>
            <w:shd w:val="clear" w:color="auto" w:fill="E6E6E6"/>
            <w:vAlign w:val="center"/>
          </w:tcPr>
          <w:p>
            <w:pPr>
              <w:jc w:val="center"/>
            </w:pPr>
            <w:r>
              <w:t>燃气热值</w:t>
            </w:r>
            <w:r>
              <w:br w:type="textWrapping"/>
            </w:r>
            <w:r>
              <w:t>(kWh/m3)</w:t>
            </w:r>
          </w:p>
        </w:tc>
        <w:tc>
          <w:tcPr>
            <w:shd w:val="clear" w:color="auto" w:fill="E6E6E6"/>
            <w:vAlign w:val="center"/>
          </w:tcPr>
          <w:p>
            <w:pPr>
              <w:jc w:val="center"/>
            </w:pPr>
            <w:r>
              <w:t>碳排放因子</w:t>
            </w:r>
            <w:r>
              <w:br w:type="textWrapping"/>
            </w:r>
            <w:r>
              <w:t>(tCO2/TJ)</w:t>
            </w:r>
          </w:p>
        </w:tc>
        <w:tc>
          <w:tcPr>
            <w:shd w:val="clear" w:color="auto" w:fill="E6E6E6"/>
            <w:vAlign w:val="center"/>
          </w:tcPr>
          <w:p>
            <w:pPr>
              <w:jc w:val="center"/>
            </w:pPr>
            <w:r>
              <w:t>碳排放量</w:t>
            </w:r>
            <w:r>
              <w:br w:type="textWrapping"/>
            </w:r>
            <w:r>
              <w:t>(tCO2/a)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54.7</w:t>
            </w:r>
          </w:p>
        </w:tc>
        <w:tc>
          <w:tcPr>
            <w:vAlign w:val="center"/>
          </w:tcPr>
          <w:p>
            <w:r>
              <w:t>400444</w:t>
            </w:r>
          </w:p>
        </w:tc>
        <w:tc>
          <w:tcPr>
            <w:vAlign w:val="center"/>
          </w:tcPr>
          <w:p>
            <w:r>
              <w:t>9.87</w:t>
            </w:r>
          </w:p>
        </w:tc>
        <w:tc>
          <w:tcPr>
            <w:vAlign w:val="center"/>
          </w:tcPr>
          <w:p>
            <w:r>
              <w:t>56</w:t>
            </w:r>
          </w:p>
        </w:tc>
        <w:tc>
          <w:tcPr>
            <w:vAlign w:val="center"/>
          </w:tcPr>
          <w:p>
            <w:r>
              <w:t>790.255</w:t>
            </w:r>
          </w:p>
        </w:tc>
      </w:tr>
    </w:tbl>
    <w:p>
      <w:pPr>
        <w:sectPr>
          <w:pgSz w:w="11906" w:h="16838"/>
          <w:pgMar w:top="1440" w:right="1418" w:bottom="1440" w:left="1418" w:header="851" w:footer="992" w:gutter="0"/>
          <w:cols w:space="425" w:num="1"/>
          <w:docGrid w:type="lines" w:linePitch="312" w:charSpace="0"/>
        </w:sectPr>
      </w:pPr>
    </w:p>
    <w:p>
      <w:pPr>
        <w:pStyle w:val="4"/>
        <w:rPr>
          <w:rFonts w:hint="eastAsia"/>
          <w:lang w:val="en-US"/>
        </w:rPr>
      </w:pPr>
      <w:bookmarkStart w:id="152" w:name="_Toc6447"/>
      <w:r>
        <w:rPr>
          <w:rFonts w:hint="eastAsia"/>
          <w:lang w:val="en-US"/>
        </w:rPr>
        <w:t>时间表</w:t>
      </w:r>
      <w:bookmarkEnd w:id="152"/>
    </w:p>
    <w:p>
      <w:pPr>
        <w:rPr>
          <w:rFonts w:hint="eastAsia"/>
          <w:lang w:val="en-US"/>
        </w:rPr>
      </w:pPr>
    </w:p>
    <w:p>
      <w:r>
        <w:t>暑假:7.15~8.25; 寒假：1.15~2.20</w:t>
      </w:r>
    </w:p>
    <w:p>
      <w:pPr>
        <w:pStyle w:val="5"/>
      </w:pPr>
      <w:bookmarkStart w:id="153" w:name="_Toc29842"/>
      <w:r>
        <w:t>工作日/节假日人员逐时在室率(%)</w:t>
      </w:r>
      <w:bookmarkEnd w:id="153"/>
    </w:p>
    <w:p/>
    <w:tbl>
      <w:tblPr>
        <w:tblStyle w:val="19"/>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休息室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注：第一行：工作日；第二行：节假日；第三行：寒假；第四行：暑假</w:t>
      </w:r>
    </w:p>
    <w:p>
      <w:pPr>
        <w:pStyle w:val="5"/>
      </w:pPr>
      <w:bookmarkStart w:id="154" w:name="_Toc16165"/>
      <w:r>
        <w:t>工作日/节假日照明开关时间表(%)</w:t>
      </w:r>
      <w:bookmarkEnd w:id="154"/>
    </w:p>
    <w:p/>
    <w:tbl>
      <w:tblPr>
        <w:tblStyle w:val="19"/>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休息室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bl>
    <w:p/>
    <w:p>
      <w:r>
        <w:t>注：第一行：工作日；第二行：节假日；第三行：寒假；第四行：暑假</w:t>
      </w:r>
    </w:p>
    <w:p>
      <w:pPr>
        <w:pStyle w:val="5"/>
      </w:pPr>
      <w:bookmarkStart w:id="155" w:name="_Toc31395"/>
      <w:r>
        <w:t>工作日/节假日设备逐时使用率(%)</w:t>
      </w:r>
      <w:bookmarkEnd w:id="155"/>
    </w:p>
    <w:p/>
    <w:tbl>
      <w:tblPr>
        <w:tblStyle w:val="19"/>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休息室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注：第一行：工作日；第二行：节假日；第三行：寒假；第四行：暑假</w:t>
      </w:r>
    </w:p>
    <w:p>
      <w:pPr>
        <w:pStyle w:val="5"/>
      </w:pPr>
      <w:bookmarkStart w:id="156" w:name="_Toc8757"/>
      <w:r>
        <w:t>工作日/节假日空调系统运行时间表(1:开,0:关)</w:t>
      </w:r>
      <w:bookmarkEnd w:id="156"/>
    </w:p>
    <w:p>
      <w:r>
        <w:t>采暖期：</w:t>
      </w:r>
    </w:p>
    <w:tbl>
      <w:tblPr>
        <w:tblStyle w:val="19"/>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Sys</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r>
        <w:t>供冷期：</w:t>
      </w:r>
    </w:p>
    <w:p/>
    <w:tbl>
      <w:tblPr>
        <w:tblStyle w:val="19"/>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Sys</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注：第一行：工作日；第二行：节假日；第三行：寒假；第四行：暑假</w:t>
      </w:r>
    </w:p>
    <w:p>
      <w:pPr>
        <w:pStyle w:val="5"/>
      </w:pPr>
      <w:bookmarkStart w:id="157" w:name="_Toc23121"/>
      <w:r>
        <w:t>工作日/节假日新风运行时间表(%)</w:t>
      </w:r>
      <w:bookmarkEnd w:id="157"/>
    </w:p>
    <w:p>
      <w:r>
        <w:t>采暖期：</w:t>
      </w:r>
    </w:p>
    <w:tbl>
      <w:tblPr>
        <w:tblStyle w:val="19"/>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Sys</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r>
        <w:t>供冷期：</w:t>
      </w:r>
    </w:p>
    <w:p/>
    <w:tbl>
      <w:tblPr>
        <w:tblStyle w:val="19"/>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Sys</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注：第一行：工作日；第二行：节假日；第三行：寒假；第四行：暑假</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ind w:firstLine="420"/>
      <w:rPr>
        <w:rStyle w:val="22"/>
      </w:rPr>
    </w:pPr>
    <w:r>
      <w:rPr>
        <w:rStyle w:val="22"/>
      </w:rPr>
      <w:fldChar w:fldCharType="begin"/>
    </w:r>
    <w:r>
      <w:rPr>
        <w:rStyle w:val="22"/>
      </w:rPr>
      <w:instrText xml:space="preserve">PAGE  </w:instrText>
    </w:r>
    <w:r>
      <w:rPr>
        <w:rStyle w:val="22"/>
      </w:rPr>
      <w:fldChar w:fldCharType="separate"/>
    </w:r>
    <w:r>
      <w:rPr>
        <w:rStyle w:val="22"/>
      </w:rPr>
      <w:t>16</w:t>
    </w:r>
    <w:r>
      <w:rPr>
        <w:rStyle w:val="22"/>
      </w:rPr>
      <w:fldChar w:fldCharType="end"/>
    </w:r>
  </w:p>
  <w:p>
    <w:pPr>
      <w:pStyle w:val="15"/>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ind w:firstLine="420"/>
      <w:rPr>
        <w:rStyle w:val="22"/>
      </w:rPr>
    </w:pPr>
    <w:r>
      <w:rPr>
        <w:rStyle w:val="22"/>
      </w:rPr>
      <w:fldChar w:fldCharType="begin"/>
    </w:r>
    <w:r>
      <w:rPr>
        <w:rStyle w:val="22"/>
      </w:rPr>
      <w:instrText xml:space="preserve">PAGE  </w:instrText>
    </w:r>
    <w:r>
      <w:rPr>
        <w:rStyle w:val="22"/>
      </w:rPr>
      <w:fldChar w:fldCharType="end"/>
    </w:r>
  </w:p>
  <w:p>
    <w:pPr>
      <w:pStyle w:val="15"/>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00"/>
      <w:jc w:val="left"/>
      <w:rPr>
        <w:rFonts w:ascii="Calibri" w:hAnsi="Calibri" w:cs="Calibri"/>
        <w:color w:val="000000"/>
        <w:sz w:val="20"/>
        <w:szCs w:val="20"/>
      </w:rPr>
    </w:pPr>
  </w:p>
  <w:p>
    <w:pPr>
      <w:pStyle w:val="16"/>
      <w:ind w:firstLine="400"/>
      <w:jc w:val="left"/>
    </w:pPr>
    <w:r>
      <w:rPr>
        <w:rFonts w:ascii="Calibri" w:hAnsi="Calibri" w:cs="Calibri"/>
        <w:color w:val="000000"/>
        <w:sz w:val="20"/>
        <w:szCs w:val="20"/>
      </w:rPr>
      <w:t xml:space="preserve">Life Cycle Assessment Report of Green Building Carbon Emission V1.0                   </w:t>
    </w:r>
    <w:r>
      <w:rPr>
        <w:rFonts w:ascii="Calibri" w:hAnsi="Calibri" w:cs="Calibri"/>
        <w:i/>
        <w:iCs/>
        <w:color w:val="000000"/>
        <w:sz w:val="20"/>
        <w:szCs w:val="20"/>
      </w:rPr>
      <w:t>CSUS-GBRC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lang w:bidi="zh-CN"/>
      </w:rPr>
    </w:lvl>
    <w:lvl w:ilvl="1" w:tentative="0">
      <w:start w:val="1"/>
      <w:numFmt w:val="decimal"/>
      <w:pStyle w:val="4"/>
      <w:lvlText w:val="%1.%2"/>
      <w:lvlJc w:val="left"/>
      <w:pPr>
        <w:tabs>
          <w:tab w:val="left" w:pos="862"/>
        </w:tabs>
        <w:ind w:left="862" w:hanging="578"/>
      </w:pPr>
      <w:rPr>
        <w:lang w:bidi="zh-CN"/>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02A09F8"/>
    <w:multiLevelType w:val="multilevel"/>
    <w:tmpl w:val="002A09F8"/>
    <w:lvl w:ilvl="0" w:tentative="0">
      <w:start w:val="1"/>
      <w:numFmt w:val="decimal"/>
      <w:lvlText w:val="%1)"/>
      <w:lvlJc w:val="left"/>
      <w:pPr>
        <w:ind w:left="840" w:hanging="420"/>
      </w:pPr>
      <w:rPr>
        <w:b/>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4F23F1E"/>
    <w:multiLevelType w:val="multilevel"/>
    <w:tmpl w:val="14F23F1E"/>
    <w:lvl w:ilvl="0" w:tentative="0">
      <w:start w:val="1"/>
      <w:numFmt w:val="decimal"/>
      <w:lvlText w:val="%1)"/>
      <w:lvlJc w:val="left"/>
      <w:pPr>
        <w:ind w:left="840" w:hanging="420"/>
      </w:pPr>
      <w:rPr>
        <w:b/>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25C15BD"/>
    <w:multiLevelType w:val="multilevel"/>
    <w:tmpl w:val="425C15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32382C"/>
    <w:multiLevelType w:val="multilevel"/>
    <w:tmpl w:val="5532382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85F6E65"/>
    <w:multiLevelType w:val="multilevel"/>
    <w:tmpl w:val="585F6E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9BA475E"/>
    <w:multiLevelType w:val="multilevel"/>
    <w:tmpl w:val="69BA475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mNzllMWU2NmUyMjJiMTY2N2FkMWVmZDY1MGU2MjcifQ=="/>
  </w:docVars>
  <w:rsids>
    <w:rsidRoot w:val="5D8323A3"/>
    <w:rsid w:val="00007FA4"/>
    <w:rsid w:val="000118E3"/>
    <w:rsid w:val="00011B9C"/>
    <w:rsid w:val="00011DA0"/>
    <w:rsid w:val="0002602A"/>
    <w:rsid w:val="000279CA"/>
    <w:rsid w:val="00033A7A"/>
    <w:rsid w:val="00036AFE"/>
    <w:rsid w:val="00037A4C"/>
    <w:rsid w:val="00041099"/>
    <w:rsid w:val="000450A8"/>
    <w:rsid w:val="00055EF8"/>
    <w:rsid w:val="00057DFB"/>
    <w:rsid w:val="00064E88"/>
    <w:rsid w:val="00076A0C"/>
    <w:rsid w:val="00084154"/>
    <w:rsid w:val="000873E0"/>
    <w:rsid w:val="000955D1"/>
    <w:rsid w:val="000B2F5A"/>
    <w:rsid w:val="000B3AD7"/>
    <w:rsid w:val="000B4001"/>
    <w:rsid w:val="000D5BDD"/>
    <w:rsid w:val="000E707C"/>
    <w:rsid w:val="000F4300"/>
    <w:rsid w:val="000F51F0"/>
    <w:rsid w:val="000F7EF2"/>
    <w:rsid w:val="00104C39"/>
    <w:rsid w:val="00107A83"/>
    <w:rsid w:val="00111484"/>
    <w:rsid w:val="0011310C"/>
    <w:rsid w:val="00115330"/>
    <w:rsid w:val="0011728F"/>
    <w:rsid w:val="001175C5"/>
    <w:rsid w:val="001178EA"/>
    <w:rsid w:val="00122AE1"/>
    <w:rsid w:val="00122EF9"/>
    <w:rsid w:val="00125446"/>
    <w:rsid w:val="0012640E"/>
    <w:rsid w:val="00127C6C"/>
    <w:rsid w:val="0014776A"/>
    <w:rsid w:val="00152114"/>
    <w:rsid w:val="001613D4"/>
    <w:rsid w:val="00165872"/>
    <w:rsid w:val="0018203E"/>
    <w:rsid w:val="001856B0"/>
    <w:rsid w:val="00191B4D"/>
    <w:rsid w:val="001978C5"/>
    <w:rsid w:val="001A09ED"/>
    <w:rsid w:val="001B7676"/>
    <w:rsid w:val="001C5FDE"/>
    <w:rsid w:val="001D0666"/>
    <w:rsid w:val="001D5BEF"/>
    <w:rsid w:val="001F2EAE"/>
    <w:rsid w:val="001F561C"/>
    <w:rsid w:val="00203A7D"/>
    <w:rsid w:val="002122E8"/>
    <w:rsid w:val="0021504D"/>
    <w:rsid w:val="00225A6C"/>
    <w:rsid w:val="002324A2"/>
    <w:rsid w:val="00235D41"/>
    <w:rsid w:val="002425B6"/>
    <w:rsid w:val="00245791"/>
    <w:rsid w:val="002555B8"/>
    <w:rsid w:val="00262DF1"/>
    <w:rsid w:val="0026678B"/>
    <w:rsid w:val="00272F04"/>
    <w:rsid w:val="00274A4B"/>
    <w:rsid w:val="002807D1"/>
    <w:rsid w:val="00286ADA"/>
    <w:rsid w:val="002A4E5B"/>
    <w:rsid w:val="002A55C2"/>
    <w:rsid w:val="002A5A94"/>
    <w:rsid w:val="002B2EC4"/>
    <w:rsid w:val="002B430E"/>
    <w:rsid w:val="002C0A18"/>
    <w:rsid w:val="002C11BF"/>
    <w:rsid w:val="002C6168"/>
    <w:rsid w:val="002C7EE0"/>
    <w:rsid w:val="002E69F6"/>
    <w:rsid w:val="002F4FC9"/>
    <w:rsid w:val="002F5B80"/>
    <w:rsid w:val="002F5BCA"/>
    <w:rsid w:val="002F76F2"/>
    <w:rsid w:val="0030437C"/>
    <w:rsid w:val="003045F4"/>
    <w:rsid w:val="0031108C"/>
    <w:rsid w:val="003110A2"/>
    <w:rsid w:val="003121F7"/>
    <w:rsid w:val="00313933"/>
    <w:rsid w:val="00313A95"/>
    <w:rsid w:val="00314D29"/>
    <w:rsid w:val="0031638A"/>
    <w:rsid w:val="00316C9C"/>
    <w:rsid w:val="00323290"/>
    <w:rsid w:val="00324C1A"/>
    <w:rsid w:val="0032576F"/>
    <w:rsid w:val="00331C89"/>
    <w:rsid w:val="00333BE8"/>
    <w:rsid w:val="00343409"/>
    <w:rsid w:val="0034392A"/>
    <w:rsid w:val="00380EFC"/>
    <w:rsid w:val="00381AA0"/>
    <w:rsid w:val="00383B66"/>
    <w:rsid w:val="00384D28"/>
    <w:rsid w:val="0039047E"/>
    <w:rsid w:val="00394EE0"/>
    <w:rsid w:val="00395861"/>
    <w:rsid w:val="00396FF3"/>
    <w:rsid w:val="003B3AF9"/>
    <w:rsid w:val="003C0331"/>
    <w:rsid w:val="003C6F9B"/>
    <w:rsid w:val="003E0BD9"/>
    <w:rsid w:val="003E6A2B"/>
    <w:rsid w:val="003F4D6F"/>
    <w:rsid w:val="003F5BE3"/>
    <w:rsid w:val="00406741"/>
    <w:rsid w:val="0041415C"/>
    <w:rsid w:val="00423DF2"/>
    <w:rsid w:val="00424E50"/>
    <w:rsid w:val="00433881"/>
    <w:rsid w:val="00443757"/>
    <w:rsid w:val="0045611F"/>
    <w:rsid w:val="00460D5B"/>
    <w:rsid w:val="0047238A"/>
    <w:rsid w:val="004757AE"/>
    <w:rsid w:val="00475D7A"/>
    <w:rsid w:val="00483CEF"/>
    <w:rsid w:val="00484061"/>
    <w:rsid w:val="00487D34"/>
    <w:rsid w:val="00494E44"/>
    <w:rsid w:val="0049561F"/>
    <w:rsid w:val="004968BA"/>
    <w:rsid w:val="00496D8C"/>
    <w:rsid w:val="004A702B"/>
    <w:rsid w:val="004B27B5"/>
    <w:rsid w:val="004C2B83"/>
    <w:rsid w:val="004C3472"/>
    <w:rsid w:val="004D230F"/>
    <w:rsid w:val="004D449D"/>
    <w:rsid w:val="004D478B"/>
    <w:rsid w:val="004D69C4"/>
    <w:rsid w:val="004E66E1"/>
    <w:rsid w:val="004F1ACA"/>
    <w:rsid w:val="004F6585"/>
    <w:rsid w:val="0050166A"/>
    <w:rsid w:val="00513F23"/>
    <w:rsid w:val="00517BC7"/>
    <w:rsid w:val="005215FB"/>
    <w:rsid w:val="00534262"/>
    <w:rsid w:val="00553B3B"/>
    <w:rsid w:val="00555959"/>
    <w:rsid w:val="0056173B"/>
    <w:rsid w:val="00561CB2"/>
    <w:rsid w:val="00561CCE"/>
    <w:rsid w:val="00570FEF"/>
    <w:rsid w:val="0057343B"/>
    <w:rsid w:val="005755BA"/>
    <w:rsid w:val="00576531"/>
    <w:rsid w:val="00581198"/>
    <w:rsid w:val="00584FAF"/>
    <w:rsid w:val="005911D8"/>
    <w:rsid w:val="005A1395"/>
    <w:rsid w:val="005A5ADF"/>
    <w:rsid w:val="005C264D"/>
    <w:rsid w:val="005C48E7"/>
    <w:rsid w:val="005D18B6"/>
    <w:rsid w:val="005D3F38"/>
    <w:rsid w:val="005D7274"/>
    <w:rsid w:val="005E385A"/>
    <w:rsid w:val="005F0007"/>
    <w:rsid w:val="005F23B3"/>
    <w:rsid w:val="00605D1B"/>
    <w:rsid w:val="006073D0"/>
    <w:rsid w:val="00616758"/>
    <w:rsid w:val="00617CF9"/>
    <w:rsid w:val="0062349D"/>
    <w:rsid w:val="00636256"/>
    <w:rsid w:val="00646892"/>
    <w:rsid w:val="00660C93"/>
    <w:rsid w:val="00660E7F"/>
    <w:rsid w:val="00662870"/>
    <w:rsid w:val="00663A66"/>
    <w:rsid w:val="0067043D"/>
    <w:rsid w:val="006740FD"/>
    <w:rsid w:val="00675521"/>
    <w:rsid w:val="006764FA"/>
    <w:rsid w:val="00681D10"/>
    <w:rsid w:val="00683DD6"/>
    <w:rsid w:val="00694FCA"/>
    <w:rsid w:val="00697D19"/>
    <w:rsid w:val="006A0084"/>
    <w:rsid w:val="006A2A62"/>
    <w:rsid w:val="006A48CE"/>
    <w:rsid w:val="006B28F6"/>
    <w:rsid w:val="006B38CD"/>
    <w:rsid w:val="006D6523"/>
    <w:rsid w:val="006E0EFC"/>
    <w:rsid w:val="006E1CD1"/>
    <w:rsid w:val="006E3B8E"/>
    <w:rsid w:val="006F7778"/>
    <w:rsid w:val="006F7CB8"/>
    <w:rsid w:val="00703BA2"/>
    <w:rsid w:val="00716062"/>
    <w:rsid w:val="00727C92"/>
    <w:rsid w:val="00732438"/>
    <w:rsid w:val="007429D0"/>
    <w:rsid w:val="007516D6"/>
    <w:rsid w:val="007524F2"/>
    <w:rsid w:val="00763C11"/>
    <w:rsid w:val="00772569"/>
    <w:rsid w:val="007776BA"/>
    <w:rsid w:val="0078183C"/>
    <w:rsid w:val="00784F7B"/>
    <w:rsid w:val="00785E81"/>
    <w:rsid w:val="007872BC"/>
    <w:rsid w:val="007A4596"/>
    <w:rsid w:val="007B5194"/>
    <w:rsid w:val="007C689C"/>
    <w:rsid w:val="007D3C88"/>
    <w:rsid w:val="007D470B"/>
    <w:rsid w:val="007D7FC4"/>
    <w:rsid w:val="007F13D0"/>
    <w:rsid w:val="007F1D28"/>
    <w:rsid w:val="00803C48"/>
    <w:rsid w:val="00807CA3"/>
    <w:rsid w:val="00807EC1"/>
    <w:rsid w:val="00810375"/>
    <w:rsid w:val="00813AA3"/>
    <w:rsid w:val="0082048F"/>
    <w:rsid w:val="008244A0"/>
    <w:rsid w:val="00824A6F"/>
    <w:rsid w:val="00827897"/>
    <w:rsid w:val="008426BF"/>
    <w:rsid w:val="00843AFF"/>
    <w:rsid w:val="008450AE"/>
    <w:rsid w:val="00853D5D"/>
    <w:rsid w:val="00863932"/>
    <w:rsid w:val="0086495E"/>
    <w:rsid w:val="00872418"/>
    <w:rsid w:val="0088000B"/>
    <w:rsid w:val="00883D6C"/>
    <w:rsid w:val="008A148F"/>
    <w:rsid w:val="008A3A40"/>
    <w:rsid w:val="008A5359"/>
    <w:rsid w:val="008A7EBC"/>
    <w:rsid w:val="008B1409"/>
    <w:rsid w:val="008B79DC"/>
    <w:rsid w:val="008C21DF"/>
    <w:rsid w:val="008C5B97"/>
    <w:rsid w:val="008C7399"/>
    <w:rsid w:val="008C7454"/>
    <w:rsid w:val="008D3D30"/>
    <w:rsid w:val="008F03B9"/>
    <w:rsid w:val="0090021E"/>
    <w:rsid w:val="00902539"/>
    <w:rsid w:val="00906286"/>
    <w:rsid w:val="00906E66"/>
    <w:rsid w:val="00913F06"/>
    <w:rsid w:val="00914F39"/>
    <w:rsid w:val="00917D5F"/>
    <w:rsid w:val="0092018E"/>
    <w:rsid w:val="0092573C"/>
    <w:rsid w:val="00927013"/>
    <w:rsid w:val="00927D02"/>
    <w:rsid w:val="00931867"/>
    <w:rsid w:val="00932BF3"/>
    <w:rsid w:val="00941A3D"/>
    <w:rsid w:val="00944EB4"/>
    <w:rsid w:val="00952B34"/>
    <w:rsid w:val="00963A72"/>
    <w:rsid w:val="009677EB"/>
    <w:rsid w:val="009815D4"/>
    <w:rsid w:val="00994673"/>
    <w:rsid w:val="00995051"/>
    <w:rsid w:val="009A05A2"/>
    <w:rsid w:val="009A4B86"/>
    <w:rsid w:val="009B7E26"/>
    <w:rsid w:val="009C2358"/>
    <w:rsid w:val="009C2F8B"/>
    <w:rsid w:val="009D1406"/>
    <w:rsid w:val="009D4E84"/>
    <w:rsid w:val="009E651E"/>
    <w:rsid w:val="009E74ED"/>
    <w:rsid w:val="009F0577"/>
    <w:rsid w:val="009F1D79"/>
    <w:rsid w:val="009F288F"/>
    <w:rsid w:val="009F2B9E"/>
    <w:rsid w:val="00A051FC"/>
    <w:rsid w:val="00A057C6"/>
    <w:rsid w:val="00A23AC4"/>
    <w:rsid w:val="00A277EB"/>
    <w:rsid w:val="00A32590"/>
    <w:rsid w:val="00A355BD"/>
    <w:rsid w:val="00A463A1"/>
    <w:rsid w:val="00A471F7"/>
    <w:rsid w:val="00A4737B"/>
    <w:rsid w:val="00A540D2"/>
    <w:rsid w:val="00A57472"/>
    <w:rsid w:val="00A62D0C"/>
    <w:rsid w:val="00A664C6"/>
    <w:rsid w:val="00A67DF0"/>
    <w:rsid w:val="00A85394"/>
    <w:rsid w:val="00A86D97"/>
    <w:rsid w:val="00A9796C"/>
    <w:rsid w:val="00AA01BD"/>
    <w:rsid w:val="00AA223E"/>
    <w:rsid w:val="00AA2C46"/>
    <w:rsid w:val="00AA47FE"/>
    <w:rsid w:val="00AA684C"/>
    <w:rsid w:val="00AB02C1"/>
    <w:rsid w:val="00AB06CB"/>
    <w:rsid w:val="00AB5AE4"/>
    <w:rsid w:val="00AD1B1B"/>
    <w:rsid w:val="00AE0903"/>
    <w:rsid w:val="00AF142E"/>
    <w:rsid w:val="00AF524B"/>
    <w:rsid w:val="00B10F3C"/>
    <w:rsid w:val="00B11A02"/>
    <w:rsid w:val="00B1342E"/>
    <w:rsid w:val="00B14B8F"/>
    <w:rsid w:val="00B270CC"/>
    <w:rsid w:val="00B31357"/>
    <w:rsid w:val="00B41640"/>
    <w:rsid w:val="00B43F6F"/>
    <w:rsid w:val="00B45CB6"/>
    <w:rsid w:val="00B5050B"/>
    <w:rsid w:val="00B52B15"/>
    <w:rsid w:val="00B55B22"/>
    <w:rsid w:val="00B55D3D"/>
    <w:rsid w:val="00B60476"/>
    <w:rsid w:val="00B60841"/>
    <w:rsid w:val="00B63399"/>
    <w:rsid w:val="00B77C37"/>
    <w:rsid w:val="00B87AC0"/>
    <w:rsid w:val="00BA2E58"/>
    <w:rsid w:val="00BA44E0"/>
    <w:rsid w:val="00BA5EFA"/>
    <w:rsid w:val="00BC3937"/>
    <w:rsid w:val="00BC7B95"/>
    <w:rsid w:val="00BD6A84"/>
    <w:rsid w:val="00BE34F5"/>
    <w:rsid w:val="00BE5164"/>
    <w:rsid w:val="00BF08D5"/>
    <w:rsid w:val="00BF1B0B"/>
    <w:rsid w:val="00C00FE2"/>
    <w:rsid w:val="00C1704E"/>
    <w:rsid w:val="00C27639"/>
    <w:rsid w:val="00C34A67"/>
    <w:rsid w:val="00C3704B"/>
    <w:rsid w:val="00C3759E"/>
    <w:rsid w:val="00C37EE3"/>
    <w:rsid w:val="00C63237"/>
    <w:rsid w:val="00C67778"/>
    <w:rsid w:val="00C70939"/>
    <w:rsid w:val="00C77EB7"/>
    <w:rsid w:val="00C82E0F"/>
    <w:rsid w:val="00C9532F"/>
    <w:rsid w:val="00C97E25"/>
    <w:rsid w:val="00CA1FE2"/>
    <w:rsid w:val="00CA2081"/>
    <w:rsid w:val="00CB5E85"/>
    <w:rsid w:val="00CD3821"/>
    <w:rsid w:val="00CD40EE"/>
    <w:rsid w:val="00CE28AA"/>
    <w:rsid w:val="00CF0F18"/>
    <w:rsid w:val="00CF2364"/>
    <w:rsid w:val="00CF5001"/>
    <w:rsid w:val="00D17F33"/>
    <w:rsid w:val="00D22646"/>
    <w:rsid w:val="00D22E22"/>
    <w:rsid w:val="00D32A35"/>
    <w:rsid w:val="00D32F0E"/>
    <w:rsid w:val="00D40158"/>
    <w:rsid w:val="00D43C46"/>
    <w:rsid w:val="00D44B7D"/>
    <w:rsid w:val="00D50619"/>
    <w:rsid w:val="00D51FA2"/>
    <w:rsid w:val="00D62A9A"/>
    <w:rsid w:val="00D6466D"/>
    <w:rsid w:val="00D66109"/>
    <w:rsid w:val="00D7475F"/>
    <w:rsid w:val="00D84A74"/>
    <w:rsid w:val="00D9729A"/>
    <w:rsid w:val="00DA0B91"/>
    <w:rsid w:val="00DA1035"/>
    <w:rsid w:val="00DA11C4"/>
    <w:rsid w:val="00DA608E"/>
    <w:rsid w:val="00DA6C9A"/>
    <w:rsid w:val="00DB1679"/>
    <w:rsid w:val="00DB4CC2"/>
    <w:rsid w:val="00DB6E32"/>
    <w:rsid w:val="00DB7395"/>
    <w:rsid w:val="00DC24E1"/>
    <w:rsid w:val="00DC299B"/>
    <w:rsid w:val="00DC2F5E"/>
    <w:rsid w:val="00DC73AD"/>
    <w:rsid w:val="00DD1848"/>
    <w:rsid w:val="00DD6833"/>
    <w:rsid w:val="00DD7823"/>
    <w:rsid w:val="00DE1578"/>
    <w:rsid w:val="00DE1D73"/>
    <w:rsid w:val="00DE4093"/>
    <w:rsid w:val="00DE70B5"/>
    <w:rsid w:val="00DF470C"/>
    <w:rsid w:val="00DF558B"/>
    <w:rsid w:val="00DF76EA"/>
    <w:rsid w:val="00E01CCF"/>
    <w:rsid w:val="00E04C03"/>
    <w:rsid w:val="00E1178E"/>
    <w:rsid w:val="00E121D1"/>
    <w:rsid w:val="00E13FEB"/>
    <w:rsid w:val="00E2189B"/>
    <w:rsid w:val="00E257C6"/>
    <w:rsid w:val="00E3135C"/>
    <w:rsid w:val="00E31506"/>
    <w:rsid w:val="00E34CAB"/>
    <w:rsid w:val="00E666ED"/>
    <w:rsid w:val="00E70080"/>
    <w:rsid w:val="00E74893"/>
    <w:rsid w:val="00E75299"/>
    <w:rsid w:val="00E81ACD"/>
    <w:rsid w:val="00E914E2"/>
    <w:rsid w:val="00E91F66"/>
    <w:rsid w:val="00EB2016"/>
    <w:rsid w:val="00ED7B1A"/>
    <w:rsid w:val="00EE2D9C"/>
    <w:rsid w:val="00EE4C68"/>
    <w:rsid w:val="00EE5DD5"/>
    <w:rsid w:val="00EE7184"/>
    <w:rsid w:val="00EF64C7"/>
    <w:rsid w:val="00F04642"/>
    <w:rsid w:val="00F2230D"/>
    <w:rsid w:val="00F375C2"/>
    <w:rsid w:val="00F4466E"/>
    <w:rsid w:val="00F4490D"/>
    <w:rsid w:val="00F45FCD"/>
    <w:rsid w:val="00F47A9B"/>
    <w:rsid w:val="00F54441"/>
    <w:rsid w:val="00F544D4"/>
    <w:rsid w:val="00F56162"/>
    <w:rsid w:val="00F67548"/>
    <w:rsid w:val="00F75DD1"/>
    <w:rsid w:val="00F95AEE"/>
    <w:rsid w:val="00FA08C6"/>
    <w:rsid w:val="00FA4A17"/>
    <w:rsid w:val="00FA4B87"/>
    <w:rsid w:val="00FB7CE5"/>
    <w:rsid w:val="00FC11C7"/>
    <w:rsid w:val="00FD1410"/>
    <w:rsid w:val="00FD227E"/>
    <w:rsid w:val="00FD3744"/>
    <w:rsid w:val="00FD4896"/>
    <w:rsid w:val="00FD6BC7"/>
    <w:rsid w:val="00FE67FA"/>
    <w:rsid w:val="00FF2243"/>
    <w:rsid w:val="00FF2EE2"/>
    <w:rsid w:val="00FF6380"/>
    <w:rsid w:val="00FF7E44"/>
    <w:rsid w:val="011B6E44"/>
    <w:rsid w:val="019C3329"/>
    <w:rsid w:val="01FB7FA9"/>
    <w:rsid w:val="03CC5E21"/>
    <w:rsid w:val="04386014"/>
    <w:rsid w:val="049763B0"/>
    <w:rsid w:val="04E81A96"/>
    <w:rsid w:val="07976AFA"/>
    <w:rsid w:val="0A707BE3"/>
    <w:rsid w:val="0AF85875"/>
    <w:rsid w:val="0E925C26"/>
    <w:rsid w:val="0EBA2C39"/>
    <w:rsid w:val="0F1E67CB"/>
    <w:rsid w:val="0F326B33"/>
    <w:rsid w:val="1134364D"/>
    <w:rsid w:val="11C82C74"/>
    <w:rsid w:val="12C1660B"/>
    <w:rsid w:val="134F6756"/>
    <w:rsid w:val="141C4E05"/>
    <w:rsid w:val="142F448D"/>
    <w:rsid w:val="14DC1B42"/>
    <w:rsid w:val="158B3E32"/>
    <w:rsid w:val="16071C99"/>
    <w:rsid w:val="163516D8"/>
    <w:rsid w:val="1697252A"/>
    <w:rsid w:val="171C26AD"/>
    <w:rsid w:val="179656F4"/>
    <w:rsid w:val="19864C92"/>
    <w:rsid w:val="1AFE7D01"/>
    <w:rsid w:val="1B20505E"/>
    <w:rsid w:val="1B7C419A"/>
    <w:rsid w:val="1C91785A"/>
    <w:rsid w:val="1D571CD4"/>
    <w:rsid w:val="1D7160DC"/>
    <w:rsid w:val="1D94745E"/>
    <w:rsid w:val="1F733748"/>
    <w:rsid w:val="212D30C2"/>
    <w:rsid w:val="22541B75"/>
    <w:rsid w:val="236463D8"/>
    <w:rsid w:val="23AE1977"/>
    <w:rsid w:val="23B05F90"/>
    <w:rsid w:val="24D7494F"/>
    <w:rsid w:val="255C032B"/>
    <w:rsid w:val="26362178"/>
    <w:rsid w:val="2751194B"/>
    <w:rsid w:val="27A33E5C"/>
    <w:rsid w:val="291F557A"/>
    <w:rsid w:val="295039D0"/>
    <w:rsid w:val="2BCA0955"/>
    <w:rsid w:val="2E6349DF"/>
    <w:rsid w:val="2FD00519"/>
    <w:rsid w:val="300267C0"/>
    <w:rsid w:val="313E33BE"/>
    <w:rsid w:val="31541935"/>
    <w:rsid w:val="328F5FEE"/>
    <w:rsid w:val="32C20171"/>
    <w:rsid w:val="369055E7"/>
    <w:rsid w:val="39B907F2"/>
    <w:rsid w:val="3B564F05"/>
    <w:rsid w:val="3CF95AB6"/>
    <w:rsid w:val="3CFC7187"/>
    <w:rsid w:val="3E464979"/>
    <w:rsid w:val="40B82BB4"/>
    <w:rsid w:val="42BC2387"/>
    <w:rsid w:val="433C2AC3"/>
    <w:rsid w:val="43596B66"/>
    <w:rsid w:val="43BD0082"/>
    <w:rsid w:val="43E06C37"/>
    <w:rsid w:val="43E752BB"/>
    <w:rsid w:val="44737E15"/>
    <w:rsid w:val="45383FDB"/>
    <w:rsid w:val="46502904"/>
    <w:rsid w:val="46A62937"/>
    <w:rsid w:val="46AE2BB4"/>
    <w:rsid w:val="46CD65FC"/>
    <w:rsid w:val="470E352E"/>
    <w:rsid w:val="48477783"/>
    <w:rsid w:val="494E5DA2"/>
    <w:rsid w:val="497F2A01"/>
    <w:rsid w:val="49EA439D"/>
    <w:rsid w:val="4A37498A"/>
    <w:rsid w:val="4A7A68AA"/>
    <w:rsid w:val="4B041817"/>
    <w:rsid w:val="4B9205ED"/>
    <w:rsid w:val="4BD06495"/>
    <w:rsid w:val="4DE34DA0"/>
    <w:rsid w:val="4E166EC4"/>
    <w:rsid w:val="4F5021E8"/>
    <w:rsid w:val="50A64597"/>
    <w:rsid w:val="511A43D2"/>
    <w:rsid w:val="521F5184"/>
    <w:rsid w:val="541D7B30"/>
    <w:rsid w:val="55137562"/>
    <w:rsid w:val="55390B98"/>
    <w:rsid w:val="57881175"/>
    <w:rsid w:val="582938AC"/>
    <w:rsid w:val="583E4856"/>
    <w:rsid w:val="58CD07F6"/>
    <w:rsid w:val="59A05DE5"/>
    <w:rsid w:val="5A13102C"/>
    <w:rsid w:val="5AB04908"/>
    <w:rsid w:val="5D31603A"/>
    <w:rsid w:val="5D8323A3"/>
    <w:rsid w:val="5E0050FE"/>
    <w:rsid w:val="5E6A32E8"/>
    <w:rsid w:val="625614D2"/>
    <w:rsid w:val="63917F23"/>
    <w:rsid w:val="6608578D"/>
    <w:rsid w:val="67FB2D90"/>
    <w:rsid w:val="692A78CC"/>
    <w:rsid w:val="69D13342"/>
    <w:rsid w:val="6AC87D41"/>
    <w:rsid w:val="6DE230A3"/>
    <w:rsid w:val="6F595014"/>
    <w:rsid w:val="7011663B"/>
    <w:rsid w:val="712F2EB4"/>
    <w:rsid w:val="71C21646"/>
    <w:rsid w:val="743E5725"/>
    <w:rsid w:val="744568C7"/>
    <w:rsid w:val="76334C8B"/>
    <w:rsid w:val="777F29A0"/>
    <w:rsid w:val="77B618C5"/>
    <w:rsid w:val="77BE2463"/>
    <w:rsid w:val="79DF2984"/>
    <w:rsid w:val="7AB57A3E"/>
    <w:rsid w:val="7B120314"/>
    <w:rsid w:val="7C416CBD"/>
    <w:rsid w:val="7D0849F6"/>
    <w:rsid w:val="7D391BCA"/>
    <w:rsid w:val="7E6F2AFC"/>
    <w:rsid w:val="7F73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pPr>
    <w:rPr>
      <w:rFonts w:ascii="Times New Roman" w:hAnsi="Times New Roman" w:eastAsia="宋体" w:cs="Times New Roman"/>
      <w:sz w:val="21"/>
      <w:lang w:val="en-GB" w:eastAsia="zh-CN" w:bidi="ar-SA"/>
    </w:rPr>
  </w:style>
  <w:style w:type="paragraph" w:styleId="2">
    <w:name w:val="heading 1"/>
    <w:next w:val="3"/>
    <w:link w:val="25"/>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7"/>
    <w:qFormat/>
    <w:uiPriority w:val="0"/>
    <w:pPr>
      <w:keepNext/>
      <w:numPr>
        <w:ilvl w:val="1"/>
        <w:numId w:val="1"/>
      </w:numPr>
      <w:tabs>
        <w:tab w:val="left" w:pos="432"/>
        <w:tab w:val="left" w:pos="578"/>
      </w:tabs>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tabs>
        <w:tab w:val="left" w:pos="432"/>
      </w:tabs>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tabs>
        <w:tab w:val="left" w:pos="432"/>
      </w:tabs>
      <w:spacing w:before="240" w:after="60"/>
      <w:outlineLvl w:val="3"/>
    </w:pPr>
    <w:rPr>
      <w:b/>
      <w:bCs/>
      <w:szCs w:val="28"/>
    </w:rPr>
  </w:style>
  <w:style w:type="paragraph" w:styleId="7">
    <w:name w:val="heading 5"/>
    <w:basedOn w:val="1"/>
    <w:next w:val="1"/>
    <w:qFormat/>
    <w:uiPriority w:val="0"/>
    <w:pPr>
      <w:numPr>
        <w:ilvl w:val="4"/>
        <w:numId w:val="1"/>
      </w:numPr>
      <w:tabs>
        <w:tab w:val="left" w:pos="432"/>
      </w:tabs>
      <w:spacing w:before="240" w:after="60"/>
      <w:outlineLvl w:val="4"/>
    </w:pPr>
    <w:rPr>
      <w:b/>
      <w:bCs/>
      <w:iCs/>
      <w:szCs w:val="26"/>
    </w:rPr>
  </w:style>
  <w:style w:type="paragraph" w:styleId="8">
    <w:name w:val="heading 6"/>
    <w:basedOn w:val="1"/>
    <w:next w:val="1"/>
    <w:qFormat/>
    <w:uiPriority w:val="0"/>
    <w:pPr>
      <w:numPr>
        <w:ilvl w:val="5"/>
        <w:numId w:val="1"/>
      </w:numPr>
      <w:tabs>
        <w:tab w:val="left" w:pos="432"/>
      </w:tabs>
      <w:spacing w:before="240" w:after="60"/>
      <w:outlineLvl w:val="5"/>
    </w:pPr>
    <w:rPr>
      <w:b/>
      <w:bCs/>
      <w:szCs w:val="22"/>
    </w:rPr>
  </w:style>
  <w:style w:type="paragraph" w:styleId="9">
    <w:name w:val="heading 7"/>
    <w:basedOn w:val="1"/>
    <w:next w:val="1"/>
    <w:qFormat/>
    <w:uiPriority w:val="0"/>
    <w:pPr>
      <w:numPr>
        <w:ilvl w:val="6"/>
        <w:numId w:val="1"/>
      </w:numPr>
      <w:tabs>
        <w:tab w:val="left" w:pos="432"/>
      </w:tabs>
      <w:spacing w:before="240" w:after="60"/>
      <w:outlineLvl w:val="6"/>
    </w:pPr>
    <w:rPr>
      <w:sz w:val="24"/>
      <w:szCs w:val="24"/>
    </w:rPr>
  </w:style>
  <w:style w:type="paragraph" w:styleId="10">
    <w:name w:val="heading 8"/>
    <w:basedOn w:val="1"/>
    <w:next w:val="1"/>
    <w:qFormat/>
    <w:uiPriority w:val="0"/>
    <w:pPr>
      <w:numPr>
        <w:ilvl w:val="7"/>
        <w:numId w:val="1"/>
      </w:numPr>
      <w:tabs>
        <w:tab w:val="left" w:pos="432"/>
      </w:tabs>
      <w:spacing w:before="240" w:after="60"/>
      <w:outlineLvl w:val="7"/>
    </w:pPr>
    <w:rPr>
      <w:i/>
      <w:iCs/>
      <w:sz w:val="24"/>
      <w:szCs w:val="24"/>
    </w:rPr>
  </w:style>
  <w:style w:type="paragraph" w:styleId="11">
    <w:name w:val="heading 9"/>
    <w:basedOn w:val="1"/>
    <w:next w:val="1"/>
    <w:qFormat/>
    <w:uiPriority w:val="0"/>
    <w:pPr>
      <w:numPr>
        <w:ilvl w:val="8"/>
        <w:numId w:val="1"/>
      </w:numPr>
      <w:tabs>
        <w:tab w:val="left" w:pos="432"/>
      </w:tabs>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6"/>
    <w:uiPriority w:val="0"/>
    <w:rPr>
      <w:sz w:val="18"/>
      <w:szCs w:val="18"/>
    </w:rPr>
  </w:style>
  <w:style w:type="paragraph" w:styleId="15">
    <w:name w:val="footer"/>
    <w:basedOn w:val="1"/>
    <w:uiPriority w:val="0"/>
    <w:pPr>
      <w:tabs>
        <w:tab w:val="center" w:pos="4153"/>
        <w:tab w:val="right" w:pos="8306"/>
      </w:tabs>
      <w:snapToGrid w:val="0"/>
    </w:pPr>
    <w:rPr>
      <w:szCs w:val="18"/>
    </w:rPr>
  </w:style>
  <w:style w:type="paragraph" w:styleId="16">
    <w:name w:val="header"/>
    <w:basedOn w:val="1"/>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paragraph" w:styleId="24">
    <w:name w:val="List Paragraph"/>
    <w:basedOn w:val="1"/>
    <w:qFormat/>
    <w:uiPriority w:val="34"/>
    <w:pPr>
      <w:ind w:firstLine="420"/>
    </w:pPr>
  </w:style>
  <w:style w:type="character" w:customStyle="1" w:styleId="25">
    <w:name w:val="标题 1 字符"/>
    <w:basedOn w:val="21"/>
    <w:link w:val="2"/>
    <w:qFormat/>
    <w:uiPriority w:val="0"/>
    <w:rPr>
      <w:b/>
      <w:bCs/>
      <w:kern w:val="32"/>
      <w:sz w:val="28"/>
      <w:szCs w:val="28"/>
    </w:rPr>
  </w:style>
  <w:style w:type="character" w:customStyle="1" w:styleId="26">
    <w:name w:val="批注框文本 字符"/>
    <w:basedOn w:val="21"/>
    <w:link w:val="14"/>
    <w:uiPriority w:val="0"/>
    <w:rPr>
      <w:sz w:val="18"/>
      <w:szCs w:val="18"/>
      <w:lang w:val="en-GB"/>
    </w:rPr>
  </w:style>
  <w:style w:type="character" w:customStyle="1" w:styleId="27">
    <w:name w:val="标题 2 字符"/>
    <w:link w:val="4"/>
    <w:qFormat/>
    <w:uiPriority w:val="0"/>
    <w:rPr>
      <w:rFonts w:ascii="宋体" w:cs="Arial"/>
      <w:b/>
      <w:bCs/>
      <w:iCs/>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bmp"/><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duoyu\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20</Pages>
  <Words>8225</Words>
  <Characters>12412</Characters>
  <Lines>78</Lines>
  <Paragraphs>22</Paragraphs>
  <TotalTime>7</TotalTime>
  <ScaleCrop>false</ScaleCrop>
  <LinksUpToDate>false</LinksUpToDate>
  <CharactersWithSpaces>12863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2024-11-26T10:33:00Z</dcterms:created>
  <dc:creator>WPS_1590190393</dc:creator>
  <cp:lastModifiedBy>WPS_1590190393</cp:lastModifiedBy>
  <dcterms:modified xsi:type="dcterms:W3CDTF">2024-11-26T10:41:51Z</dcterms:modified>
  <dc:title>绿色建筑全生命期碳排放报告书</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97587615E9784D26991162A1A1469E79_11</vt:lpwstr>
  </property>
</Properties>
</file>