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5EB93" w14:textId="77777777" w:rsidR="00170538" w:rsidRDefault="00000000">
      <w:pPr>
        <w:spacing w:after="0" w:line="360" w:lineRule="auto"/>
        <w:jc w:val="center"/>
        <w:outlineLvl w:val="0"/>
        <w:rPr>
          <w:rFonts w:ascii="黑体" w:eastAsia="黑体" w:hAnsi="黑体"/>
          <w:sz w:val="44"/>
          <w:szCs w:val="44"/>
        </w:rPr>
      </w:pPr>
      <w:bookmarkStart w:id="0" w:name="_Toc10731"/>
      <w:r>
        <w:rPr>
          <w:rFonts w:ascii="黑体" w:eastAsia="黑体" w:hAnsi="黑体"/>
          <w:sz w:val="44"/>
          <w:szCs w:val="44"/>
        </w:rPr>
        <w:t>实施方案</w:t>
      </w:r>
      <w:bookmarkEnd w:id="0"/>
    </w:p>
    <w:p w14:paraId="5FE05F15" w14:textId="77777777" w:rsidR="00DB3811" w:rsidRDefault="00DB3811">
      <w:pPr>
        <w:spacing w:after="0" w:line="360" w:lineRule="auto"/>
        <w:jc w:val="center"/>
        <w:outlineLvl w:val="0"/>
        <w:rPr>
          <w:rFonts w:ascii="黑体" w:eastAsia="黑体" w:hAnsi="黑体" w:hint="eastAsia"/>
          <w:sz w:val="44"/>
          <w:szCs w:val="44"/>
        </w:rPr>
      </w:pPr>
    </w:p>
    <w:p w14:paraId="0B4F007D" w14:textId="45B7060F" w:rsidR="00C91F1D" w:rsidRDefault="00DB3811" w:rsidP="00DB3811">
      <w:pPr>
        <w:spacing w:after="0" w:line="360" w:lineRule="auto"/>
        <w:outlineLvl w:val="0"/>
        <w:rPr>
          <w:rFonts w:ascii="黑体" w:eastAsia="黑体" w:hAnsi="黑体" w:hint="eastAsia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目录</w:t>
      </w:r>
    </w:p>
    <w:sdt>
      <w:sdtPr>
        <w:rPr>
          <w:rFonts w:ascii="宋体" w:eastAsia="宋体" w:hAnsi="宋体"/>
          <w:sz w:val="21"/>
        </w:rPr>
        <w:id w:val="147476001"/>
        <w15:color w:val="DBDBDB"/>
        <w:docPartObj>
          <w:docPartGallery w:val="Table of Contents"/>
          <w:docPartUnique/>
        </w:docPartObj>
      </w:sdtPr>
      <w:sdtEndPr>
        <w:rPr>
          <w:rFonts w:hint="eastAsia"/>
          <w:sz w:val="22"/>
          <w:szCs w:val="32"/>
        </w:rPr>
      </w:sdtEndPr>
      <w:sdtContent>
        <w:p w14:paraId="0F1D1F0B" w14:textId="09C68C68" w:rsidR="00170538" w:rsidRPr="00DB3811" w:rsidRDefault="00000000" w:rsidP="00DB3811">
          <w:pPr>
            <w:spacing w:after="0" w:line="240" w:lineRule="auto"/>
            <w:rPr>
              <w:rFonts w:ascii="黑体" w:eastAsia="黑体" w:hAnsi="黑体" w:hint="eastAsia"/>
              <w:b/>
              <w:bCs/>
              <w:sz w:val="30"/>
              <w:szCs w:val="30"/>
            </w:rPr>
          </w:pPr>
          <w:r w:rsidRPr="004F7947">
            <w:rPr>
              <w:rFonts w:ascii="黑体" w:eastAsia="黑体" w:hAnsi="黑体" w:hint="eastAsia"/>
              <w:sz w:val="24"/>
            </w:rPr>
            <w:fldChar w:fldCharType="begin"/>
          </w:r>
          <w:r w:rsidRPr="004F7947">
            <w:rPr>
              <w:rFonts w:ascii="黑体" w:eastAsia="黑体" w:hAnsi="黑体" w:hint="eastAsia"/>
              <w:sz w:val="24"/>
            </w:rPr>
            <w:instrText xml:space="preserve">TOC \o "1-3" \h \u </w:instrText>
          </w:r>
          <w:r w:rsidRPr="004F7947">
            <w:rPr>
              <w:rFonts w:ascii="黑体" w:eastAsia="黑体" w:hAnsi="黑体" w:hint="eastAsia"/>
              <w:sz w:val="24"/>
            </w:rPr>
            <w:fldChar w:fldCharType="separate"/>
          </w:r>
          <w:hyperlink w:anchor="_Toc10731" w:history="1"/>
        </w:p>
        <w:p w14:paraId="6B3CA9F5" w14:textId="0B1E5103" w:rsidR="00170538" w:rsidRPr="004F7947" w:rsidRDefault="00170538">
          <w:pPr>
            <w:pStyle w:val="TOC1"/>
            <w:tabs>
              <w:tab w:val="right" w:leader="dot" w:pos="8306"/>
            </w:tabs>
            <w:rPr>
              <w:rFonts w:ascii="黑体" w:eastAsia="黑体" w:hAnsi="黑体" w:hint="eastAsia"/>
              <w:noProof/>
              <w:sz w:val="24"/>
            </w:rPr>
          </w:pPr>
          <w:hyperlink w:anchor="_Toc16448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一、项目背景和目标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_Toc16448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3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1151085A" w14:textId="5CD3E99E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7875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（一）项目背景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_Toc7875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3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CBA3158" w14:textId="7EC2352C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7907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（二）项目目标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="00110E4B">
              <w:rPr>
                <w:rFonts w:ascii="黑体" w:eastAsia="黑体" w:hAnsi="黑体" w:hint="eastAsia"/>
                <w:noProof/>
                <w:sz w:val="24"/>
              </w:rPr>
              <w:t>4</w:t>
            </w:r>
          </w:hyperlink>
        </w:p>
        <w:p w14:paraId="3E03F634" w14:textId="0865249F" w:rsidR="00170538" w:rsidRPr="004F7947" w:rsidRDefault="00170538">
          <w:pPr>
            <w:pStyle w:val="TOC1"/>
            <w:tabs>
              <w:tab w:val="right" w:leader="dot" w:pos="8306"/>
            </w:tabs>
            <w:rPr>
              <w:rFonts w:ascii="黑体" w:eastAsia="黑体" w:hAnsi="黑体" w:hint="eastAsia"/>
              <w:noProof/>
              <w:sz w:val="24"/>
            </w:rPr>
          </w:pPr>
          <w:hyperlink w:anchor="_Toc2809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二、项目实施方案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_Toc2809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4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3908FED6" w14:textId="593F2487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776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（一）设计阶段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_Toc776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4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29251855" w14:textId="249F251B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8407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1. 复合能源系统设计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（地源热泵+冷却塔+太阳能复合能源系统）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_Toc8407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4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0F233E63" w14:textId="78B36271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17579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2. 光伏发电系统设计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_Toc17579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7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561D16B5" w14:textId="5B23630F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29657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3. 雨水回收系统设计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_Toc29657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8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34FD072E" w14:textId="38866FFF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7934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 xml:space="preserve">4. 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三玻两腔Low-E玻璃幕墙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围护结构节能设计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_Toc7934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9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A0938FD" w14:textId="53C27814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6509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5.</w:t>
            </w:r>
            <w:r w:rsidRPr="004F7947">
              <w:rPr>
                <w:rFonts w:ascii="黑体" w:eastAsia="黑体" w:hAnsi="黑体" w:hint="eastAsia"/>
                <w:noProof/>
                <w:sz w:val="24"/>
              </w:rPr>
              <w:t xml:space="preserve"> 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礼堂座椅通风+舞台区域高位侧通风设计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_Toc6509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10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7EDC3479" w14:textId="4AE0FB6F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1207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（二）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设备选型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_Toc1207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10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0D5FBBE" w14:textId="324FAB7A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2183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1. 地源热泵机组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_Toc2183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11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0C27968C" w14:textId="66E21BFF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27585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2. 冷却塔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_Toc27585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11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5C72943" w14:textId="200A3AEC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30464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3. 太阳能集热器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_Toc30464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12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2486D638" w14:textId="1AC46A46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29612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4. 储热水箱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_Toc29612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12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3D4E4E1" w14:textId="62D19A18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10977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5.光伏发电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_Toc10977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12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795D70F7" w14:textId="597B85F8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9284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（三）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施工阶段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_Toc9284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13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10C39CC8" w14:textId="3E3F2B6C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9988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A.源热泵+冷却塔+太阳能复合能源系统施工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_Toc9988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13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3B62719C" w14:textId="581BC1FB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11833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B.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光伏发电系统施工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_Toc11833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14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4AAD360D" w14:textId="658EA063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5550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C.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雨水回收系统施工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_Toc5550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15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71FF7C64" w14:textId="26706DEE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9668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D.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三玻两腔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Low-E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玻璃围护结构施工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_Toc9668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71540934" w14:textId="475BC971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10513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（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四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）运行与维护阶段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_Toc10513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3FF1F9EA" w14:textId="77EFA5DC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12200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1.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智能调控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系统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_Toc12200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410D60BF" w14:textId="6B394695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10462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2. 能源精细化管理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_Toc10462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18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394557F4" w14:textId="7A0E1EB7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6910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3.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设施定期维护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_Toc6910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18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344BF9F1" w14:textId="6CC3A99C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23876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4. 故障处理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_Toc23876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21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1C06545" w14:textId="089A9674" w:rsidR="00170538" w:rsidRPr="004F7947" w:rsidRDefault="00170538">
          <w:pPr>
            <w:pStyle w:val="TOC1"/>
            <w:tabs>
              <w:tab w:val="right" w:leader="dot" w:pos="8306"/>
            </w:tabs>
            <w:rPr>
              <w:rFonts w:ascii="黑体" w:eastAsia="黑体" w:hAnsi="黑体" w:hint="eastAsia"/>
              <w:noProof/>
              <w:sz w:val="24"/>
            </w:rPr>
          </w:pPr>
          <w:hyperlink w:anchor="_Toc30386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三、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项目全生命周期运行与维护管理实施方案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_Toc30386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23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2CF9F64A" w14:textId="068A9D15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19219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1.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智能化监测体系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_Toc19219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23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0C6A2FC8" w14:textId="15AD049A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26526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2.</w:t>
            </w:r>
            <w:r w:rsidRPr="004F7947">
              <w:rPr>
                <w:rFonts w:ascii="黑体" w:eastAsia="黑体" w:hAnsi="黑体"/>
                <w:bCs/>
                <w:noProof/>
                <w:sz w:val="24"/>
              </w:rPr>
              <w:t>设备维护管理机制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_Toc26526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24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0B7B64A" w14:textId="35804F3D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4579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>3. 节能宣传与用户参与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_Toc4579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25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02D91C4A" w14:textId="2B765298" w:rsidR="00170538" w:rsidRPr="004F7947" w:rsidRDefault="00170538">
          <w:pPr>
            <w:pStyle w:val="TOC1"/>
            <w:tabs>
              <w:tab w:val="right" w:leader="dot" w:pos="8306"/>
            </w:tabs>
            <w:rPr>
              <w:rFonts w:ascii="黑体" w:eastAsia="黑体" w:hAnsi="黑体" w:hint="eastAsia"/>
              <w:noProof/>
              <w:sz w:val="24"/>
            </w:rPr>
          </w:pPr>
          <w:hyperlink w:anchor="_Toc27800" w:history="1">
            <w:r w:rsidRPr="004F7947">
              <w:rPr>
                <w:rFonts w:ascii="黑体" w:eastAsia="黑体" w:hAnsi="黑体"/>
                <w:noProof/>
                <w:sz w:val="24"/>
              </w:rPr>
              <w:t>四、实施结果效能对比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_Toc27800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5E1EE978" w14:textId="566F7987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1121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1.采光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_Toc1121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2EF8F57" w14:textId="7C908B9C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26618" w:history="1">
            <w:r w:rsidRPr="004F7947">
              <w:rPr>
                <w:rFonts w:ascii="黑体" w:eastAsia="黑体" w:hAnsi="黑体" w:hint="eastAsia"/>
                <w:noProof/>
                <w:sz w:val="24"/>
              </w:rPr>
              <w:t>a.改造前: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_Toc26618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1B5AD8EB" w14:textId="71FAC74C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5183" w:history="1">
            <w:r w:rsidRPr="004F7947">
              <w:rPr>
                <w:rFonts w:ascii="黑体" w:eastAsia="黑体" w:hAnsi="黑体" w:hint="eastAsia"/>
                <w:noProof/>
                <w:sz w:val="24"/>
              </w:rPr>
              <w:t>b.改造后：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_Toc5183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074080D2" w14:textId="3CD18603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17007" w:history="1"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2.碳排放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_Toc17007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509ABCC6" w14:textId="5FF8F78A" w:rsidR="00170538" w:rsidRPr="004F7947" w:rsidRDefault="00170538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hyperlink w:anchor="_Toc13906" w:history="1">
            <w:r w:rsidRPr="004F7947">
              <w:rPr>
                <w:rFonts w:ascii="黑体" w:eastAsia="黑体" w:hAnsi="黑体" w:hint="eastAsia"/>
                <w:noProof/>
                <w:sz w:val="24"/>
              </w:rPr>
              <w:t>a.改造前：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_Toc13906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26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5B48D284" w14:textId="2D54720F" w:rsidR="00170538" w:rsidRPr="004F7947" w:rsidRDefault="00000000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noProof/>
              <w:sz w:val="24"/>
            </w:rPr>
          </w:pPr>
          <w:r w:rsidRPr="004F7947">
            <w:rPr>
              <w:rFonts w:ascii="黑体" w:eastAsia="黑体" w:hAnsi="黑体" w:hint="eastAsia"/>
              <w:noProof/>
              <w:sz w:val="24"/>
            </w:rPr>
            <w:t>b.改造</w:t>
          </w:r>
          <w:hyperlink w:anchor="_Toc22784" w:history="1">
            <w:r w:rsidR="00170538" w:rsidRPr="004F7947">
              <w:rPr>
                <w:rFonts w:ascii="黑体" w:eastAsia="黑体" w:hAnsi="黑体" w:hint="eastAsia"/>
                <w:noProof/>
                <w:sz w:val="24"/>
              </w:rPr>
              <w:t>后：</w:t>
            </w:r>
            <w:r w:rsidR="00170538"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="00170538"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="00170538" w:rsidRPr="004F7947">
              <w:rPr>
                <w:rFonts w:ascii="黑体" w:eastAsia="黑体" w:hAnsi="黑体"/>
                <w:noProof/>
                <w:sz w:val="24"/>
              </w:rPr>
              <w:instrText xml:space="preserve"> PAGEREF _Toc22784 \h </w:instrText>
            </w:r>
            <w:r w:rsidR="00170538" w:rsidRPr="004F7947">
              <w:rPr>
                <w:rFonts w:ascii="黑体" w:eastAsia="黑体" w:hAnsi="黑体"/>
                <w:noProof/>
                <w:sz w:val="24"/>
              </w:rPr>
            </w:r>
            <w:r w:rsidR="00170538"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 w:rsidR="00170538">
              <w:rPr>
                <w:rFonts w:ascii="黑体" w:eastAsia="黑体" w:hAnsi="黑体" w:hint="eastAsia"/>
                <w:noProof/>
                <w:sz w:val="24"/>
              </w:rPr>
              <w:t>27</w:t>
            </w:r>
            <w:r w:rsidR="00170538"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13C102F3" w14:textId="7F0228FB" w:rsidR="00170538" w:rsidRPr="004F7947" w:rsidRDefault="00170538">
          <w:pPr>
            <w:pStyle w:val="TOC2"/>
            <w:tabs>
              <w:tab w:val="right" w:leader="dot" w:pos="8306"/>
            </w:tabs>
            <w:ind w:left="440"/>
            <w:rPr>
              <w:rFonts w:ascii="黑体" w:eastAsia="黑体" w:hAnsi="黑体" w:hint="eastAsia"/>
              <w:noProof/>
              <w:sz w:val="24"/>
            </w:rPr>
          </w:pPr>
          <w:hyperlink w:anchor="_Toc18655" w:history="1">
            <w:r w:rsidRPr="004F7947">
              <w:rPr>
                <w:rFonts w:ascii="黑体" w:eastAsia="黑体" w:hAnsi="黑体"/>
                <w:bCs/>
                <w:noProof/>
                <w:sz w:val="24"/>
              </w:rPr>
              <w:t xml:space="preserve">3. </w:t>
            </w:r>
            <w:r w:rsidRPr="004F7947">
              <w:rPr>
                <w:rFonts w:ascii="黑体" w:eastAsia="黑体" w:hAnsi="黑体" w:hint="eastAsia"/>
                <w:bCs/>
                <w:noProof/>
                <w:sz w:val="24"/>
              </w:rPr>
              <w:t>能耗</w:t>
            </w:r>
            <w:r w:rsidRPr="004F7947">
              <w:rPr>
                <w:rFonts w:ascii="黑体" w:eastAsia="黑体" w:hAnsi="黑体"/>
                <w:noProof/>
                <w:sz w:val="24"/>
              </w:rPr>
              <w:tab/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begin"/>
            </w:r>
            <w:r w:rsidRPr="004F7947">
              <w:rPr>
                <w:rFonts w:ascii="黑体" w:eastAsia="黑体" w:hAnsi="黑体"/>
                <w:noProof/>
                <w:sz w:val="24"/>
              </w:rPr>
              <w:instrText xml:space="preserve"> PAGEREF _Toc18655 \h </w:instrText>
            </w:r>
            <w:r w:rsidRPr="004F7947">
              <w:rPr>
                <w:rFonts w:ascii="黑体" w:eastAsia="黑体" w:hAnsi="黑体"/>
                <w:noProof/>
                <w:sz w:val="24"/>
              </w:rPr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separate"/>
            </w:r>
            <w:r>
              <w:rPr>
                <w:rFonts w:ascii="黑体" w:eastAsia="黑体" w:hAnsi="黑体" w:hint="eastAsia"/>
                <w:noProof/>
                <w:sz w:val="24"/>
              </w:rPr>
              <w:t>27</w:t>
            </w:r>
            <w:r w:rsidRPr="004F7947">
              <w:rPr>
                <w:rFonts w:ascii="黑体" w:eastAsia="黑体" w:hAnsi="黑体"/>
                <w:noProof/>
                <w:sz w:val="24"/>
              </w:rPr>
              <w:fldChar w:fldCharType="end"/>
            </w:r>
          </w:hyperlink>
        </w:p>
        <w:p w14:paraId="6E9AD474" w14:textId="4BEBDD5B" w:rsidR="00170538" w:rsidRPr="004F7947" w:rsidRDefault="00000000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sz w:val="24"/>
            </w:rPr>
          </w:pPr>
          <w:r w:rsidRPr="004F7947">
            <w:rPr>
              <w:rFonts w:ascii="黑体" w:eastAsia="黑体" w:hAnsi="黑体" w:hint="eastAsia"/>
              <w:sz w:val="24"/>
            </w:rPr>
            <w:fldChar w:fldCharType="end"/>
          </w:r>
          <w:hyperlink w:anchor="_Toc13906" w:history="1">
            <w:r w:rsidR="00170538" w:rsidRPr="004F7947">
              <w:rPr>
                <w:rFonts w:ascii="黑体" w:eastAsia="黑体" w:hAnsi="黑体" w:hint="eastAsia"/>
                <w:sz w:val="24"/>
              </w:rPr>
              <w:t>a.改造前：</w:t>
            </w:r>
            <w:r w:rsidR="00170538" w:rsidRPr="004F7947">
              <w:rPr>
                <w:rFonts w:ascii="黑体" w:eastAsia="黑体" w:hAnsi="黑体"/>
                <w:sz w:val="24"/>
              </w:rPr>
              <w:tab/>
            </w:r>
            <w:r w:rsidR="00170538" w:rsidRPr="004F7947">
              <w:rPr>
                <w:rFonts w:ascii="黑体" w:eastAsia="黑体" w:hAnsi="黑体" w:hint="eastAsia"/>
                <w:sz w:val="24"/>
              </w:rPr>
              <w:t>2</w:t>
            </w:r>
          </w:hyperlink>
          <w:r w:rsidR="00110E4B">
            <w:rPr>
              <w:rFonts w:ascii="黑体" w:eastAsia="黑体" w:hAnsi="黑体" w:hint="eastAsia"/>
              <w:sz w:val="24"/>
            </w:rPr>
            <w:t>8</w:t>
          </w:r>
        </w:p>
        <w:p w14:paraId="44D55E7A" w14:textId="0641BB31" w:rsidR="00170538" w:rsidRPr="004F7947" w:rsidRDefault="00000000">
          <w:pPr>
            <w:pStyle w:val="TOC3"/>
            <w:tabs>
              <w:tab w:val="right" w:leader="dot" w:pos="8306"/>
            </w:tabs>
            <w:ind w:left="880"/>
            <w:rPr>
              <w:rFonts w:ascii="黑体" w:eastAsia="黑体" w:hAnsi="黑体" w:hint="eastAsia"/>
              <w:sz w:val="24"/>
            </w:rPr>
          </w:pPr>
          <w:r w:rsidRPr="004F7947">
            <w:rPr>
              <w:rFonts w:ascii="黑体" w:eastAsia="黑体" w:hAnsi="黑体" w:hint="eastAsia"/>
              <w:sz w:val="24"/>
            </w:rPr>
            <w:t>b.改造</w:t>
          </w:r>
          <w:r w:rsidR="00170538">
            <w:fldChar w:fldCharType="begin"/>
          </w:r>
          <w:r w:rsidR="00170538">
            <w:instrText>HYPERLINK \l "_Toc22784"</w:instrText>
          </w:r>
          <w:r w:rsidR="00170538">
            <w:fldChar w:fldCharType="separate"/>
          </w:r>
          <w:r w:rsidR="00170538" w:rsidRPr="004F7947">
            <w:rPr>
              <w:rFonts w:ascii="黑体" w:eastAsia="黑体" w:hAnsi="黑体" w:hint="eastAsia"/>
              <w:sz w:val="24"/>
            </w:rPr>
            <w:t>后：</w:t>
          </w:r>
          <w:r w:rsidR="00170538" w:rsidRPr="004F7947">
            <w:rPr>
              <w:rFonts w:ascii="黑体" w:eastAsia="黑体" w:hAnsi="黑体"/>
              <w:sz w:val="24"/>
            </w:rPr>
            <w:tab/>
          </w:r>
          <w:r w:rsidR="00170538" w:rsidRPr="004F7947">
            <w:rPr>
              <w:rFonts w:ascii="黑体" w:eastAsia="黑体" w:hAnsi="黑体" w:hint="eastAsia"/>
              <w:sz w:val="24"/>
            </w:rPr>
            <w:t>2</w:t>
          </w:r>
          <w:r w:rsidR="00170538">
            <w:fldChar w:fldCharType="end"/>
          </w:r>
          <w:r w:rsidR="00110E4B">
            <w:rPr>
              <w:rFonts w:ascii="黑体" w:eastAsia="黑体" w:hAnsi="黑体" w:hint="eastAsia"/>
              <w:sz w:val="24"/>
            </w:rPr>
            <w:t>8</w:t>
          </w:r>
        </w:p>
        <w:p w14:paraId="48963D5F" w14:textId="77777777" w:rsidR="00170538" w:rsidRDefault="00000000">
          <w:pPr>
            <w:spacing w:after="0" w:line="360" w:lineRule="auto"/>
            <w:rPr>
              <w:rFonts w:ascii="宋体" w:eastAsia="宋体" w:hAnsi="宋体" w:hint="eastAsia"/>
              <w:szCs w:val="32"/>
            </w:rPr>
          </w:pPr>
        </w:p>
      </w:sdtContent>
    </w:sdt>
    <w:p w14:paraId="46BD3130" w14:textId="77777777" w:rsidR="00170538" w:rsidRDefault="00170538">
      <w:pPr>
        <w:spacing w:after="0" w:line="360" w:lineRule="auto"/>
        <w:rPr>
          <w:rFonts w:ascii="宋体" w:eastAsia="宋体" w:hAnsi="宋体" w:hint="eastAsia"/>
          <w:szCs w:val="32"/>
        </w:rPr>
      </w:pPr>
    </w:p>
    <w:p w14:paraId="6314E9CF" w14:textId="77777777" w:rsidR="00170538" w:rsidRDefault="00170538">
      <w:pPr>
        <w:spacing w:after="0" w:line="360" w:lineRule="auto"/>
        <w:outlineLvl w:val="0"/>
        <w:rPr>
          <w:rFonts w:ascii="宋体" w:eastAsia="宋体" w:hAnsi="宋体" w:hint="eastAsia"/>
          <w:b/>
          <w:bCs/>
          <w:sz w:val="32"/>
          <w:szCs w:val="32"/>
        </w:rPr>
      </w:pPr>
      <w:bookmarkStart w:id="1" w:name="_Toc16448"/>
    </w:p>
    <w:p w14:paraId="345A8F34" w14:textId="77777777" w:rsidR="00170538" w:rsidRDefault="00170538">
      <w:pPr>
        <w:spacing w:after="0" w:line="360" w:lineRule="auto"/>
        <w:outlineLvl w:val="0"/>
        <w:rPr>
          <w:rFonts w:ascii="宋体" w:eastAsia="宋体" w:hAnsi="宋体" w:hint="eastAsia"/>
          <w:b/>
          <w:bCs/>
          <w:sz w:val="32"/>
          <w:szCs w:val="32"/>
        </w:rPr>
      </w:pPr>
    </w:p>
    <w:p w14:paraId="633BBDC4" w14:textId="77777777" w:rsidR="00170538" w:rsidRDefault="00170538">
      <w:pPr>
        <w:spacing w:after="0" w:line="360" w:lineRule="auto"/>
        <w:outlineLvl w:val="0"/>
        <w:rPr>
          <w:rFonts w:ascii="宋体" w:eastAsia="宋体" w:hAnsi="宋体"/>
          <w:b/>
          <w:bCs/>
          <w:sz w:val="32"/>
          <w:szCs w:val="32"/>
        </w:rPr>
      </w:pPr>
    </w:p>
    <w:p w14:paraId="1F01BCAA" w14:textId="77777777" w:rsidR="00DB3811" w:rsidRDefault="00DB3811">
      <w:pPr>
        <w:spacing w:after="0" w:line="360" w:lineRule="auto"/>
        <w:outlineLvl w:val="0"/>
        <w:rPr>
          <w:rFonts w:ascii="宋体" w:eastAsia="宋体" w:hAnsi="宋体"/>
          <w:b/>
          <w:bCs/>
          <w:sz w:val="32"/>
          <w:szCs w:val="32"/>
        </w:rPr>
      </w:pPr>
    </w:p>
    <w:p w14:paraId="7C324C6C" w14:textId="77777777" w:rsidR="00DB3811" w:rsidRDefault="00DB3811">
      <w:pPr>
        <w:spacing w:after="0" w:line="360" w:lineRule="auto"/>
        <w:outlineLvl w:val="0"/>
        <w:rPr>
          <w:rFonts w:ascii="宋体" w:eastAsia="宋体" w:hAnsi="宋体" w:hint="eastAsia"/>
          <w:b/>
          <w:bCs/>
          <w:sz w:val="32"/>
          <w:szCs w:val="32"/>
        </w:rPr>
      </w:pPr>
    </w:p>
    <w:p w14:paraId="05EBFE98" w14:textId="77777777" w:rsidR="00170538" w:rsidRDefault="00000000">
      <w:pPr>
        <w:spacing w:after="0" w:line="360" w:lineRule="auto"/>
        <w:outlineLvl w:val="0"/>
        <w:rPr>
          <w:rFonts w:ascii="宋体" w:eastAsia="宋体" w:hAnsi="宋体" w:hint="eastAsia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一、项目背景和目标</w:t>
      </w:r>
      <w:bookmarkEnd w:id="1"/>
    </w:p>
    <w:p w14:paraId="4992C065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2" w:name="_Toc7875"/>
      <w:r>
        <w:rPr>
          <w:rFonts w:ascii="宋体" w:eastAsia="宋体" w:hAnsi="宋体"/>
          <w:b/>
          <w:bCs/>
          <w:sz w:val="30"/>
          <w:szCs w:val="30"/>
        </w:rPr>
        <w:t>（一）项目背景</w:t>
      </w:r>
      <w:bookmarkEnd w:id="2"/>
    </w:p>
    <w:p w14:paraId="1DEBBEDB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本项目坐落于河北省石家庄市</w:t>
      </w:r>
      <w:proofErr w:type="gramStart"/>
      <w:r>
        <w:rPr>
          <w:rFonts w:ascii="宋体" w:eastAsia="宋体" w:hAnsi="宋体"/>
          <w:sz w:val="28"/>
          <w:szCs w:val="28"/>
        </w:rPr>
        <w:t>正定新区</w:t>
      </w:r>
      <w:proofErr w:type="gramEnd"/>
      <w:r>
        <w:rPr>
          <w:rFonts w:ascii="宋体" w:eastAsia="宋体" w:hAnsi="宋体"/>
          <w:sz w:val="28"/>
          <w:szCs w:val="28"/>
        </w:rPr>
        <w:t>核心区域，地块四至明确：东至谦让路、南至迎旭路、西接新建规划路、</w:t>
      </w:r>
      <w:proofErr w:type="gramStart"/>
      <w:r>
        <w:rPr>
          <w:rFonts w:ascii="宋体" w:eastAsia="宋体" w:hAnsi="宋体"/>
          <w:sz w:val="28"/>
          <w:szCs w:val="28"/>
        </w:rPr>
        <w:t>北邻安济</w:t>
      </w:r>
      <w:proofErr w:type="gramEnd"/>
      <w:r>
        <w:rPr>
          <w:rFonts w:ascii="宋体" w:eastAsia="宋体" w:hAnsi="宋体"/>
          <w:sz w:val="28"/>
          <w:szCs w:val="28"/>
        </w:rPr>
        <w:t>路，地理区位优越，交通便捷。项目位于石家庄市正定县（北纬38°59'、东经114°91'），</w:t>
      </w:r>
      <w:r>
        <w:rPr>
          <w:rFonts w:ascii="宋体" w:eastAsia="宋体" w:hAnsi="宋体" w:hint="eastAsia"/>
          <w:sz w:val="28"/>
          <w:szCs w:val="28"/>
        </w:rPr>
        <w:t>属于寒冷地区。</w:t>
      </w:r>
    </w:p>
    <w:p w14:paraId="78059B11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崇文礼堂建筑总高度32.8m，</w:t>
      </w:r>
      <w:r>
        <w:rPr>
          <w:rFonts w:ascii="宋体" w:eastAsia="宋体" w:hAnsi="宋体" w:hint="eastAsia"/>
          <w:sz w:val="28"/>
          <w:szCs w:val="28"/>
        </w:rPr>
        <w:t>建筑总面积</w:t>
      </w:r>
      <w:r>
        <w:rPr>
          <w:rFonts w:ascii="宋体" w:eastAsia="宋体" w:hAnsi="宋体"/>
          <w:sz w:val="28"/>
          <w:szCs w:val="28"/>
        </w:rPr>
        <w:t>达</w:t>
      </w:r>
      <w:r>
        <w:rPr>
          <w:rFonts w:ascii="宋体" w:eastAsia="宋体" w:hAnsi="宋体" w:hint="eastAsia"/>
          <w:sz w:val="28"/>
          <w:szCs w:val="28"/>
        </w:rPr>
        <w:t>27720.5</w:t>
      </w:r>
      <w:r>
        <w:rPr>
          <w:rFonts w:ascii="宋体" w:eastAsia="宋体" w:hAnsi="宋体"/>
          <w:sz w:val="28"/>
          <w:szCs w:val="28"/>
        </w:rPr>
        <w:t>m²，规模适中且具备充足改造升级空间，是集办公、酒店、礼堂功能于一体的大型公共建筑。其作为大型公共建筑，通常具有空间高大、使用时段集中、热水需求稳定、社会影响广泛等用能特征。目前礼堂采用常规的中央空调（冷水机组制冷+锅炉供暖）和电热水器系统，普遍存在运行费用高昂、碳排放量大、设备噪音扰人、部分设备老化、能效低下等问题。</w:t>
      </w:r>
    </w:p>
    <w:p w14:paraId="0A1ACE45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在全球“双碳”目标引领与能源危机日益凸显的当下，建筑领域作为能源消耗与碳排放的核心场景，其绿色转型已成为可持续发展的关键命题。可再生能源建筑一体化（BIPV/BIPV/T）技术不断发展，太阳能光伏（BIPV）、地源热泵、风能建筑一体化等技术效率持续提升，成本逐年下降，具备大规模应用条件。为响应国家“双碳”战略，降低运营成本，提升建筑品质与科技内涵，对崇文礼堂进行能源系统绿色化、智能化改造势在必行。</w:t>
      </w:r>
    </w:p>
    <w:p w14:paraId="4167E08B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本项目以</w:t>
      </w:r>
      <w:r>
        <w:rPr>
          <w:rFonts w:ascii="宋体" w:eastAsia="宋体" w:hAnsi="宋体" w:hint="eastAsia"/>
          <w:sz w:val="28"/>
          <w:szCs w:val="28"/>
        </w:rPr>
        <w:t>舒适、节能</w:t>
      </w:r>
      <w:proofErr w:type="gramStart"/>
      <w:r>
        <w:rPr>
          <w:rFonts w:ascii="宋体" w:eastAsia="宋体" w:hAnsi="宋体" w:hint="eastAsia"/>
          <w:sz w:val="28"/>
          <w:szCs w:val="28"/>
        </w:rPr>
        <w:t>降碳</w:t>
      </w:r>
      <w:r>
        <w:rPr>
          <w:rFonts w:ascii="宋体" w:eastAsia="宋体" w:hAnsi="宋体"/>
          <w:sz w:val="28"/>
          <w:szCs w:val="28"/>
        </w:rPr>
        <w:t>为</w:t>
      </w:r>
      <w:proofErr w:type="gramEnd"/>
      <w:r>
        <w:rPr>
          <w:rFonts w:ascii="宋体" w:eastAsia="宋体" w:hAnsi="宋体"/>
          <w:sz w:val="28"/>
          <w:szCs w:val="28"/>
        </w:rPr>
        <w:t>核心抓手，聚焦三大关键方向推进升级：一是功能改造，贴合不同人群使用场景优化空间布局；二是</w:t>
      </w:r>
      <w:r>
        <w:rPr>
          <w:rFonts w:ascii="宋体" w:eastAsia="宋体" w:hAnsi="宋体"/>
          <w:sz w:val="28"/>
          <w:szCs w:val="28"/>
        </w:rPr>
        <w:lastRenderedPageBreak/>
        <w:t>节能改造，融入建筑节能技术与智能数据监测，提升自然资源使用率；三是智能改造，联动低碳环保大环境需求，通过改造实现资源最大化利用、降低改造成本，最终将现有空间升级为低碳节能、绿色智能一体化的新型综合活动空间。</w:t>
      </w:r>
    </w:p>
    <w:p w14:paraId="491E062B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3" w:name="_Toc7907"/>
      <w:r>
        <w:rPr>
          <w:rFonts w:ascii="宋体" w:eastAsia="宋体" w:hAnsi="宋体"/>
          <w:b/>
          <w:bCs/>
          <w:sz w:val="30"/>
          <w:szCs w:val="30"/>
        </w:rPr>
        <w:t>（二）项目目标</w:t>
      </w:r>
      <w:bookmarkEnd w:id="3"/>
    </w:p>
    <w:p w14:paraId="1FDF790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1. 功能适配目标：聚焦师生及后勤人员核心需求，优化空间布局以兼顾办公、活动、住宿等复合需求，全方位满足师生日常使用与对外展示交流需求。</w:t>
      </w:r>
    </w:p>
    <w:p w14:paraId="5B323650" w14:textId="3707CDAA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 能源替代目标：实现建筑能源自给自足或部分替代，降低对化石能源依赖，可再生能源利用率占建筑总能耗比例逐步提升至</w:t>
      </w:r>
      <w:r w:rsidRPr="00E1597D">
        <w:rPr>
          <w:rFonts w:ascii="宋体" w:eastAsia="宋体" w:hAnsi="宋体"/>
          <w:sz w:val="28"/>
          <w:szCs w:val="28"/>
        </w:rPr>
        <w:t>3</w:t>
      </w:r>
      <w:r w:rsidR="00E1597D">
        <w:rPr>
          <w:rFonts w:ascii="宋体" w:eastAsia="宋体" w:hAnsi="宋体" w:hint="eastAsia"/>
          <w:sz w:val="28"/>
          <w:szCs w:val="28"/>
        </w:rPr>
        <w:t>5</w:t>
      </w:r>
      <w:r w:rsidRPr="00E1597D">
        <w:rPr>
          <w:rFonts w:ascii="宋体" w:eastAsia="宋体" w:hAnsi="宋体"/>
          <w:sz w:val="28"/>
          <w:szCs w:val="28"/>
        </w:rPr>
        <w:t>%以上</w:t>
      </w:r>
      <w:r w:rsidRPr="00E1597D"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="005A5D44">
        <w:rPr>
          <w:rFonts w:ascii="宋体" w:eastAsia="宋体" w:hAnsi="宋体" w:hint="eastAsia"/>
          <w:sz w:val="28"/>
          <w:szCs w:val="28"/>
        </w:rPr>
        <w:t xml:space="preserve">  </w:t>
      </w:r>
    </w:p>
    <w:p w14:paraId="305A8D2E" w14:textId="6B93AC9E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 节能提效目标：通过一体化设计减少能源传输损耗，结合储能技术实现“削峰填谷”，优化建筑能源供需平衡，综合节能率预计可</w:t>
      </w:r>
      <w:r w:rsidR="00E1597D">
        <w:rPr>
          <w:rFonts w:ascii="宋体" w:eastAsia="宋体" w:hAnsi="宋体" w:hint="eastAsia"/>
          <w:sz w:val="28"/>
          <w:szCs w:val="28"/>
        </w:rPr>
        <w:t>40%-55%</w:t>
      </w:r>
      <w:r>
        <w:rPr>
          <w:rFonts w:ascii="宋体" w:eastAsia="宋体" w:hAnsi="宋体"/>
          <w:sz w:val="28"/>
          <w:szCs w:val="28"/>
        </w:rPr>
        <w:t>。</w:t>
      </w:r>
    </w:p>
    <w:p w14:paraId="1CE6E9B1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4. 资源循环目标：推行水资源回收利用与能源回收技术，减少对外部资源依赖与环境负荷，通过雨水收集系统降低建筑冲厕用水消耗。</w:t>
      </w:r>
    </w:p>
    <w:p w14:paraId="619FE5D1" w14:textId="77777777" w:rsidR="00170538" w:rsidRDefault="00000000">
      <w:pPr>
        <w:spacing w:after="0" w:line="360" w:lineRule="auto"/>
        <w:outlineLvl w:val="0"/>
        <w:rPr>
          <w:rFonts w:ascii="宋体" w:eastAsia="宋体" w:hAnsi="宋体" w:hint="eastAsia"/>
          <w:b/>
          <w:bCs/>
          <w:sz w:val="32"/>
          <w:szCs w:val="32"/>
        </w:rPr>
      </w:pPr>
      <w:bookmarkStart w:id="4" w:name="_Toc2809"/>
      <w:r>
        <w:rPr>
          <w:rFonts w:ascii="宋体" w:eastAsia="宋体" w:hAnsi="宋体"/>
          <w:b/>
          <w:bCs/>
          <w:sz w:val="32"/>
          <w:szCs w:val="32"/>
        </w:rPr>
        <w:t>二、项目实施方案</w:t>
      </w:r>
      <w:bookmarkEnd w:id="4"/>
    </w:p>
    <w:p w14:paraId="4E407DCF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sz w:val="32"/>
          <w:szCs w:val="32"/>
        </w:rPr>
      </w:pPr>
      <w:bookmarkStart w:id="5" w:name="_Toc776"/>
      <w:r>
        <w:rPr>
          <w:rFonts w:ascii="宋体" w:eastAsia="宋体" w:hAnsi="宋体"/>
          <w:b/>
          <w:bCs/>
          <w:sz w:val="30"/>
          <w:szCs w:val="30"/>
        </w:rPr>
        <w:t>（一）设计阶段</w:t>
      </w:r>
      <w:bookmarkEnd w:id="5"/>
    </w:p>
    <w:p w14:paraId="1B2743D8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6" w:name="_Toc8407"/>
      <w:r>
        <w:rPr>
          <w:rFonts w:ascii="宋体" w:eastAsia="宋体" w:hAnsi="宋体"/>
          <w:b/>
          <w:bCs/>
          <w:sz w:val="30"/>
          <w:szCs w:val="30"/>
        </w:rPr>
        <w:t>1. 复合能源系统设计</w:t>
      </w:r>
      <w:r>
        <w:rPr>
          <w:rFonts w:ascii="宋体" w:eastAsia="宋体" w:hAnsi="宋体" w:hint="eastAsia"/>
          <w:b/>
          <w:bCs/>
          <w:sz w:val="30"/>
          <w:szCs w:val="30"/>
        </w:rPr>
        <w:t>（地源热泵+冷却塔+太阳能复合能源系统）</w:t>
      </w:r>
      <w:bookmarkEnd w:id="6"/>
    </w:p>
    <w:p w14:paraId="4C62808C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 xml:space="preserve">      设计原则：以地源热泵为核心，耦合太阳能集热、冷却塔辅</w:t>
      </w:r>
      <w:r>
        <w:rPr>
          <w:rFonts w:ascii="宋体" w:eastAsia="宋体" w:hAnsi="宋体"/>
          <w:sz w:val="28"/>
          <w:szCs w:val="28"/>
        </w:rPr>
        <w:lastRenderedPageBreak/>
        <w:t>助、余热回收技术，形成“空调</w:t>
      </w:r>
      <w:r>
        <w:rPr>
          <w:rFonts w:ascii="宋体" w:eastAsia="宋体" w:hAnsi="宋体" w:hint="eastAsia"/>
          <w:sz w:val="28"/>
          <w:szCs w:val="28"/>
        </w:rPr>
        <w:t>——</w:t>
      </w:r>
      <w:r>
        <w:rPr>
          <w:rFonts w:ascii="宋体" w:eastAsia="宋体" w:hAnsi="宋体"/>
          <w:sz w:val="28"/>
          <w:szCs w:val="28"/>
        </w:rPr>
        <w:t>余热</w:t>
      </w:r>
      <w:r>
        <w:rPr>
          <w:rFonts w:ascii="宋体" w:eastAsia="宋体" w:hAnsi="宋体" w:hint="eastAsia"/>
          <w:sz w:val="28"/>
          <w:szCs w:val="28"/>
        </w:rPr>
        <w:t>——</w:t>
      </w:r>
      <w:r>
        <w:rPr>
          <w:rFonts w:ascii="宋体" w:eastAsia="宋体" w:hAnsi="宋体"/>
          <w:sz w:val="28"/>
          <w:szCs w:val="28"/>
        </w:rPr>
        <w:t>热水”一体化能源链路，实现能源分级高效利用；通过冷却塔季节性协同、太阳能跨季节储热等机制，维持地下土壤冷热量平衡，提升地源热泵COP，延长系统使用寿命。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E640143" wp14:editId="2D9130D9">
            <wp:extent cx="5269230" cy="2442210"/>
            <wp:effectExtent l="0" t="0" r="7620" b="0"/>
            <wp:docPr id="1837807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0799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531" cy="24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54D8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 xml:space="preserve">     </w:t>
      </w:r>
      <w:r>
        <w:rPr>
          <w:rFonts w:ascii="宋体" w:eastAsia="宋体" w:hAnsi="宋体"/>
          <w:noProof/>
        </w:rPr>
        <w:drawing>
          <wp:inline distT="0" distB="0" distL="0" distR="0" wp14:anchorId="360BAF94" wp14:editId="795B83D3">
            <wp:extent cx="5274310" cy="2357755"/>
            <wp:effectExtent l="0" t="0" r="2540" b="4445"/>
            <wp:docPr id="18339357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35768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338" cy="23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>地源热泵系统设计：根据建筑冷热负荷计算机组容量，结合地质勘察报告（土壤导热系数、地下水流量）确定采用竖直埋管方式。地</w:t>
      </w:r>
      <w:proofErr w:type="gramStart"/>
      <w:r>
        <w:rPr>
          <w:rFonts w:ascii="宋体" w:eastAsia="宋体" w:hAnsi="宋体"/>
          <w:sz w:val="28"/>
          <w:szCs w:val="28"/>
        </w:rPr>
        <w:t>源侧设计</w:t>
      </w:r>
      <w:proofErr w:type="gramEnd"/>
      <w:r>
        <w:rPr>
          <w:rFonts w:ascii="宋体" w:eastAsia="宋体" w:hAnsi="宋体"/>
          <w:sz w:val="28"/>
          <w:szCs w:val="28"/>
        </w:rPr>
        <w:t>在礼堂广场、绿地等开阔区域钻取垂直地埋管换热孔，形成地下闭环换热网络</w:t>
      </w:r>
    </w:p>
    <w:p w14:paraId="2DC5E871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 xml:space="preserve">      冷却塔协同设计：冷却塔与地埋管系统采用并联设计，并基于智能控制系统实现优化运行。</w:t>
      </w:r>
    </w:p>
    <w:p w14:paraId="1C730833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t>其运行策略具有明确的季节性特征：</w:t>
      </w:r>
      <w:r>
        <w:rPr>
          <w:rFonts w:ascii="宋体" w:eastAsia="宋体" w:hAnsi="宋体"/>
          <w:sz w:val="28"/>
          <w:szCs w:val="28"/>
        </w:rPr>
        <w:t>夏季建筑供冷负荷高峰期（7、8月），地埋管换热系统承担热泵机组全部冷凝热负荷，冷却塔停止运行；夏季建筑供冷负荷平谷期（6、9月），冷却塔与地埋管换热系统共同承担热泵机组冷凝热负荷，且冷却塔优先运行；冬季地埋管换热系统承担全部建筑供暖负荷，冷却塔停止运行；过渡季节，冷却塔系统与地埋管换热器串联运行，利用室外自然冷源向地下土壤补偿蓄冷，以达到地下土壤体全年冷热量“内需外补”的热平衡目的。</w:t>
      </w:r>
    </w:p>
    <w:p w14:paraId="040E5B81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a.</w:t>
      </w:r>
      <w:r>
        <w:rPr>
          <w:rFonts w:ascii="黑体" w:eastAsia="黑体" w:hAnsi="黑体"/>
          <w:b/>
          <w:bCs/>
          <w:sz w:val="28"/>
          <w:szCs w:val="28"/>
        </w:rPr>
        <w:t>热回收系统设计</w:t>
      </w:r>
      <w:r>
        <w:rPr>
          <w:rFonts w:ascii="宋体" w:eastAsia="宋体" w:hAnsi="宋体"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>余热回收系统设计：在地源热泵回水侧加装板式换热器，夏季通过该设备回收热泵冷凝热。板式换热器遵循高换热效率、低流动阻力、适配工况承压的设计原则，采用人字形波纹板片结构，兼顾换热性能与系统运行能耗，同时按热泵冷凝热回收的中温低压工况确定板片厚度、波纹参数，确保设备稳定适配余热回收需求。</w:t>
      </w:r>
    </w:p>
    <w:p w14:paraId="35D92893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b.</w:t>
      </w:r>
      <w:r>
        <w:rPr>
          <w:rFonts w:ascii="黑体" w:eastAsia="黑体" w:hAnsi="黑体"/>
          <w:b/>
          <w:bCs/>
          <w:sz w:val="28"/>
          <w:szCs w:val="28"/>
        </w:rPr>
        <w:t>太阳能集热系统设计</w:t>
      </w:r>
      <w:r>
        <w:rPr>
          <w:rFonts w:ascii="宋体" w:eastAsia="宋体" w:hAnsi="宋体"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 xml:space="preserve">太阳能集热系统是复合能源系统的重要组成部分，天气条件达标时，系统独立满足建筑内热水最大用量；天气条件不足时，通过太阳能集热系统与电加热联动，共同保障建筑内热水最大用量的供应。 </w:t>
      </w:r>
    </w:p>
    <w:p w14:paraId="66F65888" w14:textId="77777777" w:rsidR="00170538" w:rsidRDefault="00000000">
      <w:pPr>
        <w:spacing w:after="0" w:line="360" w:lineRule="auto"/>
        <w:rPr>
          <w:rFonts w:ascii="黑体" w:eastAsia="黑体" w:hAnsi="黑体" w:hint="eastAsia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t>c</w:t>
      </w:r>
      <w:r>
        <w:rPr>
          <w:rFonts w:ascii="黑体" w:eastAsia="黑体" w:hAnsi="黑体" w:hint="eastAsia"/>
          <w:b/>
          <w:bCs/>
          <w:sz w:val="28"/>
          <w:szCs w:val="28"/>
        </w:rPr>
        <w:t>.</w:t>
      </w:r>
      <w:r>
        <w:rPr>
          <w:rFonts w:ascii="黑体" w:eastAsia="黑体" w:hAnsi="黑体"/>
          <w:b/>
          <w:bCs/>
          <w:sz w:val="28"/>
          <w:szCs w:val="28"/>
        </w:rPr>
        <w:t>联动保护设计：</w:t>
      </w:r>
      <w:r>
        <w:rPr>
          <w:rFonts w:ascii="宋体" w:eastAsia="宋体" w:hAnsi="宋体"/>
          <w:sz w:val="28"/>
          <w:szCs w:val="28"/>
        </w:rPr>
        <w:t>启停顺序上，夏季先启热泵→再启冷却塔→最后启换热器/补水泵；太阳能循环</w:t>
      </w:r>
      <w:proofErr w:type="gramStart"/>
      <w:r>
        <w:rPr>
          <w:rFonts w:ascii="宋体" w:eastAsia="宋体" w:hAnsi="宋体"/>
          <w:sz w:val="28"/>
          <w:szCs w:val="28"/>
        </w:rPr>
        <w:t>泵启前</w:t>
      </w:r>
      <w:proofErr w:type="gramEnd"/>
      <w:r>
        <w:rPr>
          <w:rFonts w:ascii="宋体" w:eastAsia="宋体" w:hAnsi="宋体"/>
          <w:sz w:val="28"/>
          <w:szCs w:val="28"/>
        </w:rPr>
        <w:t>检测水位，不足则闭锁。故障</w:t>
      </w:r>
      <w:r>
        <w:rPr>
          <w:rFonts w:ascii="宋体" w:eastAsia="宋体" w:hAnsi="宋体"/>
          <w:sz w:val="28"/>
          <w:szCs w:val="28"/>
        </w:rPr>
        <w:lastRenderedPageBreak/>
        <w:t>联动方面，热泵故障→冷却塔/换热器/补水泵同步停；循环泵故障→</w:t>
      </w:r>
      <w:proofErr w:type="gramStart"/>
      <w:r>
        <w:rPr>
          <w:rFonts w:ascii="宋体" w:eastAsia="宋体" w:hAnsi="宋体"/>
          <w:sz w:val="28"/>
          <w:szCs w:val="28"/>
        </w:rPr>
        <w:t>关集热器阀防</w:t>
      </w:r>
      <w:proofErr w:type="gramEnd"/>
      <w:r>
        <w:rPr>
          <w:rFonts w:ascii="宋体" w:eastAsia="宋体" w:hAnsi="宋体"/>
          <w:sz w:val="28"/>
          <w:szCs w:val="28"/>
        </w:rPr>
        <w:t>倒流。</w:t>
      </w:r>
    </w:p>
    <w:p w14:paraId="13AF3E0A" w14:textId="77777777" w:rsidR="00170538" w:rsidRDefault="00170538">
      <w:pPr>
        <w:spacing w:after="0" w:line="360" w:lineRule="auto"/>
        <w:rPr>
          <w:rFonts w:ascii="宋体" w:eastAsia="宋体" w:hAnsi="宋体" w:hint="eastAsia"/>
        </w:rPr>
      </w:pPr>
    </w:p>
    <w:p w14:paraId="44EBB6F0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7" w:name="_Toc17579"/>
      <w:r>
        <w:rPr>
          <w:rFonts w:ascii="宋体" w:eastAsia="宋体" w:hAnsi="宋体"/>
          <w:b/>
          <w:bCs/>
          <w:sz w:val="30"/>
          <w:szCs w:val="30"/>
        </w:rPr>
        <w:t>2. 光伏发电系统设计</w:t>
      </w:r>
      <w:bookmarkEnd w:id="7"/>
    </w:p>
    <w:p w14:paraId="21D5DC99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</w:rPr>
      </w:pPr>
      <w:r>
        <w:rPr>
          <w:rFonts w:ascii="宋体" w:eastAsia="宋体" w:hAnsi="宋体"/>
          <w:sz w:val="28"/>
          <w:szCs w:val="28"/>
        </w:rPr>
        <w:t>设计原则在楼体朝阳侧及屋顶设置光伏幕墙，配置智能能源管控系统，</w:t>
      </w:r>
      <w:proofErr w:type="gramStart"/>
      <w:r>
        <w:rPr>
          <w:rFonts w:ascii="宋体" w:eastAsia="宋体" w:hAnsi="宋体"/>
          <w:sz w:val="28"/>
          <w:szCs w:val="28"/>
        </w:rPr>
        <w:t>高效实现光</w:t>
      </w:r>
      <w:proofErr w:type="gramEnd"/>
      <w:r>
        <w:rPr>
          <w:rFonts w:ascii="宋体" w:eastAsia="宋体" w:hAnsi="宋体"/>
          <w:sz w:val="28"/>
          <w:szCs w:val="28"/>
        </w:rPr>
        <w:t>伏发电与电网供电的优化结合。光伏玻璃幕墙兼顾透光性（透光率可按需</w:t>
      </w:r>
      <w:r>
        <w:rPr>
          <w:rFonts w:ascii="宋体" w:eastAsia="宋体" w:hAnsi="宋体" w:hint="eastAsia"/>
          <w:sz w:val="28"/>
          <w:szCs w:val="28"/>
        </w:rPr>
        <w:t>调节</w:t>
      </w:r>
      <w:r>
        <w:rPr>
          <w:rFonts w:ascii="宋体" w:eastAsia="宋体" w:hAnsi="宋体"/>
          <w:sz w:val="28"/>
          <w:szCs w:val="28"/>
        </w:rPr>
        <w:t>30%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70%）与密封性，契合办公、酒店、礼堂的立面美学与节能需求，同时减少建</w:t>
      </w:r>
      <w:r>
        <w:rPr>
          <w:rFonts w:ascii="宋体" w:eastAsia="宋体" w:hAnsi="宋体"/>
          <w:noProof/>
        </w:rPr>
        <w:drawing>
          <wp:inline distT="0" distB="0" distL="0" distR="0" wp14:anchorId="46DD254C" wp14:editId="2CECA0F6">
            <wp:extent cx="5274310" cy="1574165"/>
            <wp:effectExtent l="0" t="0" r="2540" b="6985"/>
            <wp:docPr id="846284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84968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>筑屋面能耗。</w:t>
      </w:r>
    </w:p>
    <w:p w14:paraId="247C9108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容量计算</w:t>
      </w:r>
      <w:r>
        <w:rPr>
          <w:rFonts w:ascii="宋体" w:eastAsia="宋体" w:hAnsi="宋体"/>
          <w:sz w:val="28"/>
          <w:szCs w:val="28"/>
        </w:rPr>
        <w:t>：按建筑年用电量需求计算总装机容量，结合屋顶/幕墙可用面积选择单晶硅组件，匹配逆变器的输入电压范围。配置太阳能光</w:t>
      </w:r>
      <w:proofErr w:type="gramStart"/>
      <w:r>
        <w:rPr>
          <w:rFonts w:ascii="宋体" w:eastAsia="宋体" w:hAnsi="宋体"/>
          <w:sz w:val="28"/>
          <w:szCs w:val="28"/>
        </w:rPr>
        <w:t>伏系统</w:t>
      </w:r>
      <w:proofErr w:type="gramEnd"/>
      <w:r>
        <w:rPr>
          <w:rFonts w:ascii="宋体" w:eastAsia="宋体" w:hAnsi="宋体"/>
          <w:sz w:val="28"/>
          <w:szCs w:val="28"/>
        </w:rPr>
        <w:t>的，光伏发电组件投影面积不少于屋顶面积的35%。</w:t>
      </w:r>
    </w:p>
    <w:p w14:paraId="59D4A344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</w:rPr>
      </w:pPr>
      <w:r>
        <w:rPr>
          <w:rFonts w:ascii="黑体" w:eastAsia="黑体" w:hAnsi="黑体"/>
          <w:sz w:val="28"/>
          <w:szCs w:val="28"/>
        </w:rPr>
        <w:t>系统构成</w:t>
      </w:r>
      <w:r>
        <w:rPr>
          <w:rFonts w:ascii="宋体" w:eastAsia="宋体" w:hAnsi="宋体"/>
          <w:sz w:val="28"/>
          <w:szCs w:val="28"/>
        </w:rPr>
        <w:t>：光伏玻璃幕墙组件（由钢化玻璃、光伏电池片、封装胶膜、背板组成）接收太阳辐射，电池片通过光生伏特效应将光能转化为低压直流电；直流电经汇流箱汇总后，送入逆变器，将低压直流电转换为符合建筑用电标准的220V/380V交流电；智能能源管控系统实时监测发电量与楼内能耗，优先分配光伏电力供楼内负荷使用；阴天、夜间等发电量不足时，自动切换市政电网供电；富</w:t>
      </w:r>
      <w:r>
        <w:rPr>
          <w:rFonts w:ascii="宋体" w:eastAsia="宋体" w:hAnsi="宋体"/>
          <w:sz w:val="28"/>
          <w:szCs w:val="28"/>
        </w:rPr>
        <w:lastRenderedPageBreak/>
        <w:t>余电力可并入电网或存入储能电池组备用。</w:t>
      </w:r>
      <w:r>
        <w:rPr>
          <w:rFonts w:ascii="宋体" w:eastAsia="宋体" w:hAnsi="宋体"/>
          <w:noProof/>
        </w:rPr>
        <w:drawing>
          <wp:inline distT="0" distB="0" distL="0" distR="0" wp14:anchorId="0CE7DABB" wp14:editId="35BEF7D9">
            <wp:extent cx="5273040" cy="2835910"/>
            <wp:effectExtent l="0" t="0" r="3810" b="2540"/>
            <wp:docPr id="20803609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6099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039" cy="28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4CDB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8" w:name="_Toc29657"/>
      <w:r>
        <w:rPr>
          <w:rFonts w:ascii="宋体" w:eastAsia="宋体" w:hAnsi="宋体"/>
          <w:b/>
          <w:bCs/>
          <w:sz w:val="30"/>
          <w:szCs w:val="30"/>
        </w:rPr>
        <w:t>3. 雨水回收系统设计</w:t>
      </w:r>
      <w:bookmarkEnd w:id="8"/>
    </w:p>
    <w:p w14:paraId="00F94FA5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</w:rPr>
      </w:pPr>
      <w:r>
        <w:rPr>
          <w:rFonts w:ascii="宋体" w:eastAsia="宋体" w:hAnsi="宋体"/>
          <w:sz w:val="28"/>
          <w:szCs w:val="28"/>
        </w:rPr>
        <w:t>设计原则</w:t>
      </w:r>
      <w:r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/>
          <w:sz w:val="28"/>
          <w:szCs w:val="28"/>
        </w:rPr>
        <w:t>针对办公、酒店、礼堂三类建筑特性，构建专业化屋面雨水收集利用系统，以实现水资源循环利用与绿色建筑目标。</w:t>
      </w:r>
      <w:r>
        <w:rPr>
          <w:rFonts w:ascii="宋体" w:eastAsia="宋体" w:hAnsi="宋体"/>
          <w:noProof/>
        </w:rPr>
        <w:drawing>
          <wp:inline distT="0" distB="0" distL="0" distR="0" wp14:anchorId="7A371758" wp14:editId="2E87912B">
            <wp:extent cx="5273040" cy="2180590"/>
            <wp:effectExtent l="0" t="0" r="3810" b="0"/>
            <wp:docPr id="18676346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34611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297" cy="21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>系统构成：屋顶按“分区布局、就近汇流”原则，均匀布设虹吸式雨水斗，严格控制斗间距≤18米（小于规范要求的20米，提升汇流效率），雨水</w:t>
      </w:r>
      <w:proofErr w:type="gramStart"/>
      <w:r>
        <w:rPr>
          <w:rFonts w:ascii="宋体" w:eastAsia="宋体" w:hAnsi="宋体"/>
          <w:sz w:val="28"/>
          <w:szCs w:val="28"/>
        </w:rPr>
        <w:t>斗配套</w:t>
      </w:r>
      <w:proofErr w:type="gramEnd"/>
      <w:r>
        <w:rPr>
          <w:rFonts w:ascii="宋体" w:eastAsia="宋体" w:hAnsi="宋体"/>
          <w:sz w:val="28"/>
          <w:szCs w:val="28"/>
        </w:rPr>
        <w:t>不锈钢格栅，初步拦截树叶、碎石等大颗粒杂质。屋面雨水经专用排水立管快速导排，汇总至建筑地下层的分级</w:t>
      </w:r>
      <w:r>
        <w:rPr>
          <w:rFonts w:ascii="宋体" w:eastAsia="宋体" w:hAnsi="宋体"/>
          <w:sz w:val="28"/>
          <w:szCs w:val="28"/>
        </w:rPr>
        <w:lastRenderedPageBreak/>
        <w:t>沉淀池（分</w:t>
      </w:r>
      <w:proofErr w:type="gramStart"/>
      <w:r>
        <w:rPr>
          <w:rFonts w:ascii="宋体" w:eastAsia="宋体" w:hAnsi="宋体"/>
          <w:sz w:val="28"/>
          <w:szCs w:val="28"/>
        </w:rPr>
        <w:t>初沉池、二沉池</w:t>
      </w:r>
      <w:proofErr w:type="gramEnd"/>
      <w:r>
        <w:rPr>
          <w:rFonts w:ascii="宋体" w:eastAsia="宋体" w:hAnsi="宋体"/>
          <w:sz w:val="28"/>
          <w:szCs w:val="28"/>
        </w:rPr>
        <w:t>），通过重力沉降去除泥沙、悬浮物等污染物，沉淀时间控制在30分钟以上，确保出水浊度达标。处理后的雨水存入抗渗混凝土蓄水池（容积按建筑日均冲厕用水量的1.2倍设计），池内配置液位传感器与自洁装置，实时监测水量并防止水质恶化。雨水经加压泵输送至楼内卫生间，通过专用供水管网为马桶供水，管网末端设置过滤消毒装置，保障用水卫生。系统预留溢流管与补水接口，雨水不足时自动切换市政自来水补水，富余雨水经溢流管排入市政雨水管网，避免内涝风险。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1D8DE63" wp14:editId="17D8458C">
            <wp:extent cx="5274310" cy="4139565"/>
            <wp:effectExtent l="0" t="0" r="2540" b="0"/>
            <wp:docPr id="1115550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5009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806" cy="41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177F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9" w:name="_Toc7934"/>
      <w:r>
        <w:rPr>
          <w:rFonts w:ascii="宋体" w:eastAsia="宋体" w:hAnsi="宋体"/>
          <w:b/>
          <w:bCs/>
          <w:sz w:val="30"/>
          <w:szCs w:val="30"/>
        </w:rPr>
        <w:t xml:space="preserve">4. </w:t>
      </w:r>
      <w:r>
        <w:rPr>
          <w:rFonts w:ascii="宋体" w:eastAsia="宋体" w:hAnsi="宋体" w:hint="eastAsia"/>
          <w:b/>
          <w:bCs/>
          <w:sz w:val="30"/>
          <w:szCs w:val="30"/>
        </w:rPr>
        <w:t>三</w:t>
      </w:r>
      <w:proofErr w:type="gramStart"/>
      <w:r>
        <w:rPr>
          <w:rFonts w:ascii="宋体" w:eastAsia="宋体" w:hAnsi="宋体" w:hint="eastAsia"/>
          <w:b/>
          <w:bCs/>
          <w:sz w:val="30"/>
          <w:szCs w:val="30"/>
        </w:rPr>
        <w:t>玻</w:t>
      </w:r>
      <w:proofErr w:type="gramEnd"/>
      <w:r>
        <w:rPr>
          <w:rFonts w:ascii="宋体" w:eastAsia="宋体" w:hAnsi="宋体" w:hint="eastAsia"/>
          <w:b/>
          <w:bCs/>
          <w:sz w:val="30"/>
          <w:szCs w:val="30"/>
        </w:rPr>
        <w:t>两腔Low-E玻璃幕墙</w:t>
      </w:r>
      <w:r>
        <w:rPr>
          <w:rFonts w:ascii="宋体" w:eastAsia="宋体" w:hAnsi="宋体"/>
          <w:b/>
          <w:bCs/>
          <w:sz w:val="30"/>
          <w:szCs w:val="30"/>
        </w:rPr>
        <w:t>围护结构节能设计</w:t>
      </w:r>
      <w:bookmarkEnd w:id="9"/>
    </w:p>
    <w:p w14:paraId="489F69EF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设计原则：通过提升围护结构的保温隔热性能，降低建筑冷热负荷。</w:t>
      </w:r>
    </w:p>
    <w:p w14:paraId="26AFD28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具体措施：选用三</w:t>
      </w:r>
      <w:proofErr w:type="gramStart"/>
      <w:r>
        <w:rPr>
          <w:rFonts w:ascii="宋体" w:eastAsia="宋体" w:hAnsi="宋体"/>
          <w:sz w:val="28"/>
          <w:szCs w:val="28"/>
        </w:rPr>
        <w:t>玻</w:t>
      </w:r>
      <w:proofErr w:type="gramEnd"/>
      <w:r>
        <w:rPr>
          <w:rFonts w:ascii="宋体" w:eastAsia="宋体" w:hAnsi="宋体"/>
          <w:sz w:val="28"/>
          <w:szCs w:val="28"/>
        </w:rPr>
        <w:t>两腔</w:t>
      </w:r>
      <w:r>
        <w:rPr>
          <w:rFonts w:ascii="宋体" w:eastAsia="宋体" w:hAnsi="宋体" w:hint="eastAsia"/>
          <w:sz w:val="28"/>
          <w:szCs w:val="28"/>
        </w:rPr>
        <w:t>Low-E</w:t>
      </w:r>
      <w:r>
        <w:rPr>
          <w:rFonts w:ascii="宋体" w:eastAsia="宋体" w:hAnsi="宋体"/>
          <w:sz w:val="28"/>
          <w:szCs w:val="28"/>
        </w:rPr>
        <w:t>玻璃提升保温隔热效果，缝隙加装橡胶密封条，按主导风向侧不开窗原则降低冷热风渗透。</w:t>
      </w:r>
      <w:r>
        <w:rPr>
          <w:rFonts w:ascii="宋体" w:eastAsia="宋体" w:hAnsi="宋体" w:hint="eastAsia"/>
          <w:noProof/>
        </w:rPr>
        <w:drawing>
          <wp:inline distT="0" distB="0" distL="0" distR="0" wp14:anchorId="5EF0CD92" wp14:editId="570B3F57">
            <wp:extent cx="5262880" cy="1827530"/>
            <wp:effectExtent l="0" t="0" r="0" b="1270"/>
            <wp:docPr id="15626215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21591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717" cy="18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B984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sz w:val="28"/>
          <w:szCs w:val="28"/>
        </w:rPr>
      </w:pPr>
      <w:bookmarkStart w:id="10" w:name="_Toc6509"/>
      <w:r>
        <w:rPr>
          <w:rFonts w:ascii="宋体" w:eastAsia="宋体" w:hAnsi="宋体" w:hint="eastAsia"/>
          <w:b/>
          <w:bCs/>
          <w:sz w:val="30"/>
          <w:szCs w:val="30"/>
        </w:rPr>
        <w:t>5.</w:t>
      </w:r>
      <w:r>
        <w:rPr>
          <w:rFonts w:hint="eastAsia"/>
        </w:rPr>
        <w:t xml:space="preserve"> </w:t>
      </w:r>
      <w:r>
        <w:rPr>
          <w:rFonts w:ascii="宋体" w:eastAsia="宋体" w:hAnsi="宋体" w:hint="eastAsia"/>
          <w:b/>
          <w:bCs/>
          <w:sz w:val="30"/>
          <w:szCs w:val="30"/>
        </w:rPr>
        <w:t>礼堂座椅通风+舞台区域高位侧通风设计</w:t>
      </w:r>
      <w:bookmarkEnd w:id="10"/>
    </w:p>
    <w:p w14:paraId="2278D33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28"/>
          <w:szCs w:val="28"/>
        </w:rPr>
        <w:t>在座椅底部设置地板嵌入式条缝风口，借助下送上回的气流组织形式，让冷风或热风精准直</w:t>
      </w:r>
      <w:proofErr w:type="gramStart"/>
      <w:r>
        <w:rPr>
          <w:rFonts w:ascii="宋体" w:eastAsia="宋体" w:hAnsi="宋体" w:hint="eastAsia"/>
          <w:sz w:val="28"/>
          <w:szCs w:val="28"/>
        </w:rPr>
        <w:t>达人员</w:t>
      </w:r>
      <w:proofErr w:type="gramEnd"/>
      <w:r>
        <w:rPr>
          <w:rFonts w:ascii="宋体" w:eastAsia="宋体" w:hAnsi="宋体" w:hint="eastAsia"/>
          <w:sz w:val="28"/>
          <w:szCs w:val="28"/>
        </w:rPr>
        <w:t>主要活动区域，有效缩短冷热空气输送路径，大幅减少空间上部非人员停留区的无效送风损耗，既降低了空调系统的能源消耗，又能避免传统上送风模式下冷热不均、体感不适的问题，显著提升人员停留区域的温度均匀性与舒适度；针对舞台区域设备密集、灯光散热量大</w:t>
      </w:r>
      <w:proofErr w:type="gramStart"/>
      <w:r>
        <w:rPr>
          <w:rFonts w:ascii="宋体" w:eastAsia="宋体" w:hAnsi="宋体" w:hint="eastAsia"/>
          <w:sz w:val="28"/>
          <w:szCs w:val="28"/>
        </w:rPr>
        <w:t>且演员</w:t>
      </w:r>
      <w:proofErr w:type="gramEnd"/>
      <w:r>
        <w:rPr>
          <w:rFonts w:ascii="宋体" w:eastAsia="宋体" w:hAnsi="宋体" w:hint="eastAsia"/>
          <w:sz w:val="28"/>
          <w:szCs w:val="28"/>
        </w:rPr>
        <w:t>及工作人员活动集中的特点，额外补充侧墙高位百叶风口，通过高位送风形成的气流覆盖层，快速带走舞台设备运行产生的热量，同时对人员密集区进行强化送风，及时平衡舞台区域的热负荷，有效规避因局部热量积聚导致的温度过高问题，保障舞台演出与设备运行的稳定环境，兼顾节能性与功能性需求。</w:t>
      </w:r>
    </w:p>
    <w:p w14:paraId="104B01A1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11" w:name="_Toc1207"/>
      <w:r>
        <w:rPr>
          <w:rFonts w:ascii="宋体" w:eastAsia="宋体" w:hAnsi="宋体" w:hint="eastAsia"/>
          <w:b/>
          <w:bCs/>
          <w:sz w:val="30"/>
          <w:szCs w:val="30"/>
        </w:rPr>
        <w:t>（二）</w:t>
      </w:r>
      <w:r>
        <w:rPr>
          <w:rFonts w:ascii="宋体" w:eastAsia="宋体" w:hAnsi="宋体"/>
          <w:b/>
          <w:bCs/>
          <w:sz w:val="30"/>
          <w:szCs w:val="30"/>
        </w:rPr>
        <w:t>设备选型</w:t>
      </w:r>
      <w:bookmarkEnd w:id="11"/>
    </w:p>
    <w:p w14:paraId="288A368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设备选型根据项目建筑规模、负荷峰值（冷/热/热水/用电）及使用时长来确定额定参数，确保设备间协同工作，坚持能效优先原</w:t>
      </w:r>
      <w:r>
        <w:rPr>
          <w:rFonts w:ascii="宋体" w:eastAsia="宋体" w:hAnsi="宋体"/>
          <w:sz w:val="28"/>
          <w:szCs w:val="28"/>
        </w:rPr>
        <w:lastRenderedPageBreak/>
        <w:t>则，优先选用一级能效产品，同时综合初期投资、运行成本与维护费用核算投资回收期，保障经济合理性。具体设备选型如下：</w:t>
      </w:r>
    </w:p>
    <w:p w14:paraId="5959FBD5" w14:textId="77777777" w:rsidR="00170538" w:rsidRDefault="00000000">
      <w:pPr>
        <w:pStyle w:val="ad"/>
        <w:numPr>
          <w:ilvl w:val="0"/>
          <w:numId w:val="1"/>
        </w:num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12" w:name="_Toc2183"/>
      <w:r>
        <w:rPr>
          <w:rFonts w:ascii="宋体" w:eastAsia="宋体" w:hAnsi="宋体"/>
          <w:b/>
          <w:bCs/>
          <w:sz w:val="30"/>
          <w:szCs w:val="30"/>
        </w:rPr>
        <w:t>地源热泵机组</w:t>
      </w:r>
      <w:bookmarkEnd w:id="12"/>
    </w:p>
    <w:p w14:paraId="6C1EF5B7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选型依据：根据建筑的冷热负荷计算结果，结合石家庄的气候条件与地质情况，选择制冷量、制热量匹配的地源热泵机组。</w:t>
      </w:r>
    </w:p>
    <w:p w14:paraId="7AC5576D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性能要求：制冷工况下，供回水温度为7</w:t>
      </w:r>
      <w:r>
        <w:rPr>
          <w:rFonts w:ascii="宋体" w:eastAsia="宋体" w:hAnsi="宋体" w:hint="eastAsia"/>
          <w:sz w:val="28"/>
          <w:szCs w:val="28"/>
        </w:rPr>
        <w:t>—</w:t>
      </w:r>
      <w:r>
        <w:rPr>
          <w:rFonts w:ascii="宋体" w:eastAsia="宋体" w:hAnsi="宋体"/>
          <w:sz w:val="28"/>
          <w:szCs w:val="28"/>
        </w:rPr>
        <w:t>12℃（空调系统），制冷能效比（EER）≥4.2；制热工况下，供回水温度为40</w:t>
      </w:r>
      <w:r>
        <w:rPr>
          <w:rFonts w:ascii="宋体" w:eastAsia="宋体" w:hAnsi="宋体" w:hint="eastAsia"/>
          <w:sz w:val="28"/>
          <w:szCs w:val="28"/>
        </w:rPr>
        <w:t>—</w:t>
      </w:r>
      <w:r>
        <w:rPr>
          <w:rFonts w:ascii="宋体" w:eastAsia="宋体" w:hAnsi="宋体"/>
          <w:sz w:val="28"/>
          <w:szCs w:val="28"/>
        </w:rPr>
        <w:t>45℃，制热能效比（COP）≥3.8，整体COP稳定在4.0</w:t>
      </w:r>
      <w:r>
        <w:rPr>
          <w:rFonts w:ascii="宋体" w:eastAsia="宋体" w:hAnsi="宋体" w:hint="eastAsia"/>
          <w:sz w:val="28"/>
          <w:szCs w:val="28"/>
        </w:rPr>
        <w:t>—</w:t>
      </w:r>
      <w:r>
        <w:rPr>
          <w:rFonts w:ascii="宋体" w:eastAsia="宋体" w:hAnsi="宋体"/>
          <w:sz w:val="28"/>
          <w:szCs w:val="28"/>
        </w:rPr>
        <w:t>5.0之间。地源热泵的理论能效比可达300</w:t>
      </w:r>
      <w:r>
        <w:rPr>
          <w:rFonts w:ascii="宋体" w:eastAsia="宋体" w:hAnsi="宋体" w:hint="eastAsia"/>
          <w:sz w:val="28"/>
          <w:szCs w:val="28"/>
        </w:rPr>
        <w:t>—</w:t>
      </w:r>
      <w:r>
        <w:rPr>
          <w:rFonts w:ascii="宋体" w:eastAsia="宋体" w:hAnsi="宋体"/>
          <w:sz w:val="28"/>
          <w:szCs w:val="28"/>
        </w:rPr>
        <w:t>400%，实际应用中消耗1kWh的电，输送给建筑的热量一般能达到整个系统电耗的3倍以上，比电加热系统节电60%以上。在35℃</w:t>
      </w:r>
      <w:r>
        <w:rPr>
          <w:rFonts w:ascii="宋体" w:eastAsia="宋体" w:hAnsi="宋体" w:hint="eastAsia"/>
          <w:sz w:val="28"/>
          <w:szCs w:val="28"/>
        </w:rPr>
        <w:t>—</w:t>
      </w:r>
      <w:r>
        <w:rPr>
          <w:rFonts w:ascii="宋体" w:eastAsia="宋体" w:hAnsi="宋体"/>
          <w:sz w:val="28"/>
          <w:szCs w:val="28"/>
        </w:rPr>
        <w:t>25℃区间内，制热效率随温度的降低而升高，25℃时平均效率达到最高的3.85，热泵机组的性能参数提升率为14.2%。</w:t>
      </w:r>
    </w:p>
    <w:p w14:paraId="7FB7EACD" w14:textId="77777777" w:rsidR="00170538" w:rsidRDefault="00000000">
      <w:pPr>
        <w:pStyle w:val="ad"/>
        <w:numPr>
          <w:ilvl w:val="0"/>
          <w:numId w:val="1"/>
        </w:numPr>
        <w:spacing w:after="0" w:line="360" w:lineRule="auto"/>
        <w:outlineLvl w:val="2"/>
        <w:rPr>
          <w:rFonts w:ascii="宋体" w:eastAsia="宋体" w:hAnsi="宋体" w:hint="eastAsia"/>
          <w:b/>
          <w:bCs/>
          <w:sz w:val="28"/>
          <w:szCs w:val="28"/>
        </w:rPr>
      </w:pPr>
      <w:bookmarkStart w:id="13" w:name="_Toc27585"/>
      <w:r>
        <w:rPr>
          <w:rFonts w:ascii="宋体" w:eastAsia="宋体" w:hAnsi="宋体"/>
          <w:b/>
          <w:bCs/>
          <w:sz w:val="30"/>
          <w:szCs w:val="30"/>
        </w:rPr>
        <w:t>冷却塔</w:t>
      </w:r>
      <w:bookmarkEnd w:id="13"/>
    </w:p>
    <w:p w14:paraId="4DB7C491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选型依据：根据系统最大负荷、夏季制冷负荷特性及土壤热平衡要求，确定冷却塔的容量。一般情况下，冷却塔容量约为系统最大负荷的12%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36.86%，具体根据工程实际情况调整。结合崇文礼堂地源热泵系统的冷负荷计算结果，参考同类项目经验，确定冷却塔的冷却容量。</w:t>
      </w:r>
    </w:p>
    <w:p w14:paraId="1DFCBF87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</w:rPr>
        <w:t xml:space="preserve">     </w:t>
      </w:r>
      <w:r>
        <w:rPr>
          <w:rFonts w:ascii="宋体" w:eastAsia="宋体" w:hAnsi="宋体"/>
          <w:sz w:val="28"/>
          <w:szCs w:val="28"/>
        </w:rPr>
        <w:t xml:space="preserve"> 性能要求：冷却效率高，噪音低（≤65dB），具备良好的耐腐蚀、抗老化性能，采用2℃温差控制辅以2h间歇运行的优化策略，与地埋管系统并联运行时能有效分担散热负荷。冷却塔的工作原理</w:t>
      </w:r>
      <w:r>
        <w:rPr>
          <w:rFonts w:ascii="宋体" w:eastAsia="宋体" w:hAnsi="宋体"/>
          <w:sz w:val="28"/>
          <w:szCs w:val="28"/>
        </w:rPr>
        <w:lastRenderedPageBreak/>
        <w:t>是通过蒸发过程吸收或释放热量，将热能或冷能传递给热交换器中的冷媒。</w:t>
      </w:r>
    </w:p>
    <w:p w14:paraId="044C5126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14" w:name="_Toc30464"/>
      <w:r>
        <w:rPr>
          <w:rFonts w:ascii="宋体" w:eastAsia="宋体" w:hAnsi="宋体"/>
          <w:b/>
          <w:bCs/>
          <w:sz w:val="30"/>
          <w:szCs w:val="30"/>
        </w:rPr>
        <w:t>3. 太阳能集热器</w:t>
      </w:r>
      <w:bookmarkEnd w:id="14"/>
    </w:p>
    <w:p w14:paraId="7ED1CDA2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</w:rPr>
        <w:t xml:space="preserve">     </w:t>
      </w:r>
      <w:r>
        <w:rPr>
          <w:rFonts w:ascii="宋体" w:eastAsia="宋体" w:hAnsi="宋体"/>
          <w:sz w:val="28"/>
          <w:szCs w:val="28"/>
        </w:rPr>
        <w:t xml:space="preserve"> 选型依据：根据建筑生活热水需求量、太阳能资源条件及屋顶可用面积，确定太阳能集热器的类型与面积。太阳能保证率不低于40%，</w:t>
      </w:r>
      <w:proofErr w:type="gramStart"/>
      <w:r>
        <w:rPr>
          <w:rFonts w:ascii="宋体" w:eastAsia="宋体" w:hAnsi="宋体"/>
          <w:sz w:val="28"/>
          <w:szCs w:val="28"/>
        </w:rPr>
        <w:t>集热器效率</w:t>
      </w:r>
      <w:proofErr w:type="gramEnd"/>
      <w:r>
        <w:rPr>
          <w:rFonts w:ascii="宋体" w:eastAsia="宋体" w:hAnsi="宋体"/>
          <w:sz w:val="28"/>
          <w:szCs w:val="28"/>
        </w:rPr>
        <w:t>不低于42%。结合崇文礼堂的规模与使用人数，估算生活热水平均日用水量，按照60%的太阳能贡献率设置</w:t>
      </w:r>
      <w:proofErr w:type="gramStart"/>
      <w:r>
        <w:rPr>
          <w:rFonts w:ascii="宋体" w:eastAsia="宋体" w:hAnsi="宋体"/>
          <w:sz w:val="28"/>
          <w:szCs w:val="28"/>
        </w:rPr>
        <w:t>集热器面积</w:t>
      </w:r>
      <w:proofErr w:type="gramEnd"/>
      <w:r>
        <w:rPr>
          <w:rFonts w:ascii="宋体" w:eastAsia="宋体" w:hAnsi="宋体"/>
          <w:sz w:val="28"/>
          <w:szCs w:val="28"/>
        </w:rPr>
        <w:t>，参考集</w:t>
      </w:r>
      <w:proofErr w:type="gramStart"/>
      <w:r>
        <w:rPr>
          <w:rFonts w:ascii="宋体" w:eastAsia="宋体" w:hAnsi="宋体"/>
          <w:sz w:val="28"/>
          <w:szCs w:val="28"/>
        </w:rPr>
        <w:t>热面积</w:t>
      </w:r>
      <w:proofErr w:type="gramEnd"/>
      <w:r>
        <w:rPr>
          <w:rFonts w:ascii="宋体" w:eastAsia="宋体" w:hAnsi="宋体"/>
          <w:sz w:val="28"/>
          <w:szCs w:val="28"/>
        </w:rPr>
        <w:t>与建筑面积1:25的比例关系，确定太阳能集热器总面积。</w:t>
      </w:r>
    </w:p>
    <w:p w14:paraId="51CAADD8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</w:rPr>
        <w:t xml:space="preserve">      </w:t>
      </w:r>
      <w:r>
        <w:rPr>
          <w:rFonts w:ascii="宋体" w:eastAsia="宋体" w:hAnsi="宋体"/>
          <w:sz w:val="28"/>
          <w:szCs w:val="28"/>
        </w:rPr>
        <w:t>性能要求：集热效率高，保温性能好，抗风载、雪载能力强，适应石家庄的气候条件。太阳能与地源热泵耦合系统的集热效率可达57.14%，多收集20%热量，其中部分热量可用于给地源热泵补热，耦合系统全年集热效率提升56.83%。</w:t>
      </w:r>
    </w:p>
    <w:p w14:paraId="677C2A2F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28"/>
          <w:szCs w:val="28"/>
        </w:rPr>
      </w:pPr>
      <w:bookmarkStart w:id="15" w:name="_Toc29612"/>
      <w:r>
        <w:rPr>
          <w:rFonts w:ascii="宋体" w:eastAsia="宋体" w:hAnsi="宋体"/>
          <w:b/>
          <w:bCs/>
          <w:sz w:val="30"/>
          <w:szCs w:val="30"/>
        </w:rPr>
        <w:t>4. 储热水箱</w:t>
      </w:r>
      <w:bookmarkEnd w:id="15"/>
    </w:p>
    <w:p w14:paraId="216B2A70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选型依据：根据太阳能集热能力、建筑生活热水用量及系统运行模式，确定储热水箱的容量。结合崇文礼堂的生活热水平均日用水量，确定储热水箱的总容量。</w:t>
      </w:r>
    </w:p>
    <w:p w14:paraId="2747CA9A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性能要求：具备良好的保温性能，热损失小（</w:t>
      </w:r>
      <w:proofErr w:type="gramStart"/>
      <w:r>
        <w:rPr>
          <w:rFonts w:ascii="宋体" w:eastAsia="宋体" w:hAnsi="宋体"/>
          <w:sz w:val="28"/>
          <w:szCs w:val="28"/>
        </w:rPr>
        <w:t>24小时温降</w:t>
      </w:r>
      <w:proofErr w:type="gramEnd"/>
      <w:r>
        <w:rPr>
          <w:rFonts w:ascii="宋体" w:eastAsia="宋体" w:hAnsi="宋体"/>
          <w:sz w:val="28"/>
          <w:szCs w:val="28"/>
        </w:rPr>
        <w:t>≤5℃），材质耐腐蚀（不锈钢材质或抗渗混凝土），密封性能好，配备液位传感器、温度传感器等监测设备。</w:t>
      </w:r>
    </w:p>
    <w:p w14:paraId="08344D77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16" w:name="_Toc10977"/>
      <w:r>
        <w:rPr>
          <w:rFonts w:ascii="宋体" w:eastAsia="宋体" w:hAnsi="宋体" w:hint="eastAsia"/>
          <w:b/>
          <w:bCs/>
          <w:sz w:val="30"/>
          <w:szCs w:val="30"/>
        </w:rPr>
        <w:t>5.光伏发电</w:t>
      </w:r>
      <w:bookmarkEnd w:id="16"/>
    </w:p>
    <w:p w14:paraId="598C87B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选型依据：根据建筑年用电量需求、屋顶/幕墙可用面积及当地</w:t>
      </w:r>
      <w:r>
        <w:rPr>
          <w:rFonts w:ascii="宋体" w:eastAsia="宋体" w:hAnsi="宋体"/>
          <w:sz w:val="28"/>
          <w:szCs w:val="28"/>
        </w:rPr>
        <w:lastRenderedPageBreak/>
        <w:t>太阳能资源条件，确定光伏组件的总装机容量与类型。光伏发电组件投影面积不少于屋顶面积的35%，结合崇文礼堂的屋顶与幕墙可用面积，参考当地太阳能辐照量，计算光伏组件的总装机容量。</w:t>
      </w:r>
    </w:p>
    <w:p w14:paraId="7F3EC41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性能要求：转换效率高（不低于20%），稳定性好，耐候性强（抗风沙、抗紫外线、抗冰雹），透光率可按需调节30%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70%（光伏幕墙），符合建筑立面美学与节能需求。单晶硅光伏组件具有转换效率高、使用寿命长（不低于25年）等优点，优先选用。</w:t>
      </w:r>
    </w:p>
    <w:p w14:paraId="25F51C3E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17" w:name="_Toc9284"/>
      <w:r>
        <w:rPr>
          <w:rFonts w:ascii="宋体" w:eastAsia="宋体" w:hAnsi="宋体" w:hint="eastAsia"/>
          <w:b/>
          <w:bCs/>
          <w:sz w:val="30"/>
          <w:szCs w:val="30"/>
        </w:rPr>
        <w:t>（三）</w:t>
      </w:r>
      <w:r>
        <w:rPr>
          <w:rFonts w:ascii="宋体" w:eastAsia="宋体" w:hAnsi="宋体"/>
          <w:b/>
          <w:bCs/>
          <w:sz w:val="30"/>
          <w:szCs w:val="30"/>
        </w:rPr>
        <w:t>施工阶段</w:t>
      </w:r>
      <w:bookmarkEnd w:id="17"/>
    </w:p>
    <w:p w14:paraId="47493C6E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本阶段注重绿色施工与资源节约，严格按照设计方案、相关施工规范及国家标准执行，确保各系统施工质量与协同性，具体施工内容如下：</w:t>
      </w:r>
    </w:p>
    <w:p w14:paraId="5FA033DB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18" w:name="_Toc9988"/>
      <w:r>
        <w:rPr>
          <w:rFonts w:ascii="宋体" w:eastAsia="宋体" w:hAnsi="宋体" w:hint="eastAsia"/>
          <w:b/>
          <w:bCs/>
          <w:sz w:val="30"/>
          <w:szCs w:val="30"/>
        </w:rPr>
        <w:t>A.源热泵+冷却塔+太阳能复合能源系统施工</w:t>
      </w:r>
      <w:bookmarkEnd w:id="18"/>
    </w:p>
    <w:p w14:paraId="1FF247FB" w14:textId="77777777" w:rsidR="00170538" w:rsidRDefault="00000000">
      <w:pPr>
        <w:overflowPunct w:val="0"/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地源热泵系统施工先经测量放线、钻孔设备就位、钻孔作业与清</w:t>
      </w:r>
      <w:proofErr w:type="gramStart"/>
      <w:r>
        <w:rPr>
          <w:rFonts w:ascii="宋体" w:eastAsia="宋体" w:hAnsi="宋体"/>
          <w:sz w:val="28"/>
          <w:szCs w:val="28"/>
        </w:rPr>
        <w:t>孔完成地</w:t>
      </w:r>
      <w:proofErr w:type="gramEnd"/>
      <w:r>
        <w:rPr>
          <w:rFonts w:ascii="宋体" w:eastAsia="宋体" w:hAnsi="宋体"/>
          <w:sz w:val="28"/>
          <w:szCs w:val="28"/>
        </w:rPr>
        <w:t>埋管钻孔，再通过管材检查、管道连接、下管作业与回填作业实现地埋管安装，后续开展地埋管系统试压与机房设备安装，设备选型上优先选用COP稳定在4.0-5.0、制冷工况下供回水温度7-12℃且制冷能效比≥4.2、制热工况下供回水温度40-45℃且制热能效比≥3.8的变频螺杆式机组，需根据建筑冷热负荷（按建筑面积乘以对应负荷概算指标计算）确定容量，确保满足使用需求；冷却塔安装施工先完成基础施工，再进行底座安装、塔体组装、风机与电机安装，接着开展管道连接、电气连接与调试测试，设备选型按系统最大负荷的12%-36.86%匹配容量，采用2℃温差控</w:t>
      </w:r>
      <w:r>
        <w:rPr>
          <w:rFonts w:ascii="宋体" w:eastAsia="宋体" w:hAnsi="宋体"/>
          <w:sz w:val="28"/>
          <w:szCs w:val="28"/>
        </w:rPr>
        <w:lastRenderedPageBreak/>
        <w:t>制辅以2h间歇运行的优化策略，优先选用冷却效率高、噪音低且耐腐蚀的横流式或逆流式玻璃钢冷却塔；太阳能系统施工先制作安装支架并安装太阳能集热器，完成</w:t>
      </w:r>
      <w:proofErr w:type="gramStart"/>
      <w:r>
        <w:rPr>
          <w:rFonts w:ascii="宋体" w:eastAsia="宋体" w:hAnsi="宋体"/>
          <w:sz w:val="28"/>
          <w:szCs w:val="28"/>
        </w:rPr>
        <w:t>集热器管道</w:t>
      </w:r>
      <w:proofErr w:type="gramEnd"/>
      <w:r>
        <w:rPr>
          <w:rFonts w:ascii="宋体" w:eastAsia="宋体" w:hAnsi="宋体"/>
          <w:sz w:val="28"/>
          <w:szCs w:val="28"/>
        </w:rPr>
        <w:t>连接与试压后，进行储热水箱基础施工、就位、管道连接、保温与防腐处理，最后完成系统调试测试，设备选型上太阳能集热器选择集热效率不低于42%、太阳能保证率不低于40%的平板或真空管型（横双排全玻璃真空管型，规格Φ58mm×1800mm×50支），按集</w:t>
      </w:r>
      <w:proofErr w:type="gramStart"/>
      <w:r>
        <w:rPr>
          <w:rFonts w:ascii="宋体" w:eastAsia="宋体" w:hAnsi="宋体"/>
          <w:sz w:val="28"/>
          <w:szCs w:val="28"/>
        </w:rPr>
        <w:t>热面积</w:t>
      </w:r>
      <w:proofErr w:type="gramEnd"/>
      <w:r>
        <w:rPr>
          <w:rFonts w:ascii="宋体" w:eastAsia="宋体" w:hAnsi="宋体"/>
          <w:sz w:val="28"/>
          <w:szCs w:val="28"/>
        </w:rPr>
        <w:t>与建筑面积1:25的比例配置，储热水箱容量根据生活热水平均日用水量、安全系数（1.1-1.3）及水温</w:t>
      </w:r>
      <w:proofErr w:type="gramStart"/>
      <w:r>
        <w:rPr>
          <w:rFonts w:ascii="宋体" w:eastAsia="宋体" w:hAnsi="宋体"/>
          <w:sz w:val="28"/>
          <w:szCs w:val="28"/>
        </w:rPr>
        <w:t>升高值</w:t>
      </w:r>
      <w:proofErr w:type="gramEnd"/>
      <w:r>
        <w:rPr>
          <w:rFonts w:ascii="宋体" w:eastAsia="宋体" w:hAnsi="宋体"/>
          <w:sz w:val="28"/>
          <w:szCs w:val="28"/>
        </w:rPr>
        <w:t>计算确定，确保满足生活热水供应与辅助地源热泵补热需求；所有设备选型均需根据项目建筑规模、负荷峰值及使用时长确定额定参数，确保设备间协同工作，优先选用一级能效产品，参考EER、太阳能集热效率等核心指标，综合</w:t>
      </w:r>
      <w:proofErr w:type="gramStart"/>
      <w:r>
        <w:rPr>
          <w:rFonts w:ascii="宋体" w:eastAsia="宋体" w:hAnsi="宋体"/>
          <w:sz w:val="28"/>
          <w:szCs w:val="28"/>
        </w:rPr>
        <w:t>考量</w:t>
      </w:r>
      <w:proofErr w:type="gramEnd"/>
      <w:r>
        <w:rPr>
          <w:rFonts w:ascii="宋体" w:eastAsia="宋体" w:hAnsi="宋体"/>
          <w:sz w:val="28"/>
          <w:szCs w:val="28"/>
        </w:rPr>
        <w:t>初期投资、运行成本与维护费用核算投资回收期。</w:t>
      </w:r>
    </w:p>
    <w:p w14:paraId="2CC01F7B" w14:textId="77777777" w:rsidR="00170538" w:rsidRDefault="00000000">
      <w:pPr>
        <w:overflowPunct w:val="0"/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19" w:name="_Toc11833"/>
      <w:r>
        <w:rPr>
          <w:rFonts w:ascii="宋体" w:eastAsia="宋体" w:hAnsi="宋体" w:hint="eastAsia"/>
          <w:b/>
          <w:bCs/>
          <w:sz w:val="30"/>
          <w:szCs w:val="30"/>
        </w:rPr>
        <w:t>B.</w:t>
      </w:r>
      <w:r>
        <w:rPr>
          <w:rFonts w:ascii="宋体" w:eastAsia="宋体" w:hAnsi="宋体"/>
          <w:b/>
          <w:bCs/>
          <w:sz w:val="30"/>
          <w:szCs w:val="30"/>
        </w:rPr>
        <w:t>光伏发电系统施工</w:t>
      </w:r>
      <w:bookmarkEnd w:id="19"/>
    </w:p>
    <w:p w14:paraId="61848D78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光伏发电系统施工先依据设计图纸完成楼体朝阳侧光</w:t>
      </w:r>
      <w:proofErr w:type="gramStart"/>
      <w:r>
        <w:rPr>
          <w:rFonts w:ascii="宋体" w:eastAsia="宋体" w:hAnsi="宋体"/>
          <w:sz w:val="28"/>
          <w:szCs w:val="28"/>
        </w:rPr>
        <w:t>伏</w:t>
      </w:r>
      <w:proofErr w:type="gramEnd"/>
      <w:r>
        <w:rPr>
          <w:rFonts w:ascii="宋体" w:eastAsia="宋体" w:hAnsi="宋体"/>
          <w:sz w:val="28"/>
          <w:szCs w:val="28"/>
        </w:rPr>
        <w:t>幕墙龙骨与屋顶光伏发电设备支架的安装，确保龙骨和支架安装位置准确、垂直度与水平度符合规范要求，且与建筑结构可靠连接并做好防水处理；随后将单晶硅光伏组件固定在龙骨和支架上，调整组件位置使间隙均匀、安装平整，采用专用连接器完成组件之间的串联与并联接线，接线过程中确保连接紧密、密封良好并做好防水</w:t>
      </w:r>
      <w:r>
        <w:rPr>
          <w:rFonts w:ascii="宋体" w:eastAsia="宋体" w:hAnsi="宋体" w:hint="eastAsia"/>
          <w:sz w:val="28"/>
          <w:szCs w:val="28"/>
        </w:rPr>
        <w:t>防</w:t>
      </w:r>
      <w:r>
        <w:rPr>
          <w:rFonts w:ascii="宋体" w:eastAsia="宋体" w:hAnsi="宋体"/>
          <w:sz w:val="28"/>
          <w:szCs w:val="28"/>
        </w:rPr>
        <w:t>护；接着在机房内或指定位置安装汇流箱与逆变器，将光伏组件串的引出线接入汇流箱，汇流箱输出端与逆变器输入端连接，逆变器</w:t>
      </w:r>
      <w:r>
        <w:rPr>
          <w:rFonts w:ascii="宋体" w:eastAsia="宋体" w:hAnsi="宋体"/>
          <w:sz w:val="28"/>
          <w:szCs w:val="28"/>
        </w:rPr>
        <w:lastRenderedPageBreak/>
        <w:t>输出端再与建筑内部电网及市政电网连接，同时安装计量装置、切换开关与接地装置，确保电气连接规范、接地可靠；最后进行电气系统调试，包括绝缘测试、相序检查与并网调试，启动系统后实时监测发电量、电网电压、电流、频率等参数，确保系统运行稳定、并网顺畅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353421FD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20" w:name="_Toc5550"/>
      <w:r>
        <w:rPr>
          <w:rFonts w:ascii="宋体" w:eastAsia="宋体" w:hAnsi="宋体" w:hint="eastAsia"/>
          <w:b/>
          <w:bCs/>
          <w:sz w:val="30"/>
          <w:szCs w:val="30"/>
        </w:rPr>
        <w:t>C.</w:t>
      </w:r>
      <w:r>
        <w:rPr>
          <w:rFonts w:ascii="宋体" w:eastAsia="宋体" w:hAnsi="宋体"/>
          <w:b/>
          <w:bCs/>
          <w:sz w:val="30"/>
          <w:szCs w:val="30"/>
        </w:rPr>
        <w:t>雨水回收系统施工</w:t>
      </w:r>
      <w:bookmarkEnd w:id="20"/>
    </w:p>
    <w:p w14:paraId="2C08C83E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雨水回收系统施工先依据设计图纸在办公、酒店、礼堂屋顶按“分区布局、就近汇流”原则均匀布设虹吸式雨水斗，严格控制斗间距≤18米，配套不锈钢格栅以初步拦截树叶、碎石等大颗粒杂质，随后安装专用排水立管并确保与雨水斗连接紧密、固定牢固；屋面雨水经排水立管导排至建筑地下层分级沉淀池（分</w:t>
      </w:r>
      <w:proofErr w:type="gramStart"/>
      <w:r>
        <w:rPr>
          <w:rFonts w:ascii="宋体" w:eastAsia="宋体" w:hAnsi="宋体"/>
          <w:sz w:val="28"/>
          <w:szCs w:val="28"/>
        </w:rPr>
        <w:t>初沉池、二沉池</w:t>
      </w:r>
      <w:proofErr w:type="gramEnd"/>
      <w:r>
        <w:rPr>
          <w:rFonts w:ascii="宋体" w:eastAsia="宋体" w:hAnsi="宋体"/>
          <w:sz w:val="28"/>
          <w:szCs w:val="28"/>
        </w:rPr>
        <w:t>），施工中需保证沉淀池结构尺寸符合设计要求，池体采用钢筋混凝土浇筑且内壁做防水处理，确保沉淀时间不低于30分钟以有效去除泥沙、悬浮物等污染物；沉淀池后方施工抗渗混凝土蓄水池，其容积按建筑日均冲厕用水量的1.2倍设计，池内安装液位传感器与自洁装置并做好固定与接线，同时预留溢流管与市政自来水补水接口；接着铺设从蓄水池到楼内卫生间的专用供水管网，管网末端安装过滤消毒装置，在合适位置部署</w:t>
      </w:r>
      <w:proofErr w:type="gramStart"/>
      <w:r>
        <w:rPr>
          <w:rFonts w:ascii="宋体" w:eastAsia="宋体" w:hAnsi="宋体"/>
          <w:sz w:val="28"/>
          <w:szCs w:val="28"/>
        </w:rPr>
        <w:t>加压泵并固定</w:t>
      </w:r>
      <w:proofErr w:type="gramEnd"/>
      <w:r>
        <w:rPr>
          <w:rFonts w:ascii="宋体" w:eastAsia="宋体" w:hAnsi="宋体"/>
          <w:sz w:val="28"/>
          <w:szCs w:val="28"/>
        </w:rPr>
        <w:t>牢固，确保泵体与管道连接密封良好；施工完成后进行全流程调试，模拟降雨场景检测雨水斗汇流效果、沉淀池沉淀效率、蓄水池蓄水能力及管网输水稳定性，排查有无漏水、堵塞等问题，确保雨水不足时可自动切换市政自来水补水，富余雨水能经溢流管安全排入市政雨水管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67F6CA7D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sz w:val="30"/>
          <w:szCs w:val="30"/>
        </w:rPr>
      </w:pPr>
      <w:bookmarkStart w:id="21" w:name="_Toc9668"/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D.</w:t>
      </w:r>
      <w:r>
        <w:rPr>
          <w:rFonts w:ascii="宋体" w:eastAsia="宋体" w:hAnsi="宋体"/>
          <w:b/>
          <w:bCs/>
          <w:sz w:val="30"/>
          <w:szCs w:val="30"/>
        </w:rPr>
        <w:t>三</w:t>
      </w:r>
      <w:proofErr w:type="gramStart"/>
      <w:r>
        <w:rPr>
          <w:rFonts w:ascii="宋体" w:eastAsia="宋体" w:hAnsi="宋体"/>
          <w:b/>
          <w:bCs/>
          <w:sz w:val="30"/>
          <w:szCs w:val="30"/>
        </w:rPr>
        <w:t>玻</w:t>
      </w:r>
      <w:proofErr w:type="gramEnd"/>
      <w:r>
        <w:rPr>
          <w:rFonts w:ascii="宋体" w:eastAsia="宋体" w:hAnsi="宋体"/>
          <w:b/>
          <w:bCs/>
          <w:sz w:val="30"/>
          <w:szCs w:val="30"/>
        </w:rPr>
        <w:t>两腔</w:t>
      </w:r>
      <w:r>
        <w:rPr>
          <w:rFonts w:ascii="宋体" w:eastAsia="宋体" w:hAnsi="宋体" w:hint="eastAsia"/>
          <w:b/>
          <w:bCs/>
          <w:sz w:val="30"/>
          <w:szCs w:val="30"/>
        </w:rPr>
        <w:t>Low-E</w:t>
      </w:r>
      <w:r>
        <w:rPr>
          <w:rFonts w:ascii="宋体" w:eastAsia="宋体" w:hAnsi="宋体"/>
          <w:b/>
          <w:bCs/>
          <w:sz w:val="30"/>
          <w:szCs w:val="30"/>
        </w:rPr>
        <w:t>玻璃围护结构施工</w:t>
      </w:r>
      <w:bookmarkEnd w:id="21"/>
    </w:p>
    <w:p w14:paraId="01C300B2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三</w:t>
      </w:r>
      <w:proofErr w:type="gramStart"/>
      <w:r>
        <w:rPr>
          <w:rFonts w:ascii="宋体" w:eastAsia="宋体" w:hAnsi="宋体"/>
          <w:sz w:val="28"/>
          <w:szCs w:val="28"/>
        </w:rPr>
        <w:t>玻</w:t>
      </w:r>
      <w:proofErr w:type="gramEnd"/>
      <w:r>
        <w:rPr>
          <w:rFonts w:ascii="宋体" w:eastAsia="宋体" w:hAnsi="宋体"/>
          <w:sz w:val="28"/>
          <w:szCs w:val="28"/>
        </w:rPr>
        <w:t>两腔Low-E玻璃</w:t>
      </w:r>
      <w:proofErr w:type="gramStart"/>
      <w:r>
        <w:rPr>
          <w:rFonts w:ascii="宋体" w:eastAsia="宋体" w:hAnsi="宋体"/>
          <w:sz w:val="28"/>
          <w:szCs w:val="28"/>
        </w:rPr>
        <w:t>围护结构施先依据</w:t>
      </w:r>
      <w:proofErr w:type="gramEnd"/>
      <w:r>
        <w:rPr>
          <w:rFonts w:ascii="宋体" w:eastAsia="宋体" w:hAnsi="宋体"/>
          <w:sz w:val="28"/>
          <w:szCs w:val="28"/>
        </w:rPr>
        <w:t>设计图纸完成铝合金龙骨的测量放线与安装固定，确保龙骨垂直度、水平度及间距符合规范要求，与建筑主体结构可靠连接并做好防腐处理；随后对三</w:t>
      </w:r>
      <w:proofErr w:type="gramStart"/>
      <w:r>
        <w:rPr>
          <w:rFonts w:ascii="宋体" w:eastAsia="宋体" w:hAnsi="宋体"/>
          <w:sz w:val="28"/>
          <w:szCs w:val="28"/>
        </w:rPr>
        <w:t>玻</w:t>
      </w:r>
      <w:proofErr w:type="gramEnd"/>
      <w:r>
        <w:rPr>
          <w:rFonts w:ascii="宋体" w:eastAsia="宋体" w:hAnsi="宋体"/>
          <w:sz w:val="28"/>
          <w:szCs w:val="28"/>
        </w:rPr>
        <w:t>两腔</w:t>
      </w:r>
      <w:proofErr w:type="spellStart"/>
      <w:r>
        <w:rPr>
          <w:rFonts w:ascii="宋体" w:eastAsia="宋体" w:hAnsi="宋体"/>
          <w:sz w:val="28"/>
          <w:szCs w:val="28"/>
        </w:rPr>
        <w:t>Low-E</w:t>
      </w:r>
      <w:proofErr w:type="spellEnd"/>
      <w:r>
        <w:rPr>
          <w:rFonts w:ascii="宋体" w:eastAsia="宋体" w:hAnsi="宋体"/>
          <w:sz w:val="28"/>
          <w:szCs w:val="28"/>
        </w:rPr>
        <w:t>玻璃进行进场检验，核查玻璃规格、Low-E膜层质量及密封性能检测报告，合格后采用</w:t>
      </w:r>
      <w:proofErr w:type="gramStart"/>
      <w:r>
        <w:rPr>
          <w:rFonts w:ascii="宋体" w:eastAsia="宋体" w:hAnsi="宋体"/>
          <w:sz w:val="28"/>
          <w:szCs w:val="28"/>
        </w:rPr>
        <w:t>吸盘机</w:t>
      </w:r>
      <w:proofErr w:type="gramEnd"/>
      <w:r>
        <w:rPr>
          <w:rFonts w:ascii="宋体" w:eastAsia="宋体" w:hAnsi="宋体"/>
          <w:sz w:val="28"/>
          <w:szCs w:val="28"/>
        </w:rPr>
        <w:t>将玻璃精准吊装至龙骨框架内，调整玻璃位置使四周间隙均匀一致；接着在玻璃与龙骨之间嵌入专用密封胶条，缝隙处填充耐候硅酮密封胶，确保填充均匀、密实，无气泡、开裂等缺陷，同时按主导风向侧</w:t>
      </w:r>
      <w:proofErr w:type="gramStart"/>
      <w:r>
        <w:rPr>
          <w:rFonts w:ascii="宋体" w:eastAsia="宋体" w:hAnsi="宋体"/>
          <w:sz w:val="28"/>
          <w:szCs w:val="28"/>
        </w:rPr>
        <w:t>不</w:t>
      </w:r>
      <w:proofErr w:type="gramEnd"/>
      <w:r>
        <w:rPr>
          <w:rFonts w:ascii="宋体" w:eastAsia="宋体" w:hAnsi="宋体"/>
          <w:sz w:val="28"/>
          <w:szCs w:val="28"/>
        </w:rPr>
        <w:t>开窗原则优化窗洞口密封构造，在缝隙处加装橡胶密封条，强化气密性与水密性，防止冷热风渗透；安装完成后进行淋水试验与气密性检测，检查玻璃固定牢固度、密封性能及整体平整度，对发现的渗漏、松动等问题及时整改，全程注重施工过程中的成品保护，避免玻璃表面划伤、膜层损坏，确保围护结构达到设计要求的保温隔热性能，降低建筑冷热负荷。</w:t>
      </w:r>
    </w:p>
    <w:p w14:paraId="30FE53A1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22" w:name="_Toc10513"/>
      <w:r>
        <w:rPr>
          <w:rFonts w:ascii="宋体" w:eastAsia="宋体" w:hAnsi="宋体"/>
          <w:b/>
          <w:bCs/>
          <w:sz w:val="30"/>
          <w:szCs w:val="30"/>
        </w:rPr>
        <w:t>（</w:t>
      </w:r>
      <w:r>
        <w:rPr>
          <w:rFonts w:ascii="宋体" w:eastAsia="宋体" w:hAnsi="宋体" w:hint="eastAsia"/>
          <w:b/>
          <w:bCs/>
          <w:sz w:val="30"/>
          <w:szCs w:val="30"/>
        </w:rPr>
        <w:t>四</w:t>
      </w:r>
      <w:r>
        <w:rPr>
          <w:rFonts w:ascii="宋体" w:eastAsia="宋体" w:hAnsi="宋体"/>
          <w:b/>
          <w:bCs/>
          <w:sz w:val="30"/>
          <w:szCs w:val="30"/>
        </w:rPr>
        <w:t>）运行与维护阶段</w:t>
      </w:r>
      <w:bookmarkEnd w:id="22"/>
    </w:p>
    <w:p w14:paraId="27DB0C5A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进入运行维护阶段，构建以智慧管理为核心的可持续体系，保障建筑低碳性能的长期稳定，具体工作内容如下：</w:t>
      </w:r>
    </w:p>
    <w:p w14:paraId="1975A068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23" w:name="_Toc12200"/>
      <w:r>
        <w:rPr>
          <w:rFonts w:ascii="宋体" w:eastAsia="宋体" w:hAnsi="宋体" w:hint="eastAsia"/>
          <w:b/>
          <w:bCs/>
          <w:sz w:val="30"/>
          <w:szCs w:val="30"/>
        </w:rPr>
        <w:t>1.</w:t>
      </w:r>
      <w:r>
        <w:rPr>
          <w:rFonts w:ascii="宋体" w:eastAsia="宋体" w:hAnsi="宋体"/>
          <w:b/>
          <w:bCs/>
          <w:sz w:val="30"/>
          <w:szCs w:val="30"/>
        </w:rPr>
        <w:t>智能调控</w:t>
      </w:r>
      <w:r>
        <w:rPr>
          <w:rFonts w:ascii="宋体" w:eastAsia="宋体" w:hAnsi="宋体" w:hint="eastAsia"/>
          <w:b/>
          <w:bCs/>
          <w:sz w:val="30"/>
          <w:szCs w:val="30"/>
        </w:rPr>
        <w:t>系统</w:t>
      </w:r>
      <w:bookmarkEnd w:id="23"/>
    </w:p>
    <w:p w14:paraId="509762BD" w14:textId="77777777" w:rsidR="00170538" w:rsidRDefault="00000000">
      <w:pPr>
        <w:spacing w:after="0" w:line="360" w:lineRule="auto"/>
        <w:ind w:firstLineChars="200" w:firstLine="602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t>复合能源调控系统</w:t>
      </w:r>
      <w:r>
        <w:rPr>
          <w:rFonts w:ascii="宋体" w:eastAsia="宋体" w:hAnsi="宋体"/>
          <w:sz w:val="28"/>
          <w:szCs w:val="28"/>
        </w:rPr>
        <w:t>：通过智能控制系统动态调控地源热泵与冷却塔的运行模式，根据室外天气、礼堂室内温湿度、热水水箱温度、土壤温度等参数，自动切换运行模式，确保系统始终在</w:t>
      </w:r>
      <w:proofErr w:type="gramStart"/>
      <w:r>
        <w:rPr>
          <w:rFonts w:ascii="宋体" w:eastAsia="宋体" w:hAnsi="宋体"/>
          <w:sz w:val="28"/>
          <w:szCs w:val="28"/>
        </w:rPr>
        <w:t>最</w:t>
      </w:r>
      <w:proofErr w:type="gramEnd"/>
      <w:r>
        <w:rPr>
          <w:rFonts w:ascii="宋体" w:eastAsia="宋体" w:hAnsi="宋体"/>
          <w:sz w:val="28"/>
          <w:szCs w:val="28"/>
        </w:rPr>
        <w:t>高</w:t>
      </w:r>
      <w:r>
        <w:rPr>
          <w:rFonts w:ascii="宋体" w:eastAsia="宋体" w:hAnsi="宋体"/>
          <w:sz w:val="28"/>
          <w:szCs w:val="28"/>
        </w:rPr>
        <w:lastRenderedPageBreak/>
        <w:t>效、最经济的模式下运行。具体调控逻辑如下：</w:t>
      </w:r>
    </w:p>
    <w:p w14:paraId="5AB3C5E6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夏季制冷：室内温度＞设定制冷温度（26℃），土壤温度≥16℃，启动制冷模式；</w:t>
      </w:r>
    </w:p>
    <w:p w14:paraId="3DBBEF35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1.热泵+冷却塔：热泵启制冷，地源侧向土壤释冷凝热；当Ts＞28℃，冷却塔启（并联散热中和热积累），Ts≤25℃则停。</w:t>
      </w:r>
    </w:p>
    <w:p w14:paraId="6DD4983F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 冷凝热回收：换热器随热泵启，当Th≥37℃，补水泵启，自来水经换热器预热至25-35℃入水箱；Th＜35℃，补水泵降频；T2≥60℃，关换热器进水阀停预热；</w:t>
      </w:r>
    </w:p>
    <w:p w14:paraId="0FE19A7B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 太阳能循环：T1-T2≥8℃，太阳能循环泵启（水箱水</w:t>
      </w:r>
      <w:proofErr w:type="gramStart"/>
      <w:r>
        <w:rPr>
          <w:rFonts w:ascii="宋体" w:eastAsia="宋体" w:hAnsi="宋体" w:hint="eastAsia"/>
          <w:sz w:val="28"/>
          <w:szCs w:val="28"/>
        </w:rPr>
        <w:t>进集热器</w:t>
      </w:r>
      <w:proofErr w:type="gramEnd"/>
      <w:r>
        <w:rPr>
          <w:rFonts w:ascii="宋体" w:eastAsia="宋体" w:hAnsi="宋体" w:hint="eastAsia"/>
          <w:sz w:val="28"/>
          <w:szCs w:val="28"/>
        </w:rPr>
        <w:t>升温）；T1-T2≤3℃，泵停。</w:t>
      </w:r>
    </w:p>
    <w:p w14:paraId="5CF0223F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冬季供暖：室内温度＜设定供暖温度（20℃），土壤温度≤17℃，启动供暖模式；</w:t>
      </w:r>
    </w:p>
    <w:p w14:paraId="035EA242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1.热泵运行：热泵启供暖，</w:t>
      </w:r>
      <w:proofErr w:type="gramStart"/>
      <w:r>
        <w:rPr>
          <w:rFonts w:ascii="宋体" w:eastAsia="宋体" w:hAnsi="宋体" w:hint="eastAsia"/>
          <w:sz w:val="28"/>
          <w:szCs w:val="28"/>
        </w:rPr>
        <w:t>地源侧从</w:t>
      </w:r>
      <w:proofErr w:type="gramEnd"/>
      <w:r>
        <w:rPr>
          <w:rFonts w:ascii="宋体" w:eastAsia="宋体" w:hAnsi="宋体" w:hint="eastAsia"/>
          <w:sz w:val="28"/>
          <w:szCs w:val="28"/>
        </w:rPr>
        <w:t>土壤吸热，冷却塔全程闭锁停机；</w:t>
      </w:r>
    </w:p>
    <w:p w14:paraId="60836982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 热回收停运：换热器、预热补水泵停，</w:t>
      </w:r>
      <w:proofErr w:type="gramStart"/>
      <w:r>
        <w:rPr>
          <w:rFonts w:ascii="宋体" w:eastAsia="宋体" w:hAnsi="宋体" w:hint="eastAsia"/>
          <w:sz w:val="28"/>
          <w:szCs w:val="28"/>
        </w:rPr>
        <w:t>自来水直补水箱</w:t>
      </w:r>
      <w:proofErr w:type="gramEnd"/>
      <w:r>
        <w:rPr>
          <w:rFonts w:ascii="宋体" w:eastAsia="宋体" w:hAnsi="宋体" w:hint="eastAsia"/>
          <w:sz w:val="28"/>
          <w:szCs w:val="28"/>
        </w:rPr>
        <w:t>；</w:t>
      </w:r>
    </w:p>
    <w:p w14:paraId="2C738E86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 太阳能循环：仍按T1-T2温差（≥8℃启/≤3℃停）运行；若T2＜45℃，热泵可通过换热支路二次加热水箱水。</w:t>
      </w:r>
    </w:p>
    <w:p w14:paraId="682F6C8A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过渡季：室内温度在舒适区间（20℃~26℃），地源热泵机组停机，仅太阳能系统启动。</w:t>
      </w:r>
    </w:p>
    <w:p w14:paraId="7E63DD5E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 热泵、冷却塔、换热器均停；</w:t>
      </w:r>
    </w:p>
    <w:p w14:paraId="58306D49" w14:textId="77777777" w:rsidR="00170538" w:rsidRDefault="00000000">
      <w:pPr>
        <w:spacing w:after="0" w:line="360" w:lineRule="auto"/>
        <w:ind w:leftChars="200" w:left="440"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 太阳能</w:t>
      </w:r>
      <w:proofErr w:type="gramStart"/>
      <w:r>
        <w:rPr>
          <w:rFonts w:ascii="宋体" w:eastAsia="宋体" w:hAnsi="宋体" w:hint="eastAsia"/>
          <w:sz w:val="28"/>
          <w:szCs w:val="28"/>
        </w:rPr>
        <w:t>循环泵仅按</w:t>
      </w:r>
      <w:proofErr w:type="gramEnd"/>
      <w:r>
        <w:rPr>
          <w:rFonts w:ascii="宋体" w:eastAsia="宋体" w:hAnsi="宋体" w:hint="eastAsia"/>
          <w:sz w:val="28"/>
          <w:szCs w:val="28"/>
        </w:rPr>
        <w:t>T1-T2温差启停，维持T2满足生活热</w:t>
      </w:r>
      <w:r>
        <w:rPr>
          <w:rFonts w:ascii="宋体" w:eastAsia="宋体" w:hAnsi="宋体" w:hint="eastAsia"/>
          <w:sz w:val="28"/>
          <w:szCs w:val="28"/>
        </w:rPr>
        <w:lastRenderedPageBreak/>
        <w:t>水需求（60℃）。</w:t>
      </w:r>
    </w:p>
    <w:p w14:paraId="54DD7963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24" w:name="_Toc10462"/>
      <w:r>
        <w:rPr>
          <w:rFonts w:ascii="宋体" w:eastAsia="宋体" w:hAnsi="宋体"/>
          <w:b/>
          <w:bCs/>
          <w:sz w:val="30"/>
          <w:szCs w:val="30"/>
        </w:rPr>
        <w:t>2. 能源精细化管理</w:t>
      </w:r>
      <w:bookmarkEnd w:id="24"/>
    </w:p>
    <w:p w14:paraId="4F86AC12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能耗监测：依托能耗监测平台，对建筑的电、热、水等能耗数据进行实时采集、分析与统计，形成能耗报表，识别能耗异常点，为节能优化提供数据支持。</w:t>
      </w:r>
    </w:p>
    <w:p w14:paraId="7C8417F6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能耗分析与优化：定期对能耗数据进行分析评估，对比设计指标与实际运行数据，查找节能潜力，调整运行策略，持续降低能耗。</w:t>
      </w:r>
      <w:r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6589DC9F" wp14:editId="74E1AECD">
            <wp:extent cx="5272405" cy="2357120"/>
            <wp:effectExtent l="0" t="0" r="4445" b="5080"/>
            <wp:docPr id="4418979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9790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449" cy="23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2802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  <w:b/>
          <w:bCs/>
          <w:sz w:val="30"/>
          <w:szCs w:val="30"/>
        </w:rPr>
      </w:pPr>
      <w:bookmarkStart w:id="25" w:name="_Toc6910"/>
      <w:r>
        <w:rPr>
          <w:rFonts w:ascii="宋体" w:eastAsia="宋体" w:hAnsi="宋体" w:hint="eastAsia"/>
          <w:b/>
          <w:bCs/>
          <w:sz w:val="30"/>
          <w:szCs w:val="30"/>
        </w:rPr>
        <w:t>3.</w:t>
      </w:r>
      <w:r>
        <w:rPr>
          <w:rFonts w:ascii="宋体" w:eastAsia="宋体" w:hAnsi="宋体"/>
          <w:b/>
          <w:bCs/>
          <w:sz w:val="30"/>
          <w:szCs w:val="30"/>
        </w:rPr>
        <w:t>设施定期维护</w:t>
      </w:r>
      <w:bookmarkEnd w:id="25"/>
    </w:p>
    <w:p w14:paraId="5243C771" w14:textId="77777777" w:rsidR="00170538" w:rsidRDefault="00000000">
      <w:pPr>
        <w:spacing w:after="0" w:line="360" w:lineRule="auto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t>地源热泵系统维护</w:t>
      </w:r>
    </w:p>
    <w:p w14:paraId="0D47177D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日常维护：每天检查地源热泵机组的运行状态，包括进出口温度、压力、电流、电压等参数，确保机组运行正常；检查管道、阀门有无泄漏，保温层是否完好；检查地埋管系统的压力，确保无泄漏。</w:t>
      </w:r>
    </w:p>
    <w:p w14:paraId="7B5CDD4A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定期维护：每周对地源热泵机组的过滤器进行清洗；每月检查润滑油油位、油质，必要时进行补充或更换；每季度对冷凝器、蒸</w:t>
      </w:r>
      <w:r>
        <w:rPr>
          <w:rFonts w:ascii="宋体" w:eastAsia="宋体" w:hAnsi="宋体"/>
          <w:sz w:val="28"/>
          <w:szCs w:val="28"/>
        </w:rPr>
        <w:lastRenderedPageBreak/>
        <w:t>发器进行清洗，去除污垢与杂物；每年对机组进行全面检修，包括压缩机、换热器、电气系统等，测试机组性能参数，确保其符合设计要求。</w:t>
      </w:r>
    </w:p>
    <w:p w14:paraId="34A259A4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b/>
          <w:bCs/>
          <w:sz w:val="30"/>
          <w:szCs w:val="30"/>
        </w:rPr>
        <w:t>冷却塔维护</w:t>
      </w:r>
    </w:p>
    <w:p w14:paraId="5355C8DC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日常维护：每天检查冷却塔的运行状态，包括风机运行情况、喷淋均匀性、水位、水质等，确保冷却塔运行正常；检查管道、阀门有无泄漏。</w:t>
      </w:r>
    </w:p>
    <w:p w14:paraId="1D07896C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定期维护：每周对冷却塔的填料进行清洗，去除污垢与杂物；每月检查风机轴承的润滑情况，必要时进行补充或更换润滑油；每季度对冷却塔的集水盘、喷淋管道进行清洗，检查喷嘴有无堵塞，及时进行疏通或更换；每年对冷却塔进行全面检修，包括风机、电机、填料、喷淋系统等，确保其性能良好。同时，定期检测水质，根据检测结果添加适量的缓蚀剂、阻垢剂等水处理药剂，防止换热器表面结垢和腐蚀，保证系统的传热效率和设备的正常运行。</w:t>
      </w:r>
    </w:p>
    <w:p w14:paraId="452FC47C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b/>
          <w:bCs/>
          <w:sz w:val="30"/>
          <w:szCs w:val="30"/>
        </w:rPr>
        <w:t>太阳能系统维护</w:t>
      </w:r>
    </w:p>
    <w:p w14:paraId="54919121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日常维护：每天检查太阳能集热器的外观，确保无破损、污垢；检查管道、阀门有无泄漏，保温层是否完好；检查储热水箱的水位、温度，确保其正常。</w:t>
      </w:r>
    </w:p>
    <w:p w14:paraId="6F796EC9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定期维护：每周对太阳能集热器表面进行清洗，去除污垢、灰尘等，提高集热效率；每月检查太阳能循环泵、补水泵的运行状态，润滑油位、油质，必要时进行补充或更换；每季度检查管道、阀门的连接情况，有无腐蚀、泄漏，及时进行维修或更换；每年对</w:t>
      </w:r>
      <w:r>
        <w:rPr>
          <w:rFonts w:ascii="宋体" w:eastAsia="宋体" w:hAnsi="宋体"/>
          <w:sz w:val="28"/>
          <w:szCs w:val="28"/>
        </w:rPr>
        <w:lastRenderedPageBreak/>
        <w:t>太阳能集热器、储热水箱、循环泵、补水泵等设备进行全面检修，测试系统性能参数，确保其符合设计要求。</w:t>
      </w:r>
    </w:p>
    <w:p w14:paraId="209C0005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b/>
          <w:bCs/>
          <w:sz w:val="30"/>
          <w:szCs w:val="30"/>
        </w:rPr>
        <w:t>光伏系统维护</w:t>
      </w:r>
    </w:p>
    <w:p w14:paraId="1BB981FB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日常维护：每天检查光伏组件的外观，确保无破损、污垢、遮挡；检查逆变器、汇流箱的运行状态，包括指示灯、显示屏数据等，确保系统运行正常；检查电缆连接有无松动、发热。</w:t>
      </w:r>
    </w:p>
    <w:p w14:paraId="36BC3C92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定期维护：每周对光</w:t>
      </w:r>
      <w:proofErr w:type="gramStart"/>
      <w:r>
        <w:rPr>
          <w:rFonts w:ascii="宋体" w:eastAsia="宋体" w:hAnsi="宋体"/>
          <w:sz w:val="28"/>
          <w:szCs w:val="28"/>
        </w:rPr>
        <w:t>伏</w:t>
      </w:r>
      <w:proofErr w:type="gramEnd"/>
      <w:r>
        <w:rPr>
          <w:rFonts w:ascii="宋体" w:eastAsia="宋体" w:hAnsi="宋体"/>
          <w:sz w:val="28"/>
          <w:szCs w:val="28"/>
        </w:rPr>
        <w:t>组件表面进行清洗，去除污垢、灰尘、鸟粪等，提高发电效率；每月检查逆变器、汇流箱的散热情况，确保通风良好；每季度检查电缆连接情况，有无腐蚀、老化，及时进行处理；每年对光</w:t>
      </w:r>
      <w:proofErr w:type="gramStart"/>
      <w:r>
        <w:rPr>
          <w:rFonts w:ascii="宋体" w:eastAsia="宋体" w:hAnsi="宋体"/>
          <w:sz w:val="28"/>
          <w:szCs w:val="28"/>
        </w:rPr>
        <w:t>伏</w:t>
      </w:r>
      <w:proofErr w:type="gramEnd"/>
      <w:r>
        <w:rPr>
          <w:rFonts w:ascii="宋体" w:eastAsia="宋体" w:hAnsi="宋体"/>
          <w:sz w:val="28"/>
          <w:szCs w:val="28"/>
        </w:rPr>
        <w:t>组件、逆变器、汇流箱、接地系统等进行全面检修，测试系统性能参数，确保其符合设计要求与电网接入标准。</w:t>
      </w:r>
    </w:p>
    <w:p w14:paraId="6E6C8454" w14:textId="77777777" w:rsidR="00170538" w:rsidRDefault="00000000">
      <w:pPr>
        <w:spacing w:after="0" w:line="360" w:lineRule="auto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t>雨水回收系统维护</w:t>
      </w:r>
    </w:p>
    <w:p w14:paraId="541D7BCE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日常维护：每天检查雨水斗、排水立管有无堵塞，及时进行疏通；检查沉淀池、蓄水池的水位、水质，确保其正常；检查加压泵的运行状态，有无异响、泄漏。</w:t>
      </w:r>
    </w:p>
    <w:p w14:paraId="0A238041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定期维护：每周对雨水斗的不锈钢格栅进行清洗，去除杂物；每月对沉淀池进行清淤，去除泥沙、悬浮物等污染物；每季度对蓄水池进行清洗、消毒，确保水质达标；检查过滤消毒装置的滤芯，及时进行更换；每年对雨水回收系统的管道、阀门、加压泵、过滤消毒装置等设备进行全面检修，确保其性能良好。</w:t>
      </w:r>
    </w:p>
    <w:p w14:paraId="0EFBFF1B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玻璃幕墙</w:t>
      </w:r>
      <w:r>
        <w:rPr>
          <w:rFonts w:ascii="宋体" w:eastAsia="宋体" w:hAnsi="宋体"/>
          <w:b/>
          <w:bCs/>
          <w:sz w:val="30"/>
          <w:szCs w:val="30"/>
        </w:rPr>
        <w:t>围护结构维护</w:t>
      </w:r>
    </w:p>
    <w:p w14:paraId="747658D7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日常维护：每天检查三</w:t>
      </w:r>
      <w:proofErr w:type="gramStart"/>
      <w:r>
        <w:rPr>
          <w:rFonts w:ascii="宋体" w:eastAsia="宋体" w:hAnsi="宋体"/>
          <w:sz w:val="28"/>
          <w:szCs w:val="28"/>
        </w:rPr>
        <w:t>玻</w:t>
      </w:r>
      <w:proofErr w:type="gramEnd"/>
      <w:r>
        <w:rPr>
          <w:rFonts w:ascii="宋体" w:eastAsia="宋体" w:hAnsi="宋体"/>
          <w:sz w:val="28"/>
          <w:szCs w:val="28"/>
        </w:rPr>
        <w:t>两腔Low E玻璃幕墙的外观，确保无</w:t>
      </w:r>
      <w:r>
        <w:rPr>
          <w:rFonts w:ascii="宋体" w:eastAsia="宋体" w:hAnsi="宋体"/>
          <w:sz w:val="28"/>
          <w:szCs w:val="28"/>
        </w:rPr>
        <w:lastRenderedPageBreak/>
        <w:t>破损、密封胶无开裂、脱落；检查门窗的开启与关闭功能，密封性能是否良好。</w:t>
      </w:r>
    </w:p>
    <w:p w14:paraId="7B3B2C7C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定期维护：每季度对玻璃幕墙进行清洗，去除污垢；检查密封胶的老化情况，及时进行修补或更换；每年对门窗的五金配件进行润滑与维护，确保其运行灵活；检查围护结构的保温层，有无破损、脱落，及时进行修复。</w:t>
      </w:r>
    </w:p>
    <w:p w14:paraId="28267EF8" w14:textId="77777777" w:rsidR="00170538" w:rsidRDefault="00000000">
      <w:pPr>
        <w:spacing w:after="0" w:line="360" w:lineRule="auto"/>
        <w:outlineLvl w:val="2"/>
        <w:rPr>
          <w:rFonts w:ascii="宋体" w:eastAsia="宋体" w:hAnsi="宋体" w:hint="eastAsia"/>
        </w:rPr>
      </w:pPr>
      <w:r>
        <w:rPr>
          <w:rFonts w:ascii="宋体" w:eastAsia="宋体" w:hAnsi="宋体"/>
        </w:rPr>
        <w:t xml:space="preserve">    </w:t>
      </w:r>
      <w:bookmarkStart w:id="26" w:name="_Toc23876"/>
      <w:r>
        <w:rPr>
          <w:rFonts w:ascii="宋体" w:eastAsia="宋体" w:hAnsi="宋体"/>
          <w:b/>
          <w:bCs/>
          <w:sz w:val="30"/>
          <w:szCs w:val="30"/>
        </w:rPr>
        <w:t>4. 故障处理</w:t>
      </w:r>
      <w:bookmarkEnd w:id="26"/>
    </w:p>
    <w:p w14:paraId="67E1B58D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故障监测与诊断：通过智能控制系统实时监测各设备与系统的运行状态，当出现故障时，系统自动发出报警信号，并显示故障位置、故障类型等信息。同时，维护人员可通过现场检查、设备检测等方式进行故障诊断，确定故障原因。</w:t>
      </w:r>
    </w:p>
    <w:p w14:paraId="58FECAAC" w14:textId="77777777" w:rsidR="00170538" w:rsidRDefault="00000000">
      <w:pPr>
        <w:spacing w:after="0" w:line="360" w:lineRule="auto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t>常见故障处理</w:t>
      </w:r>
      <w:r>
        <w:rPr>
          <w:rFonts w:ascii="宋体" w:eastAsia="宋体" w:hAnsi="宋体" w:hint="eastAsia"/>
          <w:b/>
          <w:bCs/>
          <w:sz w:val="30"/>
          <w:szCs w:val="30"/>
        </w:rPr>
        <w:t>：</w:t>
      </w:r>
    </w:p>
    <w:p w14:paraId="41B20A44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地源热泵系统故障：常见故障包括压缩机故障、换热器结垢、制冷剂泄漏、电气系统故障等。针对压缩机故障，需检查电控系统、压缩机本身，必要时进行维修或更换；针对换热器结垢，需进行清洗；针对制冷剂泄漏，需查找泄漏点，进行修补并补充制冷剂；针对电气系统故障，需检查电路连接、电气元件，及时进行维修或更换。</w:t>
      </w:r>
    </w:p>
    <w:p w14:paraId="6640AE1D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冷却塔故障：常见故障包括风机故障、喷淋系统堵塞、填料损坏、水质恶化等。针对风机故障，需检查电机、轴承、传动装置，必要时进行维修或更换；针对喷淋系统堵塞，需清洗喷淋管道与喷嘴；针对填料损坏，需进行更换；针对水质恶化，需加强水质处</w:t>
      </w:r>
      <w:r>
        <w:rPr>
          <w:rFonts w:ascii="宋体" w:eastAsia="宋体" w:hAnsi="宋体"/>
          <w:sz w:val="28"/>
          <w:szCs w:val="28"/>
        </w:rPr>
        <w:lastRenderedPageBreak/>
        <w:t>理，更换循环水。</w:t>
      </w:r>
    </w:p>
    <w:p w14:paraId="5A647F7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太阳能系统故障：常见故障包括</w:t>
      </w:r>
      <w:proofErr w:type="gramStart"/>
      <w:r>
        <w:rPr>
          <w:rFonts w:ascii="宋体" w:eastAsia="宋体" w:hAnsi="宋体"/>
          <w:sz w:val="28"/>
          <w:szCs w:val="28"/>
        </w:rPr>
        <w:t>集热器破损</w:t>
      </w:r>
      <w:proofErr w:type="gramEnd"/>
      <w:r>
        <w:rPr>
          <w:rFonts w:ascii="宋体" w:eastAsia="宋体" w:hAnsi="宋体"/>
          <w:sz w:val="28"/>
          <w:szCs w:val="28"/>
        </w:rPr>
        <w:t>、循环泵故障、管道泄漏、保温层损坏等。针对</w:t>
      </w:r>
      <w:proofErr w:type="gramStart"/>
      <w:r>
        <w:rPr>
          <w:rFonts w:ascii="宋体" w:eastAsia="宋体" w:hAnsi="宋体"/>
          <w:sz w:val="28"/>
          <w:szCs w:val="28"/>
        </w:rPr>
        <w:t>集热器破损</w:t>
      </w:r>
      <w:proofErr w:type="gramEnd"/>
      <w:r>
        <w:rPr>
          <w:rFonts w:ascii="宋体" w:eastAsia="宋体" w:hAnsi="宋体"/>
          <w:sz w:val="28"/>
          <w:szCs w:val="28"/>
        </w:rPr>
        <w:t>，需进行维修或更换；针对循环泵故障，需检查电机、轴承、叶轮，必要时进行维修或更换；针对管道泄漏，需查找泄漏点，进行修补或更换管道；针对保温层损坏，需进行修复或更换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5C7A54B7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光伏发电系统故障：常见故障包括光伏组件损坏、逆变器故障、汇流箱故障、电缆连接故障等。针对光伏组件损坏，需进行更换；针对逆变器故障，需检查电路、散热系统、软件程序，必要时进行维修或更换；针对汇流箱故障，需检查熔断器、断路器、接线端子，及时进行维修或更换；针对电缆连接故障，需检查连接点，进行紧固或更换电缆。</w:t>
      </w:r>
    </w:p>
    <w:p w14:paraId="5C10C692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雨水回收系统故障：常见故障包括雨水斗堵塞、沉淀池淤积、加压泵故障、过滤消毒装置故障等。针对雨水斗堵塞，需进行疏通；针对沉淀池淤积，需进行清淤；针对加压泵故障，需检查电机、叶轮、管路，必要时进行维修或更换；针对过滤消毒装置故障，需检查滤芯、消毒设备，及时进行更换或维修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0A9EC3EE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智能控制系统故障：常见故障包括传感器故障、控制器故障、执行器故障、软件故障等。针对传感器故障，需进行校准或更换；针对控制器故障，需检查电路、程序，必要时进行维修或更换；针对执行器故障，需检查机械部分、电气部分，及时进行维修或更换；针对软件故障，需进行重启、升级或重装软件。</w:t>
      </w:r>
    </w:p>
    <w:p w14:paraId="07CF42BA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应急处理：针对突发故障，如系统停机、严重泄漏、火灾等，启动应急预案，采取相应的应急措施，如切断电源、关闭阀门、组织人员疏散等，确保人员安全与设备安全，并及时通知专业维修人员进行抢修。</w:t>
      </w:r>
    </w:p>
    <w:p w14:paraId="353F9510" w14:textId="77777777" w:rsidR="00170538" w:rsidRDefault="00000000">
      <w:pPr>
        <w:spacing w:after="0" w:line="360" w:lineRule="auto"/>
        <w:outlineLvl w:val="0"/>
        <w:rPr>
          <w:rFonts w:ascii="宋体" w:eastAsia="宋体" w:hAnsi="宋体" w:hint="eastAsia"/>
          <w:b/>
          <w:bCs/>
          <w:sz w:val="28"/>
          <w:szCs w:val="28"/>
        </w:rPr>
      </w:pPr>
      <w:bookmarkStart w:id="27" w:name="_Toc30386"/>
      <w:r>
        <w:rPr>
          <w:rFonts w:ascii="宋体" w:eastAsia="宋体" w:hAnsi="宋体" w:hint="eastAsia"/>
          <w:b/>
          <w:bCs/>
          <w:sz w:val="30"/>
          <w:szCs w:val="30"/>
        </w:rPr>
        <w:t>三、</w:t>
      </w:r>
      <w:r>
        <w:rPr>
          <w:rFonts w:ascii="宋体" w:eastAsia="宋体" w:hAnsi="宋体"/>
          <w:b/>
          <w:bCs/>
          <w:sz w:val="30"/>
          <w:szCs w:val="30"/>
        </w:rPr>
        <w:t>项目全生命周期运行与维护管理实施方案</w:t>
      </w:r>
      <w:bookmarkEnd w:id="27"/>
    </w:p>
    <w:p w14:paraId="63466931" w14:textId="77777777" w:rsidR="00170538" w:rsidRDefault="00000000">
      <w:pPr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为确保低碳目标的持续实现，建立并执行一套长效运行与维护管理机制，形成管理——运行——优化——提升的闭环，具体内容如下：</w:t>
      </w:r>
    </w:p>
    <w:p w14:paraId="1F3E6999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28"/>
          <w:szCs w:val="28"/>
        </w:rPr>
      </w:pPr>
      <w:bookmarkStart w:id="28" w:name="_Toc19219"/>
      <w:r>
        <w:rPr>
          <w:rFonts w:ascii="宋体" w:eastAsia="宋体" w:hAnsi="宋体" w:hint="eastAsia"/>
          <w:b/>
          <w:bCs/>
          <w:sz w:val="30"/>
          <w:szCs w:val="30"/>
        </w:rPr>
        <w:t>1.</w:t>
      </w:r>
      <w:r>
        <w:rPr>
          <w:rFonts w:ascii="宋体" w:eastAsia="宋体" w:hAnsi="宋体"/>
          <w:b/>
          <w:bCs/>
          <w:sz w:val="30"/>
          <w:szCs w:val="30"/>
        </w:rPr>
        <w:t>智能化监测体系</w:t>
      </w:r>
      <w:bookmarkEnd w:id="28"/>
    </w:p>
    <w:p w14:paraId="3865E288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监测参数设定：明确各系统的监测参数，包括能源消耗参数（电量、热量、水量）、设备运行参数（温度、压力、流量、电流、电压、功率）、环境参数（室内外温湿度、土壤温度、太阳辐射强度、降雨量）、资源循环参数（雨水回收量、太阳能集热量、光伏发电量）等。</w:t>
      </w:r>
    </w:p>
    <w:p w14:paraId="37B04DFA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监测设备部署：</w:t>
      </w:r>
      <w:proofErr w:type="gramStart"/>
      <w:r>
        <w:rPr>
          <w:rFonts w:ascii="宋体" w:eastAsia="宋体" w:hAnsi="宋体"/>
          <w:sz w:val="28"/>
          <w:szCs w:val="28"/>
        </w:rPr>
        <w:t>部署全</w:t>
      </w:r>
      <w:proofErr w:type="gramEnd"/>
      <w:r>
        <w:rPr>
          <w:rFonts w:ascii="宋体" w:eastAsia="宋体" w:hAnsi="宋体"/>
          <w:sz w:val="28"/>
          <w:szCs w:val="28"/>
        </w:rPr>
        <w:t>覆盖的传感器与智能仪表，对建筑能耗、室内环境、设备状态、可再生能源利用情况等进行实时数据采集与传输。传感器与智能仪表的选型应符合设计要求，具备精度高、稳定性好、适应环境能力强等特点。</w:t>
      </w:r>
    </w:p>
    <w:p w14:paraId="01AC501B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数据管理平台建设：建立数据管理平台，对采集的数据进行存储、分析与可视化展示。数据管理平台应具备数据接收、数据存储、数据处理、数据分析、数据查询、报表生成、预警提示等功能，支持电脑端、移动端访问，方便管理人员实时掌握建筑运行状</w:t>
      </w:r>
      <w:r>
        <w:rPr>
          <w:rFonts w:ascii="宋体" w:eastAsia="宋体" w:hAnsi="宋体"/>
          <w:sz w:val="28"/>
          <w:szCs w:val="28"/>
        </w:rPr>
        <w:lastRenderedPageBreak/>
        <w:t>态。</w:t>
      </w:r>
    </w:p>
    <w:p w14:paraId="4A89DEF2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数据质量控制：建立数据质量控制机制，对采集的数据进行校验、清洗与修正，确保数据准确、完整、可靠。定期对传感器与智能仪表进行校准，检查数据传输链路，及时发现并解决数据异常问题。</w:t>
      </w:r>
    </w:p>
    <w:p w14:paraId="263ABA2B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29" w:name="_Toc26526"/>
      <w:r>
        <w:rPr>
          <w:rFonts w:ascii="宋体" w:eastAsia="宋体" w:hAnsi="宋体" w:hint="eastAsia"/>
          <w:b/>
          <w:bCs/>
          <w:sz w:val="30"/>
          <w:szCs w:val="30"/>
        </w:rPr>
        <w:t>2.</w:t>
      </w:r>
      <w:r>
        <w:rPr>
          <w:rFonts w:ascii="宋体" w:eastAsia="宋体" w:hAnsi="宋体"/>
          <w:b/>
          <w:bCs/>
          <w:sz w:val="30"/>
          <w:szCs w:val="30"/>
        </w:rPr>
        <w:t>设备维护管理机制</w:t>
      </w:r>
      <w:bookmarkEnd w:id="29"/>
    </w:p>
    <w:p w14:paraId="3604BC58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/>
          <w:sz w:val="28"/>
          <w:szCs w:val="28"/>
        </w:rPr>
        <w:t>维护计划制定：制定详细的设备维护手册与维护计划，明确各设备的维护周期、维护内容、维护标准、维护责任人及维护费用预算。维护计划应根据设备的使用寿命、运行工况、制造商建议等因素进行制定，并根据实际运行情况进行动态调整。</w:t>
      </w:r>
    </w:p>
    <w:p w14:paraId="6EBA42B3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维护档案建立：建立设备维护档案，记录设备的基本信息（设备名称、型号、规格、安装位置、安装日期、制造商等）、维护记录（维护日期、维护内容、维护人员、维护结果等）、故障处理记录（故障日期、故障类型、故障原因、处理措施、处理结果等）、性能测试记录（测试日期、测试参数、测试结果等）等，实现设备全生命周期管理。</w:t>
      </w:r>
    </w:p>
    <w:p w14:paraId="7A9DB8D9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维护人员培训：定期开展设备维护培训，提高运</w:t>
      </w:r>
      <w:proofErr w:type="gramStart"/>
      <w:r>
        <w:rPr>
          <w:rFonts w:ascii="宋体" w:eastAsia="宋体" w:hAnsi="宋体"/>
          <w:sz w:val="28"/>
          <w:szCs w:val="28"/>
        </w:rPr>
        <w:t>维人员</w:t>
      </w:r>
      <w:proofErr w:type="gramEnd"/>
      <w:r>
        <w:rPr>
          <w:rFonts w:ascii="宋体" w:eastAsia="宋体" w:hAnsi="宋体"/>
          <w:sz w:val="28"/>
          <w:szCs w:val="28"/>
        </w:rPr>
        <w:t>的专业技能与综合素质。培训内容包括设备原理、操作规程、维护方法、故障诊断与处理、安全注意事项等，采用理论教学与实践操作相结合的方式，确保培训效果。同时，鼓励运</w:t>
      </w:r>
      <w:proofErr w:type="gramStart"/>
      <w:r>
        <w:rPr>
          <w:rFonts w:ascii="宋体" w:eastAsia="宋体" w:hAnsi="宋体"/>
          <w:sz w:val="28"/>
          <w:szCs w:val="28"/>
        </w:rPr>
        <w:t>维人员</w:t>
      </w:r>
      <w:proofErr w:type="gramEnd"/>
      <w:r>
        <w:rPr>
          <w:rFonts w:ascii="宋体" w:eastAsia="宋体" w:hAnsi="宋体"/>
          <w:sz w:val="28"/>
          <w:szCs w:val="28"/>
        </w:rPr>
        <w:t>参加行业培训与认证，不断更新知识结构，提升业务水平。</w:t>
      </w:r>
    </w:p>
    <w:p w14:paraId="0FC9455C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维护质量监督：建立维护质量监督机制，加强对维护工作的监</w:t>
      </w:r>
      <w:r>
        <w:rPr>
          <w:rFonts w:ascii="宋体" w:eastAsia="宋体" w:hAnsi="宋体"/>
          <w:sz w:val="28"/>
          <w:szCs w:val="28"/>
        </w:rPr>
        <w:lastRenderedPageBreak/>
        <w:t>督与检查，确保维护工作按照维护计划与维护标准执行。定期对维护记录进行审核，评估维护效果，对维护工作中存在的问题及时进行整改，不断提高维护质量。</w:t>
      </w:r>
    </w:p>
    <w:p w14:paraId="37769CE2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故障应急处理机制：建立设备故障应急处理机制，针对突发故障制定应急预案，明确应急响应流程、人员职责分工、设备备用方案、外部支援联系等。定期进行应急演练，提高运</w:t>
      </w:r>
      <w:proofErr w:type="gramStart"/>
      <w:r>
        <w:rPr>
          <w:rFonts w:ascii="宋体" w:eastAsia="宋体" w:hAnsi="宋体"/>
          <w:sz w:val="28"/>
          <w:szCs w:val="28"/>
        </w:rPr>
        <w:t>维人员</w:t>
      </w:r>
      <w:proofErr w:type="gramEnd"/>
      <w:r>
        <w:rPr>
          <w:rFonts w:ascii="宋体" w:eastAsia="宋体" w:hAnsi="宋体"/>
          <w:sz w:val="28"/>
          <w:szCs w:val="28"/>
        </w:rPr>
        <w:t>的应急处置能力，确保故障得到及时处理，减少对建筑运行的影响。应急预案应根据设备更新、运行环境变化等情况进行定期修订与完善。</w:t>
      </w:r>
    </w:p>
    <w:p w14:paraId="5C6D685C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30"/>
          <w:szCs w:val="30"/>
        </w:rPr>
      </w:pPr>
      <w:bookmarkStart w:id="30" w:name="_Toc4579"/>
      <w:r>
        <w:rPr>
          <w:rFonts w:ascii="宋体" w:eastAsia="宋体" w:hAnsi="宋体"/>
          <w:b/>
          <w:bCs/>
          <w:sz w:val="30"/>
          <w:szCs w:val="30"/>
        </w:rPr>
        <w:t>3. 节能宣传与用户参与</w:t>
      </w:r>
      <w:bookmarkEnd w:id="30"/>
    </w:p>
    <w:p w14:paraId="6C497E97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节能宣传教育：开展形式多样的节能宣传教育活动，如张贴宣传海报、发放宣传手册、举办讲座、开展知识竞赛等，向师生及使用者普及低碳节能知识、可再生能源利用知识、设备正确使用方法等，提升其低碳意识与节能意识。</w:t>
      </w:r>
    </w:p>
    <w:p w14:paraId="5A8A59A5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节能提示与引导：在建筑内设置节能提示标识，如空调温度设置提示、随手关灯提示、节约用水提示等，引导用户养成良好的节能习惯。通过智能控制系统向用户推送节能建议与能耗信息，让用户了解自己的用能情况，主动参与节能行动。</w:t>
      </w:r>
    </w:p>
    <w:p w14:paraId="089DF346" w14:textId="77777777" w:rsidR="00170538" w:rsidRDefault="00000000">
      <w:pPr>
        <w:spacing w:after="0"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节能激励机制建立：建立节能激励机制，对在节能工作中表现突出的个人或部门给予表彰与奖励，如颁发荣誉证书、物质奖励、能耗减免等，激发用户参与节能的积极性与主动性，形成共建共享的绿色建筑文化。</w:t>
      </w:r>
    </w:p>
    <w:p w14:paraId="2E8A8039" w14:textId="77777777" w:rsidR="00170538" w:rsidRDefault="00000000">
      <w:pPr>
        <w:spacing w:after="0" w:line="360" w:lineRule="auto"/>
        <w:outlineLvl w:val="0"/>
        <w:rPr>
          <w:rFonts w:ascii="宋体" w:eastAsia="宋体" w:hAnsi="宋体" w:hint="eastAsia"/>
          <w:sz w:val="32"/>
          <w:szCs w:val="32"/>
        </w:rPr>
      </w:pPr>
      <w:bookmarkStart w:id="31" w:name="_Toc27800"/>
      <w:r>
        <w:rPr>
          <w:rFonts w:ascii="宋体" w:eastAsia="宋体" w:hAnsi="宋体"/>
          <w:sz w:val="32"/>
          <w:szCs w:val="32"/>
        </w:rPr>
        <w:lastRenderedPageBreak/>
        <w:t>四、实施结果效能对比</w:t>
      </w:r>
      <w:bookmarkEnd w:id="31"/>
    </w:p>
    <w:p w14:paraId="1265E29A" w14:textId="77777777" w:rsidR="00170538" w:rsidRDefault="00000000">
      <w:pPr>
        <w:spacing w:after="0" w:line="360" w:lineRule="auto"/>
        <w:outlineLvl w:val="1"/>
        <w:rPr>
          <w:rFonts w:ascii="宋体" w:eastAsia="宋体" w:hAnsi="宋体" w:hint="eastAsia"/>
          <w:b/>
          <w:bCs/>
          <w:sz w:val="28"/>
          <w:szCs w:val="28"/>
        </w:rPr>
      </w:pPr>
      <w:bookmarkStart w:id="32" w:name="_Toc1121"/>
      <w:r>
        <w:rPr>
          <w:rFonts w:ascii="宋体" w:eastAsia="宋体" w:hAnsi="宋体" w:hint="eastAsia"/>
          <w:b/>
          <w:bCs/>
          <w:sz w:val="28"/>
          <w:szCs w:val="28"/>
        </w:rPr>
        <w:t>1.采光</w:t>
      </w:r>
      <w:bookmarkEnd w:id="32"/>
    </w:p>
    <w:p w14:paraId="69B2E3E4" w14:textId="77777777" w:rsidR="00170538" w:rsidRDefault="00000000">
      <w:pPr>
        <w:outlineLvl w:val="2"/>
        <w:rPr>
          <w:rFonts w:hint="eastAsia"/>
        </w:rPr>
      </w:pPr>
      <w:bookmarkStart w:id="33" w:name="_Toc26618"/>
      <w:r>
        <w:rPr>
          <w:rFonts w:ascii="宋体" w:eastAsia="宋体" w:hAnsi="宋体" w:hint="eastAsia"/>
          <w:sz w:val="28"/>
          <w:szCs w:val="28"/>
        </w:rPr>
        <w:t>a.改造前:</w:t>
      </w:r>
      <w:bookmarkEnd w:id="33"/>
    </w:p>
    <w:tbl>
      <w:tblPr>
        <w:tblW w:w="92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3"/>
        <w:gridCol w:w="1131"/>
        <w:gridCol w:w="1075"/>
        <w:gridCol w:w="1075"/>
        <w:gridCol w:w="2434"/>
        <w:gridCol w:w="2264"/>
      </w:tblGrid>
      <w:tr w:rsidR="00170538" w14:paraId="683249BA" w14:textId="77777777">
        <w:tc>
          <w:tcPr>
            <w:tcW w:w="1301" w:type="dxa"/>
            <w:shd w:val="clear" w:color="auto" w:fill="E6E6E6"/>
            <w:vAlign w:val="center"/>
          </w:tcPr>
          <w:p w14:paraId="0EDD99A4" w14:textId="77777777" w:rsidR="00170538" w:rsidRDefault="00000000">
            <w:pPr>
              <w:rPr>
                <w:rFonts w:hint="eastAsia"/>
              </w:rPr>
            </w:pPr>
            <w:r>
              <w:t>房间/面积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65BED10" w14:textId="77777777" w:rsidR="00170538" w:rsidRDefault="00000000">
            <w:pPr>
              <w:rPr>
                <w:rFonts w:hint="eastAsia"/>
              </w:rPr>
            </w:pPr>
            <w:r>
              <w:t>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A25966" w14:textId="77777777" w:rsidR="00170538" w:rsidRDefault="00000000">
            <w:pPr>
              <w:rPr>
                <w:rFonts w:hint="eastAsia"/>
              </w:rPr>
            </w:pPr>
            <w:r>
              <w:t>满足要求数量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4C8F0C" w14:textId="77777777" w:rsidR="00170538" w:rsidRDefault="00000000">
            <w:pPr>
              <w:rPr>
                <w:rFonts w:hint="eastAsia"/>
              </w:rPr>
            </w:pPr>
            <w:r>
              <w:t>满足要求比例(%)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E1895E8" w14:textId="77777777" w:rsidR="00170538" w:rsidRDefault="00000000">
            <w:pPr>
              <w:rPr>
                <w:rFonts w:hint="eastAsia"/>
              </w:rPr>
            </w:pPr>
            <w:r>
              <w:t>不满足</w:t>
            </w:r>
            <w:proofErr w:type="gramStart"/>
            <w:r>
              <w:t>非强条的</w:t>
            </w:r>
            <w:proofErr w:type="gramEnd"/>
            <w:r>
              <w:t>房间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603B90E3" w14:textId="77777777" w:rsidR="00170538" w:rsidRDefault="00000000">
            <w:pPr>
              <w:rPr>
                <w:rFonts w:hint="eastAsia"/>
              </w:rPr>
            </w:pPr>
            <w:r>
              <w:t>不</w:t>
            </w:r>
            <w:proofErr w:type="gramStart"/>
            <w:r>
              <w:t>满足强条的</w:t>
            </w:r>
            <w:proofErr w:type="gramEnd"/>
            <w:r>
              <w:t>房间</w:t>
            </w:r>
          </w:p>
        </w:tc>
      </w:tr>
      <w:tr w:rsidR="00170538" w14:paraId="61AE6D3B" w14:textId="77777777">
        <w:tc>
          <w:tcPr>
            <w:tcW w:w="1301" w:type="dxa"/>
            <w:vAlign w:val="center"/>
          </w:tcPr>
          <w:p w14:paraId="6C4348AC" w14:textId="77777777" w:rsidR="00170538" w:rsidRDefault="00000000">
            <w:pPr>
              <w:rPr>
                <w:rFonts w:hint="eastAsia"/>
              </w:rPr>
            </w:pPr>
            <w:r>
              <w:t>房间(</w:t>
            </w:r>
            <w:proofErr w:type="gramStart"/>
            <w:r>
              <w:t>个</w:t>
            </w:r>
            <w:proofErr w:type="gramEnd"/>
            <w:r>
              <w:t>)</w:t>
            </w:r>
          </w:p>
        </w:tc>
        <w:tc>
          <w:tcPr>
            <w:tcW w:w="1131" w:type="dxa"/>
            <w:vAlign w:val="center"/>
          </w:tcPr>
          <w:p w14:paraId="6C47E219" w14:textId="77777777" w:rsidR="00170538" w:rsidRDefault="00000000">
            <w:pPr>
              <w:rPr>
                <w:rFonts w:hint="eastAsia"/>
              </w:rPr>
            </w:pPr>
            <w:r>
              <w:t>194</w:t>
            </w:r>
          </w:p>
        </w:tc>
        <w:tc>
          <w:tcPr>
            <w:tcW w:w="1075" w:type="dxa"/>
            <w:vAlign w:val="center"/>
          </w:tcPr>
          <w:p w14:paraId="1CB9BD6A" w14:textId="77777777" w:rsidR="00170538" w:rsidRDefault="00000000">
            <w:pPr>
              <w:rPr>
                <w:rFonts w:hint="eastAsia"/>
              </w:rPr>
            </w:pPr>
            <w:r>
              <w:t>183</w:t>
            </w:r>
          </w:p>
        </w:tc>
        <w:tc>
          <w:tcPr>
            <w:tcW w:w="1075" w:type="dxa"/>
            <w:vAlign w:val="center"/>
          </w:tcPr>
          <w:p w14:paraId="1CA44761" w14:textId="77777777" w:rsidR="00170538" w:rsidRDefault="00000000">
            <w:pPr>
              <w:rPr>
                <w:rFonts w:hint="eastAsia"/>
              </w:rPr>
            </w:pPr>
            <w:r>
              <w:t>94.33</w:t>
            </w:r>
          </w:p>
        </w:tc>
        <w:tc>
          <w:tcPr>
            <w:tcW w:w="2433" w:type="dxa"/>
            <w:vAlign w:val="center"/>
          </w:tcPr>
          <w:p w14:paraId="65530CBB" w14:textId="77777777" w:rsidR="00170538" w:rsidRDefault="00000000">
            <w:pPr>
              <w:rPr>
                <w:rFonts w:hint="eastAsia"/>
              </w:rPr>
            </w:pPr>
            <w:r>
              <w:rPr>
                <w:color w:val="FF00FF"/>
              </w:rPr>
              <w:t>1024 1027 2020 2052 2053 3014 4014 5011 5014 6014 ……</w:t>
            </w:r>
            <w:r>
              <w:rPr>
                <w:color w:val="FF00FF"/>
              </w:rPr>
              <w:br/>
              <w:t>不满足的房间超过10个</w:t>
            </w:r>
          </w:p>
        </w:tc>
        <w:tc>
          <w:tcPr>
            <w:tcW w:w="2263" w:type="dxa"/>
            <w:vAlign w:val="center"/>
          </w:tcPr>
          <w:p w14:paraId="3E1C607D" w14:textId="77777777" w:rsidR="00170538" w:rsidRDefault="00170538">
            <w:pPr>
              <w:rPr>
                <w:rFonts w:hint="eastAsia"/>
              </w:rPr>
            </w:pPr>
          </w:p>
        </w:tc>
      </w:tr>
      <w:tr w:rsidR="00170538" w14:paraId="446F43E6" w14:textId="77777777">
        <w:trPr>
          <w:trHeight w:val="182"/>
        </w:trPr>
        <w:tc>
          <w:tcPr>
            <w:tcW w:w="1301" w:type="dxa"/>
            <w:vAlign w:val="center"/>
          </w:tcPr>
          <w:p w14:paraId="7BA157C2" w14:textId="77777777" w:rsidR="00170538" w:rsidRDefault="00000000">
            <w:pPr>
              <w:rPr>
                <w:rFonts w:hint="eastAsia"/>
              </w:rPr>
            </w:pPr>
            <w:r>
              <w:t>采光面积(㎡)</w:t>
            </w:r>
          </w:p>
        </w:tc>
        <w:tc>
          <w:tcPr>
            <w:tcW w:w="1131" w:type="dxa"/>
            <w:vAlign w:val="center"/>
          </w:tcPr>
          <w:p w14:paraId="77B099D2" w14:textId="77777777" w:rsidR="00170538" w:rsidRDefault="00000000">
            <w:pPr>
              <w:rPr>
                <w:rFonts w:hint="eastAsia"/>
              </w:rPr>
            </w:pPr>
            <w:r>
              <w:t>14205.51</w:t>
            </w:r>
          </w:p>
        </w:tc>
        <w:tc>
          <w:tcPr>
            <w:tcW w:w="1075" w:type="dxa"/>
            <w:vAlign w:val="center"/>
          </w:tcPr>
          <w:p w14:paraId="4D0A004E" w14:textId="77777777" w:rsidR="00170538" w:rsidRDefault="00000000">
            <w:pPr>
              <w:rPr>
                <w:rFonts w:hint="eastAsia"/>
              </w:rPr>
            </w:pPr>
            <w:r>
              <w:t>11047.30</w:t>
            </w:r>
          </w:p>
        </w:tc>
        <w:tc>
          <w:tcPr>
            <w:tcW w:w="1075" w:type="dxa"/>
            <w:vAlign w:val="center"/>
          </w:tcPr>
          <w:p w14:paraId="13BA8349" w14:textId="77777777" w:rsidR="00170538" w:rsidRDefault="00000000">
            <w:pPr>
              <w:rPr>
                <w:rFonts w:hint="eastAsia"/>
              </w:rPr>
            </w:pPr>
            <w:r>
              <w:t>77.77</w:t>
            </w:r>
          </w:p>
        </w:tc>
        <w:tc>
          <w:tcPr>
            <w:tcW w:w="2433" w:type="dxa"/>
            <w:vAlign w:val="center"/>
          </w:tcPr>
          <w:p w14:paraId="754B3DEA" w14:textId="77777777" w:rsidR="00170538" w:rsidRDefault="00000000">
            <w:pPr>
              <w:rPr>
                <w:rFonts w:hint="eastAsia"/>
              </w:rPr>
            </w:pPr>
            <w:r>
              <w:t>－－</w:t>
            </w:r>
          </w:p>
        </w:tc>
        <w:tc>
          <w:tcPr>
            <w:tcW w:w="2263" w:type="dxa"/>
            <w:vAlign w:val="center"/>
          </w:tcPr>
          <w:p w14:paraId="62933543" w14:textId="77777777" w:rsidR="00170538" w:rsidRDefault="00000000">
            <w:pPr>
              <w:rPr>
                <w:rFonts w:hint="eastAsia"/>
              </w:rPr>
            </w:pPr>
            <w:r>
              <w:t>－－</w:t>
            </w:r>
          </w:p>
        </w:tc>
      </w:tr>
    </w:tbl>
    <w:p w14:paraId="7B8CB25B" w14:textId="77777777" w:rsidR="00170538" w:rsidRDefault="00000000">
      <w:pPr>
        <w:outlineLvl w:val="2"/>
        <w:rPr>
          <w:rFonts w:hint="eastAsia"/>
        </w:rPr>
      </w:pPr>
      <w:bookmarkStart w:id="34" w:name="_Toc5183"/>
      <w:r>
        <w:rPr>
          <w:rFonts w:ascii="宋体" w:eastAsia="宋体" w:hAnsi="宋体" w:hint="eastAsia"/>
          <w:sz w:val="28"/>
          <w:szCs w:val="28"/>
        </w:rPr>
        <w:t>b.改造后：</w:t>
      </w:r>
      <w:bookmarkEnd w:id="34"/>
    </w:p>
    <w:tbl>
      <w:tblPr>
        <w:tblW w:w="92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3"/>
        <w:gridCol w:w="1131"/>
        <w:gridCol w:w="1075"/>
        <w:gridCol w:w="1075"/>
        <w:gridCol w:w="2434"/>
        <w:gridCol w:w="2264"/>
      </w:tblGrid>
      <w:tr w:rsidR="00170538" w14:paraId="0B7C4260" w14:textId="77777777">
        <w:tc>
          <w:tcPr>
            <w:tcW w:w="1301" w:type="dxa"/>
            <w:shd w:val="clear" w:color="auto" w:fill="E6E6E6"/>
            <w:vAlign w:val="center"/>
          </w:tcPr>
          <w:p w14:paraId="5FA34B29" w14:textId="77777777" w:rsidR="00170538" w:rsidRDefault="00000000">
            <w:pPr>
              <w:rPr>
                <w:rFonts w:hint="eastAsia"/>
              </w:rPr>
            </w:pPr>
            <w:r>
              <w:t>房间/面积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68758B6" w14:textId="77777777" w:rsidR="00170538" w:rsidRDefault="00000000">
            <w:pPr>
              <w:rPr>
                <w:rFonts w:hint="eastAsia"/>
              </w:rPr>
            </w:pPr>
            <w:r>
              <w:t>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62F869" w14:textId="77777777" w:rsidR="00170538" w:rsidRDefault="00000000">
            <w:pPr>
              <w:rPr>
                <w:rFonts w:hint="eastAsia"/>
              </w:rPr>
            </w:pPr>
            <w:r>
              <w:t>满足要求数量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E0BA20" w14:textId="77777777" w:rsidR="00170538" w:rsidRDefault="00000000">
            <w:pPr>
              <w:rPr>
                <w:rFonts w:hint="eastAsia"/>
              </w:rPr>
            </w:pPr>
            <w:r>
              <w:t>满足要求比例(%)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4511945" w14:textId="77777777" w:rsidR="00170538" w:rsidRDefault="00000000">
            <w:pPr>
              <w:rPr>
                <w:rFonts w:hint="eastAsia"/>
              </w:rPr>
            </w:pPr>
            <w:r>
              <w:t>不满足</w:t>
            </w:r>
            <w:proofErr w:type="gramStart"/>
            <w:r>
              <w:t>非强条的</w:t>
            </w:r>
            <w:proofErr w:type="gramEnd"/>
            <w:r>
              <w:t>房间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76433605" w14:textId="77777777" w:rsidR="00170538" w:rsidRDefault="00000000">
            <w:pPr>
              <w:rPr>
                <w:rFonts w:hint="eastAsia"/>
              </w:rPr>
            </w:pPr>
            <w:r>
              <w:t>不</w:t>
            </w:r>
            <w:proofErr w:type="gramStart"/>
            <w:r>
              <w:t>满足强条的</w:t>
            </w:r>
            <w:proofErr w:type="gramEnd"/>
            <w:r>
              <w:t>房间</w:t>
            </w:r>
          </w:p>
        </w:tc>
      </w:tr>
      <w:tr w:rsidR="00170538" w14:paraId="4384FEB4" w14:textId="77777777">
        <w:tc>
          <w:tcPr>
            <w:tcW w:w="1301" w:type="dxa"/>
            <w:vAlign w:val="center"/>
          </w:tcPr>
          <w:p w14:paraId="390B075C" w14:textId="77777777" w:rsidR="00170538" w:rsidRDefault="00000000">
            <w:pPr>
              <w:rPr>
                <w:rFonts w:hint="eastAsia"/>
              </w:rPr>
            </w:pPr>
            <w:r>
              <w:t>房间(</w:t>
            </w:r>
            <w:proofErr w:type="gramStart"/>
            <w:r>
              <w:t>个</w:t>
            </w:r>
            <w:proofErr w:type="gramEnd"/>
            <w:r>
              <w:t>)</w:t>
            </w:r>
          </w:p>
        </w:tc>
        <w:tc>
          <w:tcPr>
            <w:tcW w:w="1131" w:type="dxa"/>
            <w:vAlign w:val="center"/>
          </w:tcPr>
          <w:p w14:paraId="77262DE2" w14:textId="77777777" w:rsidR="00170538" w:rsidRDefault="00000000">
            <w:pPr>
              <w:rPr>
                <w:rFonts w:hint="eastAsia"/>
              </w:rPr>
            </w:pPr>
            <w:r>
              <w:t>194</w:t>
            </w:r>
          </w:p>
        </w:tc>
        <w:tc>
          <w:tcPr>
            <w:tcW w:w="1075" w:type="dxa"/>
            <w:vAlign w:val="center"/>
          </w:tcPr>
          <w:p w14:paraId="0EBB32A9" w14:textId="77777777" w:rsidR="00170538" w:rsidRDefault="00000000">
            <w:pPr>
              <w:rPr>
                <w:rFonts w:hint="eastAsia"/>
              </w:rPr>
            </w:pPr>
            <w:r>
              <w:t>193</w:t>
            </w:r>
          </w:p>
        </w:tc>
        <w:tc>
          <w:tcPr>
            <w:tcW w:w="1075" w:type="dxa"/>
            <w:vAlign w:val="center"/>
          </w:tcPr>
          <w:p w14:paraId="3E93451A" w14:textId="77777777" w:rsidR="00170538" w:rsidRDefault="00000000">
            <w:pPr>
              <w:rPr>
                <w:rFonts w:hint="eastAsia"/>
              </w:rPr>
            </w:pPr>
            <w:r>
              <w:t>99.48</w:t>
            </w:r>
          </w:p>
        </w:tc>
        <w:tc>
          <w:tcPr>
            <w:tcW w:w="2433" w:type="dxa"/>
            <w:vAlign w:val="center"/>
          </w:tcPr>
          <w:p w14:paraId="32CEC9C4" w14:textId="77777777" w:rsidR="00170538" w:rsidRDefault="00000000">
            <w:pPr>
              <w:rPr>
                <w:rFonts w:hint="eastAsia"/>
              </w:rPr>
            </w:pPr>
            <w:r>
              <w:rPr>
                <w:color w:val="FF00FF"/>
              </w:rPr>
              <w:t xml:space="preserve">1080 </w:t>
            </w:r>
          </w:p>
        </w:tc>
        <w:tc>
          <w:tcPr>
            <w:tcW w:w="2263" w:type="dxa"/>
            <w:vAlign w:val="center"/>
          </w:tcPr>
          <w:p w14:paraId="421F3D71" w14:textId="77777777" w:rsidR="00170538" w:rsidRDefault="00170538">
            <w:pPr>
              <w:rPr>
                <w:rFonts w:hint="eastAsia"/>
              </w:rPr>
            </w:pPr>
          </w:p>
        </w:tc>
      </w:tr>
      <w:tr w:rsidR="00170538" w14:paraId="03F5E2F7" w14:textId="77777777">
        <w:tc>
          <w:tcPr>
            <w:tcW w:w="1301" w:type="dxa"/>
            <w:vAlign w:val="center"/>
          </w:tcPr>
          <w:p w14:paraId="602C1362" w14:textId="77777777" w:rsidR="00170538" w:rsidRDefault="00000000">
            <w:pPr>
              <w:rPr>
                <w:rFonts w:hint="eastAsia"/>
              </w:rPr>
            </w:pPr>
            <w:r>
              <w:t>采光面积(㎡)</w:t>
            </w:r>
          </w:p>
        </w:tc>
        <w:tc>
          <w:tcPr>
            <w:tcW w:w="1131" w:type="dxa"/>
            <w:vAlign w:val="center"/>
          </w:tcPr>
          <w:p w14:paraId="15F08832" w14:textId="77777777" w:rsidR="00170538" w:rsidRDefault="00000000">
            <w:pPr>
              <w:rPr>
                <w:rFonts w:hint="eastAsia"/>
              </w:rPr>
            </w:pPr>
            <w:r>
              <w:t>14205.51</w:t>
            </w:r>
          </w:p>
        </w:tc>
        <w:tc>
          <w:tcPr>
            <w:tcW w:w="1075" w:type="dxa"/>
            <w:vAlign w:val="center"/>
          </w:tcPr>
          <w:p w14:paraId="47A5A7BA" w14:textId="77777777" w:rsidR="00170538" w:rsidRDefault="00000000">
            <w:pPr>
              <w:rPr>
                <w:rFonts w:hint="eastAsia"/>
              </w:rPr>
            </w:pPr>
            <w:r>
              <w:t>14090.28</w:t>
            </w:r>
          </w:p>
        </w:tc>
        <w:tc>
          <w:tcPr>
            <w:tcW w:w="1075" w:type="dxa"/>
            <w:vAlign w:val="center"/>
          </w:tcPr>
          <w:p w14:paraId="392061F0" w14:textId="77777777" w:rsidR="00170538" w:rsidRDefault="00000000">
            <w:pPr>
              <w:rPr>
                <w:rFonts w:hint="eastAsia"/>
              </w:rPr>
            </w:pPr>
            <w:r>
              <w:t>99.19</w:t>
            </w:r>
          </w:p>
        </w:tc>
        <w:tc>
          <w:tcPr>
            <w:tcW w:w="2433" w:type="dxa"/>
            <w:vAlign w:val="center"/>
          </w:tcPr>
          <w:p w14:paraId="2A5A0616" w14:textId="77777777" w:rsidR="00170538" w:rsidRDefault="00000000">
            <w:pPr>
              <w:rPr>
                <w:rFonts w:hint="eastAsia"/>
              </w:rPr>
            </w:pPr>
            <w:r>
              <w:t>－－</w:t>
            </w:r>
          </w:p>
        </w:tc>
        <w:tc>
          <w:tcPr>
            <w:tcW w:w="2263" w:type="dxa"/>
            <w:vAlign w:val="center"/>
          </w:tcPr>
          <w:p w14:paraId="5AA841EC" w14:textId="77777777" w:rsidR="00170538" w:rsidRDefault="00000000">
            <w:pPr>
              <w:rPr>
                <w:rFonts w:hint="eastAsia"/>
              </w:rPr>
            </w:pPr>
            <w:r>
              <w:t>－－</w:t>
            </w:r>
          </w:p>
        </w:tc>
      </w:tr>
    </w:tbl>
    <w:p w14:paraId="0B10C43F" w14:textId="77777777" w:rsidR="00170538" w:rsidRDefault="00000000">
      <w:pPr>
        <w:outlineLvl w:val="1"/>
        <w:rPr>
          <w:rFonts w:ascii="宋体" w:eastAsia="宋体" w:hAnsi="宋体" w:hint="eastAsia"/>
          <w:b/>
          <w:bCs/>
          <w:sz w:val="28"/>
          <w:szCs w:val="28"/>
        </w:rPr>
      </w:pPr>
      <w:bookmarkStart w:id="35" w:name="_Toc17007"/>
      <w:r>
        <w:rPr>
          <w:rFonts w:ascii="宋体" w:eastAsia="宋体" w:hAnsi="宋体" w:hint="eastAsia"/>
          <w:b/>
          <w:bCs/>
          <w:sz w:val="28"/>
          <w:szCs w:val="28"/>
        </w:rPr>
        <w:t>2.碳排放</w:t>
      </w:r>
      <w:bookmarkEnd w:id="35"/>
    </w:p>
    <w:p w14:paraId="1D45664D" w14:textId="77777777" w:rsidR="00170538" w:rsidRDefault="00000000">
      <w:pPr>
        <w:outlineLvl w:val="2"/>
        <w:rPr>
          <w:rFonts w:ascii="宋体" w:eastAsia="宋体" w:hAnsi="宋体" w:hint="eastAsia"/>
          <w:sz w:val="28"/>
          <w:szCs w:val="28"/>
        </w:rPr>
      </w:pPr>
      <w:bookmarkStart w:id="36" w:name="_Toc13906"/>
      <w:r>
        <w:rPr>
          <w:rFonts w:ascii="宋体" w:eastAsia="宋体" w:hAnsi="宋体" w:hint="eastAsia"/>
          <w:sz w:val="28"/>
          <w:szCs w:val="28"/>
        </w:rPr>
        <w:t>a.改造前：</w:t>
      </w:r>
      <w:bookmarkEnd w:id="36"/>
    </w:p>
    <w:tbl>
      <w:tblPr>
        <w:tblW w:w="935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343"/>
        <w:gridCol w:w="3336"/>
        <w:gridCol w:w="3336"/>
      </w:tblGrid>
      <w:tr w:rsidR="00170538" w14:paraId="2F7B5842" w14:textId="77777777">
        <w:trPr>
          <w:trHeight w:val="482"/>
          <w:jc w:val="center"/>
        </w:trPr>
        <w:tc>
          <w:tcPr>
            <w:tcW w:w="2686" w:type="dxa"/>
            <w:gridSpan w:val="2"/>
            <w:shd w:val="clear" w:color="auto" w:fill="E6E6E6"/>
            <w:vAlign w:val="center"/>
          </w:tcPr>
          <w:p w14:paraId="0A726168" w14:textId="77777777" w:rsidR="00170538" w:rsidRDefault="00000000">
            <w:pPr>
              <w:jc w:val="center"/>
              <w:rPr>
                <w:rFonts w:hint="eastAsia"/>
              </w:rPr>
            </w:pPr>
            <w:r>
              <w:t>类别</w:t>
            </w:r>
          </w:p>
        </w:tc>
        <w:tc>
          <w:tcPr>
            <w:tcW w:w="3336" w:type="dxa"/>
            <w:shd w:val="clear" w:color="auto" w:fill="E6E6E6"/>
            <w:vAlign w:val="center"/>
          </w:tcPr>
          <w:p w14:paraId="610F868E" w14:textId="77777777" w:rsidR="00170538" w:rsidRDefault="00000000">
            <w:pPr>
              <w:jc w:val="center"/>
              <w:rPr>
                <w:rFonts w:hint="eastAsia"/>
              </w:rPr>
            </w:pPr>
            <w:r>
              <w:t>年均碳排放量(tCO2/a)</w:t>
            </w:r>
          </w:p>
        </w:tc>
        <w:tc>
          <w:tcPr>
            <w:tcW w:w="3336" w:type="dxa"/>
            <w:shd w:val="clear" w:color="auto" w:fill="E6E6E6"/>
            <w:vAlign w:val="center"/>
          </w:tcPr>
          <w:p w14:paraId="2BA9E322" w14:textId="77777777" w:rsidR="00170538" w:rsidRDefault="00000000">
            <w:pPr>
              <w:jc w:val="center"/>
              <w:rPr>
                <w:rFonts w:hint="eastAsia"/>
              </w:rPr>
            </w:pPr>
            <w:r>
              <w:t>50年碳排放量(tCO2)</w:t>
            </w:r>
          </w:p>
        </w:tc>
      </w:tr>
      <w:tr w:rsidR="00170538" w14:paraId="0809C550" w14:textId="77777777">
        <w:trPr>
          <w:trHeight w:val="497"/>
          <w:jc w:val="center"/>
        </w:trPr>
        <w:tc>
          <w:tcPr>
            <w:tcW w:w="2686" w:type="dxa"/>
            <w:gridSpan w:val="2"/>
            <w:shd w:val="clear" w:color="auto" w:fill="E6E6E6"/>
            <w:vAlign w:val="center"/>
          </w:tcPr>
          <w:p w14:paraId="29F5ABB4" w14:textId="77777777" w:rsidR="00170538" w:rsidRDefault="00000000">
            <w:pPr>
              <w:rPr>
                <w:rFonts w:hint="eastAsia"/>
              </w:rPr>
            </w:pPr>
            <w:r>
              <w:t>建筑材料生产</w:t>
            </w:r>
          </w:p>
        </w:tc>
        <w:tc>
          <w:tcPr>
            <w:tcW w:w="3336" w:type="dxa"/>
            <w:vAlign w:val="center"/>
          </w:tcPr>
          <w:p w14:paraId="50C8D60E" w14:textId="77777777" w:rsidR="00170538" w:rsidRDefault="00000000">
            <w:pPr>
              <w:rPr>
                <w:rFonts w:hint="eastAsia"/>
              </w:rPr>
            </w:pPr>
            <w:r>
              <w:t>380.970</w:t>
            </w:r>
          </w:p>
        </w:tc>
        <w:tc>
          <w:tcPr>
            <w:tcW w:w="3336" w:type="dxa"/>
            <w:vAlign w:val="center"/>
          </w:tcPr>
          <w:p w14:paraId="43C8C3BB" w14:textId="77777777" w:rsidR="00170538" w:rsidRDefault="00000000">
            <w:pPr>
              <w:rPr>
                <w:rFonts w:hint="eastAsia"/>
              </w:rPr>
            </w:pPr>
            <w:r>
              <w:t>19048.519</w:t>
            </w:r>
          </w:p>
        </w:tc>
      </w:tr>
      <w:tr w:rsidR="00170538" w14:paraId="6A7245CD" w14:textId="77777777">
        <w:trPr>
          <w:trHeight w:val="482"/>
          <w:jc w:val="center"/>
        </w:trPr>
        <w:tc>
          <w:tcPr>
            <w:tcW w:w="2686" w:type="dxa"/>
            <w:gridSpan w:val="2"/>
            <w:shd w:val="clear" w:color="auto" w:fill="E6E6E6"/>
            <w:vAlign w:val="center"/>
          </w:tcPr>
          <w:p w14:paraId="79E34282" w14:textId="77777777" w:rsidR="00170538" w:rsidRDefault="00000000">
            <w:pPr>
              <w:rPr>
                <w:rFonts w:hint="eastAsia"/>
              </w:rPr>
            </w:pPr>
            <w:r>
              <w:t>建筑材料运输</w:t>
            </w:r>
          </w:p>
        </w:tc>
        <w:tc>
          <w:tcPr>
            <w:tcW w:w="3336" w:type="dxa"/>
            <w:vAlign w:val="center"/>
          </w:tcPr>
          <w:p w14:paraId="1E7B7B20" w14:textId="77777777" w:rsidR="00170538" w:rsidRDefault="00000000">
            <w:pPr>
              <w:rPr>
                <w:rFonts w:hint="eastAsia"/>
              </w:rPr>
            </w:pPr>
            <w:r>
              <w:t>15.239</w:t>
            </w:r>
          </w:p>
        </w:tc>
        <w:tc>
          <w:tcPr>
            <w:tcW w:w="3336" w:type="dxa"/>
            <w:vAlign w:val="center"/>
          </w:tcPr>
          <w:p w14:paraId="022F44E2" w14:textId="77777777" w:rsidR="00170538" w:rsidRDefault="00000000">
            <w:pPr>
              <w:rPr>
                <w:rFonts w:hint="eastAsia"/>
              </w:rPr>
            </w:pPr>
            <w:r>
              <w:t>761.940</w:t>
            </w:r>
          </w:p>
        </w:tc>
      </w:tr>
      <w:tr w:rsidR="00170538" w14:paraId="30712B11" w14:textId="77777777">
        <w:trPr>
          <w:trHeight w:val="482"/>
          <w:jc w:val="center"/>
        </w:trPr>
        <w:tc>
          <w:tcPr>
            <w:tcW w:w="2686" w:type="dxa"/>
            <w:gridSpan w:val="2"/>
            <w:shd w:val="clear" w:color="auto" w:fill="E6E6E6"/>
            <w:vAlign w:val="center"/>
          </w:tcPr>
          <w:p w14:paraId="3CECB00D" w14:textId="77777777" w:rsidR="00170538" w:rsidRDefault="00000000">
            <w:pPr>
              <w:rPr>
                <w:rFonts w:hint="eastAsia"/>
              </w:rPr>
            </w:pPr>
            <w:r>
              <w:t>建筑建造</w:t>
            </w:r>
          </w:p>
        </w:tc>
        <w:tc>
          <w:tcPr>
            <w:tcW w:w="3336" w:type="dxa"/>
            <w:vAlign w:val="center"/>
          </w:tcPr>
          <w:p w14:paraId="5F2AC6C0" w14:textId="77777777" w:rsidR="00170538" w:rsidRDefault="00000000">
            <w:pPr>
              <w:rPr>
                <w:rFonts w:hint="eastAsia"/>
              </w:rPr>
            </w:pPr>
            <w:r>
              <w:t>5.064</w:t>
            </w:r>
          </w:p>
        </w:tc>
        <w:tc>
          <w:tcPr>
            <w:tcW w:w="3336" w:type="dxa"/>
            <w:vAlign w:val="center"/>
          </w:tcPr>
          <w:p w14:paraId="0717A066" w14:textId="77777777" w:rsidR="00170538" w:rsidRDefault="00000000">
            <w:pPr>
              <w:rPr>
                <w:rFonts w:hint="eastAsia"/>
              </w:rPr>
            </w:pPr>
            <w:r>
              <w:t>253.217</w:t>
            </w:r>
          </w:p>
        </w:tc>
      </w:tr>
      <w:tr w:rsidR="00170538" w14:paraId="4A0A92C7" w14:textId="77777777">
        <w:trPr>
          <w:trHeight w:val="497"/>
          <w:jc w:val="center"/>
        </w:trPr>
        <w:tc>
          <w:tcPr>
            <w:tcW w:w="2686" w:type="dxa"/>
            <w:gridSpan w:val="2"/>
            <w:shd w:val="clear" w:color="auto" w:fill="E6E6E6"/>
            <w:vAlign w:val="center"/>
          </w:tcPr>
          <w:p w14:paraId="008E05FE" w14:textId="77777777" w:rsidR="00170538" w:rsidRDefault="00000000">
            <w:pPr>
              <w:rPr>
                <w:rFonts w:hint="eastAsia"/>
              </w:rPr>
            </w:pPr>
            <w:r>
              <w:lastRenderedPageBreak/>
              <w:t>建筑拆除</w:t>
            </w:r>
          </w:p>
        </w:tc>
        <w:tc>
          <w:tcPr>
            <w:tcW w:w="3336" w:type="dxa"/>
            <w:vAlign w:val="center"/>
          </w:tcPr>
          <w:p w14:paraId="63889A71" w14:textId="77777777" w:rsidR="00170538" w:rsidRDefault="00000000">
            <w:pPr>
              <w:rPr>
                <w:rFonts w:hint="eastAsia"/>
              </w:rPr>
            </w:pPr>
            <w:r>
              <w:t>5.064</w:t>
            </w:r>
          </w:p>
        </w:tc>
        <w:tc>
          <w:tcPr>
            <w:tcW w:w="3336" w:type="dxa"/>
            <w:vAlign w:val="center"/>
          </w:tcPr>
          <w:p w14:paraId="0A99D199" w14:textId="77777777" w:rsidR="00170538" w:rsidRDefault="00000000">
            <w:pPr>
              <w:rPr>
                <w:rFonts w:hint="eastAsia"/>
              </w:rPr>
            </w:pPr>
            <w:r>
              <w:t>253.217</w:t>
            </w:r>
          </w:p>
        </w:tc>
      </w:tr>
      <w:tr w:rsidR="00170538" w14:paraId="57D0F3FF" w14:textId="77777777">
        <w:trPr>
          <w:trHeight w:val="482"/>
          <w:jc w:val="center"/>
        </w:trPr>
        <w:tc>
          <w:tcPr>
            <w:tcW w:w="1343" w:type="dxa"/>
            <w:vMerge w:val="restart"/>
            <w:shd w:val="clear" w:color="auto" w:fill="E6E6E6"/>
            <w:vAlign w:val="center"/>
          </w:tcPr>
          <w:p w14:paraId="12ADBEFA" w14:textId="77777777" w:rsidR="00170538" w:rsidRDefault="00000000">
            <w:pPr>
              <w:rPr>
                <w:rFonts w:hint="eastAsia"/>
              </w:rPr>
            </w:pPr>
            <w:r>
              <w:t>建筑运行</w:t>
            </w:r>
          </w:p>
        </w:tc>
        <w:tc>
          <w:tcPr>
            <w:tcW w:w="1342" w:type="dxa"/>
            <w:shd w:val="clear" w:color="auto" w:fill="E6E6E6"/>
            <w:vAlign w:val="center"/>
          </w:tcPr>
          <w:p w14:paraId="2E8438C4" w14:textId="77777777" w:rsidR="00170538" w:rsidRDefault="00000000">
            <w:pPr>
              <w:rPr>
                <w:rFonts w:hint="eastAsia"/>
              </w:rPr>
            </w:pPr>
            <w:r>
              <w:t>直接碳排放</w:t>
            </w:r>
          </w:p>
        </w:tc>
        <w:tc>
          <w:tcPr>
            <w:tcW w:w="3336" w:type="dxa"/>
            <w:vAlign w:val="center"/>
          </w:tcPr>
          <w:p w14:paraId="218276AB" w14:textId="77777777" w:rsidR="00170538" w:rsidRDefault="00000000">
            <w:pPr>
              <w:rPr>
                <w:rFonts w:hint="eastAsia"/>
              </w:rPr>
            </w:pPr>
            <w:r>
              <w:t>168.180</w:t>
            </w:r>
          </w:p>
        </w:tc>
        <w:tc>
          <w:tcPr>
            <w:tcW w:w="3336" w:type="dxa"/>
            <w:vAlign w:val="center"/>
          </w:tcPr>
          <w:p w14:paraId="250F5231" w14:textId="77777777" w:rsidR="00170538" w:rsidRDefault="00000000">
            <w:pPr>
              <w:rPr>
                <w:rFonts w:hint="eastAsia"/>
              </w:rPr>
            </w:pPr>
            <w:r>
              <w:t>8409.022</w:t>
            </w:r>
          </w:p>
        </w:tc>
      </w:tr>
      <w:tr w:rsidR="00170538" w14:paraId="775AB35F" w14:textId="77777777">
        <w:trPr>
          <w:trHeight w:val="227"/>
          <w:jc w:val="center"/>
        </w:trPr>
        <w:tc>
          <w:tcPr>
            <w:tcW w:w="1343" w:type="dxa"/>
            <w:vMerge/>
            <w:shd w:val="clear" w:color="auto" w:fill="E6E6E6"/>
            <w:vAlign w:val="center"/>
          </w:tcPr>
          <w:p w14:paraId="062D6172" w14:textId="77777777" w:rsidR="00170538" w:rsidRDefault="00170538">
            <w:pPr>
              <w:rPr>
                <w:rFonts w:hint="eastAsia"/>
              </w:rPr>
            </w:pPr>
          </w:p>
        </w:tc>
        <w:tc>
          <w:tcPr>
            <w:tcW w:w="1342" w:type="dxa"/>
            <w:shd w:val="clear" w:color="auto" w:fill="E6E6E6"/>
            <w:vAlign w:val="center"/>
          </w:tcPr>
          <w:p w14:paraId="160003CB" w14:textId="77777777" w:rsidR="00170538" w:rsidRDefault="00000000">
            <w:pPr>
              <w:rPr>
                <w:rFonts w:hint="eastAsia"/>
              </w:rPr>
            </w:pPr>
            <w:r>
              <w:t>间接碳排放</w:t>
            </w:r>
          </w:p>
        </w:tc>
        <w:tc>
          <w:tcPr>
            <w:tcW w:w="3336" w:type="dxa"/>
            <w:vAlign w:val="center"/>
          </w:tcPr>
          <w:p w14:paraId="199E5120" w14:textId="77777777" w:rsidR="00170538" w:rsidRDefault="00000000">
            <w:pPr>
              <w:rPr>
                <w:rFonts w:hint="eastAsia"/>
              </w:rPr>
            </w:pPr>
            <w:r>
              <w:t>327.704</w:t>
            </w:r>
          </w:p>
        </w:tc>
        <w:tc>
          <w:tcPr>
            <w:tcW w:w="3336" w:type="dxa"/>
            <w:vAlign w:val="center"/>
          </w:tcPr>
          <w:p w14:paraId="699AEBF3" w14:textId="77777777" w:rsidR="00170538" w:rsidRDefault="00000000">
            <w:pPr>
              <w:rPr>
                <w:rFonts w:hint="eastAsia"/>
              </w:rPr>
            </w:pPr>
            <w:r>
              <w:t>16385.187</w:t>
            </w:r>
          </w:p>
        </w:tc>
      </w:tr>
      <w:tr w:rsidR="00170538" w14:paraId="58546506" w14:textId="77777777">
        <w:trPr>
          <w:trHeight w:val="482"/>
          <w:jc w:val="center"/>
        </w:trPr>
        <w:tc>
          <w:tcPr>
            <w:tcW w:w="2686" w:type="dxa"/>
            <w:gridSpan w:val="2"/>
            <w:shd w:val="clear" w:color="auto" w:fill="E6E6E6"/>
            <w:vAlign w:val="center"/>
          </w:tcPr>
          <w:p w14:paraId="6DA04B81" w14:textId="77777777" w:rsidR="00170538" w:rsidRDefault="00000000">
            <w:pPr>
              <w:rPr>
                <w:rFonts w:hint="eastAsia"/>
              </w:rPr>
            </w:pPr>
            <w:r>
              <w:t>全生命周期</w:t>
            </w:r>
          </w:p>
        </w:tc>
        <w:tc>
          <w:tcPr>
            <w:tcW w:w="3336" w:type="dxa"/>
            <w:vAlign w:val="center"/>
          </w:tcPr>
          <w:p w14:paraId="397D87C7" w14:textId="77777777" w:rsidR="00170538" w:rsidRDefault="00000000">
            <w:pPr>
              <w:rPr>
                <w:rFonts w:hint="eastAsia"/>
              </w:rPr>
            </w:pPr>
            <w:r>
              <w:t>902.221</w:t>
            </w:r>
          </w:p>
        </w:tc>
        <w:tc>
          <w:tcPr>
            <w:tcW w:w="3336" w:type="dxa"/>
            <w:vAlign w:val="center"/>
          </w:tcPr>
          <w:p w14:paraId="1FCEB722" w14:textId="77777777" w:rsidR="00170538" w:rsidRDefault="00000000">
            <w:pPr>
              <w:rPr>
                <w:rFonts w:hint="eastAsia"/>
              </w:rPr>
            </w:pPr>
            <w:r>
              <w:t>45111.102</w:t>
            </w:r>
          </w:p>
        </w:tc>
      </w:tr>
    </w:tbl>
    <w:p w14:paraId="38B47092" w14:textId="77777777" w:rsidR="00170538" w:rsidRDefault="00000000">
      <w:pPr>
        <w:outlineLvl w:val="2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bookmarkStart w:id="37" w:name="_Toc22784"/>
      <w:r>
        <w:rPr>
          <w:rFonts w:ascii="宋体" w:eastAsia="宋体" w:hAnsi="宋体" w:hint="eastAsia"/>
          <w:sz w:val="28"/>
          <w:szCs w:val="28"/>
        </w:rPr>
        <w:t>b.改造后：</w:t>
      </w:r>
      <w:bookmarkEnd w:id="37"/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1335"/>
        <w:gridCol w:w="3317"/>
        <w:gridCol w:w="3317"/>
      </w:tblGrid>
      <w:tr w:rsidR="00170538" w14:paraId="787B6A6F" w14:textId="77777777">
        <w:trPr>
          <w:jc w:val="center"/>
        </w:trPr>
        <w:tc>
          <w:tcPr>
            <w:tcW w:w="2670" w:type="dxa"/>
            <w:gridSpan w:val="2"/>
            <w:shd w:val="clear" w:color="auto" w:fill="E6E6E6"/>
            <w:vAlign w:val="center"/>
          </w:tcPr>
          <w:p w14:paraId="7D4F5F43" w14:textId="77777777" w:rsidR="00170538" w:rsidRDefault="00000000">
            <w:pPr>
              <w:jc w:val="center"/>
              <w:rPr>
                <w:rFonts w:hint="eastAsia"/>
              </w:rPr>
            </w:pPr>
            <w:r>
              <w:t>类别</w:t>
            </w:r>
          </w:p>
        </w:tc>
        <w:tc>
          <w:tcPr>
            <w:tcW w:w="3316" w:type="dxa"/>
            <w:shd w:val="clear" w:color="auto" w:fill="E6E6E6"/>
            <w:vAlign w:val="center"/>
          </w:tcPr>
          <w:p w14:paraId="69067F74" w14:textId="77777777" w:rsidR="00170538" w:rsidRDefault="00000000">
            <w:pPr>
              <w:jc w:val="center"/>
              <w:rPr>
                <w:rFonts w:hint="eastAsia"/>
              </w:rPr>
            </w:pPr>
            <w:r>
              <w:t>年均碳排放量(tCO2/a)</w:t>
            </w:r>
          </w:p>
        </w:tc>
        <w:tc>
          <w:tcPr>
            <w:tcW w:w="3316" w:type="dxa"/>
            <w:shd w:val="clear" w:color="auto" w:fill="E6E6E6"/>
            <w:vAlign w:val="center"/>
          </w:tcPr>
          <w:p w14:paraId="3954778F" w14:textId="77777777" w:rsidR="00170538" w:rsidRDefault="00000000">
            <w:pPr>
              <w:jc w:val="center"/>
              <w:rPr>
                <w:rFonts w:hint="eastAsia"/>
              </w:rPr>
            </w:pPr>
            <w:r>
              <w:t>50年碳排放量(tCO2)</w:t>
            </w:r>
          </w:p>
        </w:tc>
      </w:tr>
      <w:tr w:rsidR="00170538" w14:paraId="611E5A94" w14:textId="77777777">
        <w:trPr>
          <w:jc w:val="center"/>
        </w:trPr>
        <w:tc>
          <w:tcPr>
            <w:tcW w:w="2670" w:type="dxa"/>
            <w:gridSpan w:val="2"/>
            <w:shd w:val="clear" w:color="auto" w:fill="E6E6E6"/>
            <w:vAlign w:val="center"/>
          </w:tcPr>
          <w:p w14:paraId="31AF1B16" w14:textId="77777777" w:rsidR="00170538" w:rsidRDefault="00000000">
            <w:pPr>
              <w:rPr>
                <w:rFonts w:hint="eastAsia"/>
              </w:rPr>
            </w:pPr>
            <w:r>
              <w:t>建筑材料生产</w:t>
            </w:r>
          </w:p>
        </w:tc>
        <w:tc>
          <w:tcPr>
            <w:tcW w:w="3316" w:type="dxa"/>
            <w:vAlign w:val="center"/>
          </w:tcPr>
          <w:p w14:paraId="25AEF116" w14:textId="77777777" w:rsidR="00170538" w:rsidRDefault="00000000">
            <w:pPr>
              <w:rPr>
                <w:rFonts w:hint="eastAsia"/>
              </w:rPr>
            </w:pPr>
            <w:r>
              <w:t>380.970</w:t>
            </w:r>
          </w:p>
        </w:tc>
        <w:tc>
          <w:tcPr>
            <w:tcW w:w="3316" w:type="dxa"/>
            <w:vAlign w:val="center"/>
          </w:tcPr>
          <w:p w14:paraId="4363A784" w14:textId="77777777" w:rsidR="00170538" w:rsidRDefault="00000000">
            <w:pPr>
              <w:rPr>
                <w:rFonts w:hint="eastAsia"/>
              </w:rPr>
            </w:pPr>
            <w:r>
              <w:t>19048.519</w:t>
            </w:r>
          </w:p>
        </w:tc>
      </w:tr>
      <w:tr w:rsidR="00170538" w14:paraId="65717952" w14:textId="77777777">
        <w:trPr>
          <w:jc w:val="center"/>
        </w:trPr>
        <w:tc>
          <w:tcPr>
            <w:tcW w:w="2670" w:type="dxa"/>
            <w:gridSpan w:val="2"/>
            <w:shd w:val="clear" w:color="auto" w:fill="E6E6E6"/>
            <w:vAlign w:val="center"/>
          </w:tcPr>
          <w:p w14:paraId="6485C19F" w14:textId="77777777" w:rsidR="00170538" w:rsidRDefault="00000000">
            <w:pPr>
              <w:rPr>
                <w:rFonts w:hint="eastAsia"/>
              </w:rPr>
            </w:pPr>
            <w:r>
              <w:t>建筑材料运输</w:t>
            </w:r>
          </w:p>
        </w:tc>
        <w:tc>
          <w:tcPr>
            <w:tcW w:w="3316" w:type="dxa"/>
            <w:vAlign w:val="center"/>
          </w:tcPr>
          <w:p w14:paraId="7A61D324" w14:textId="77777777" w:rsidR="00170538" w:rsidRDefault="00000000">
            <w:pPr>
              <w:rPr>
                <w:rFonts w:hint="eastAsia"/>
              </w:rPr>
            </w:pPr>
            <w:r>
              <w:t>15.239</w:t>
            </w:r>
          </w:p>
        </w:tc>
        <w:tc>
          <w:tcPr>
            <w:tcW w:w="3316" w:type="dxa"/>
            <w:vAlign w:val="center"/>
          </w:tcPr>
          <w:p w14:paraId="15EDF8E0" w14:textId="77777777" w:rsidR="00170538" w:rsidRDefault="00000000">
            <w:pPr>
              <w:rPr>
                <w:rFonts w:hint="eastAsia"/>
              </w:rPr>
            </w:pPr>
            <w:r>
              <w:t>761.940</w:t>
            </w:r>
          </w:p>
        </w:tc>
      </w:tr>
      <w:tr w:rsidR="00170538" w14:paraId="5D3C82E4" w14:textId="77777777">
        <w:trPr>
          <w:jc w:val="center"/>
        </w:trPr>
        <w:tc>
          <w:tcPr>
            <w:tcW w:w="2670" w:type="dxa"/>
            <w:gridSpan w:val="2"/>
            <w:shd w:val="clear" w:color="auto" w:fill="E6E6E6"/>
            <w:vAlign w:val="center"/>
          </w:tcPr>
          <w:p w14:paraId="4D4837B9" w14:textId="77777777" w:rsidR="00170538" w:rsidRDefault="00000000">
            <w:pPr>
              <w:rPr>
                <w:rFonts w:hint="eastAsia"/>
              </w:rPr>
            </w:pPr>
            <w:r>
              <w:t>建筑建造</w:t>
            </w:r>
          </w:p>
        </w:tc>
        <w:tc>
          <w:tcPr>
            <w:tcW w:w="3316" w:type="dxa"/>
            <w:vAlign w:val="center"/>
          </w:tcPr>
          <w:p w14:paraId="668E947D" w14:textId="77777777" w:rsidR="00170538" w:rsidRDefault="00000000">
            <w:pPr>
              <w:rPr>
                <w:rFonts w:hint="eastAsia"/>
              </w:rPr>
            </w:pPr>
            <w:r>
              <w:t>5.064</w:t>
            </w:r>
          </w:p>
        </w:tc>
        <w:tc>
          <w:tcPr>
            <w:tcW w:w="3316" w:type="dxa"/>
            <w:vAlign w:val="center"/>
          </w:tcPr>
          <w:p w14:paraId="06E368EA" w14:textId="77777777" w:rsidR="00170538" w:rsidRDefault="00000000">
            <w:pPr>
              <w:rPr>
                <w:rFonts w:hint="eastAsia"/>
              </w:rPr>
            </w:pPr>
            <w:r>
              <w:t>253.217</w:t>
            </w:r>
          </w:p>
        </w:tc>
      </w:tr>
      <w:tr w:rsidR="00170538" w14:paraId="38601492" w14:textId="77777777">
        <w:trPr>
          <w:jc w:val="center"/>
        </w:trPr>
        <w:tc>
          <w:tcPr>
            <w:tcW w:w="2670" w:type="dxa"/>
            <w:gridSpan w:val="2"/>
            <w:shd w:val="clear" w:color="auto" w:fill="E6E6E6"/>
            <w:vAlign w:val="center"/>
          </w:tcPr>
          <w:p w14:paraId="75765345" w14:textId="77777777" w:rsidR="00170538" w:rsidRDefault="00000000">
            <w:pPr>
              <w:rPr>
                <w:rFonts w:hint="eastAsia"/>
              </w:rPr>
            </w:pPr>
            <w:r>
              <w:t>建筑拆除</w:t>
            </w:r>
          </w:p>
        </w:tc>
        <w:tc>
          <w:tcPr>
            <w:tcW w:w="3316" w:type="dxa"/>
            <w:vAlign w:val="center"/>
          </w:tcPr>
          <w:p w14:paraId="5765743A" w14:textId="77777777" w:rsidR="00170538" w:rsidRDefault="00000000">
            <w:pPr>
              <w:rPr>
                <w:rFonts w:hint="eastAsia"/>
              </w:rPr>
            </w:pPr>
            <w:r>
              <w:t>5.064</w:t>
            </w:r>
          </w:p>
        </w:tc>
        <w:tc>
          <w:tcPr>
            <w:tcW w:w="3316" w:type="dxa"/>
            <w:vAlign w:val="center"/>
          </w:tcPr>
          <w:p w14:paraId="6A28C024" w14:textId="77777777" w:rsidR="00170538" w:rsidRDefault="00000000">
            <w:pPr>
              <w:rPr>
                <w:rFonts w:hint="eastAsia"/>
              </w:rPr>
            </w:pPr>
            <w:r>
              <w:t>253.217</w:t>
            </w:r>
          </w:p>
        </w:tc>
      </w:tr>
      <w:tr w:rsidR="00170538" w14:paraId="379B1087" w14:textId="77777777">
        <w:trPr>
          <w:jc w:val="center"/>
        </w:trPr>
        <w:tc>
          <w:tcPr>
            <w:tcW w:w="1335" w:type="dxa"/>
            <w:vMerge w:val="restart"/>
            <w:shd w:val="clear" w:color="auto" w:fill="E6E6E6"/>
            <w:vAlign w:val="center"/>
          </w:tcPr>
          <w:p w14:paraId="590209AB" w14:textId="77777777" w:rsidR="00170538" w:rsidRDefault="00000000">
            <w:pPr>
              <w:rPr>
                <w:rFonts w:hint="eastAsia"/>
              </w:rPr>
            </w:pPr>
            <w:r>
              <w:t>建筑运行</w:t>
            </w:r>
          </w:p>
        </w:tc>
        <w:tc>
          <w:tcPr>
            <w:tcW w:w="1335" w:type="dxa"/>
            <w:shd w:val="clear" w:color="auto" w:fill="E6E6E6"/>
            <w:vAlign w:val="center"/>
          </w:tcPr>
          <w:p w14:paraId="3E39BCCA" w14:textId="77777777" w:rsidR="00170538" w:rsidRDefault="00000000">
            <w:pPr>
              <w:rPr>
                <w:rFonts w:hint="eastAsia"/>
              </w:rPr>
            </w:pPr>
            <w:r>
              <w:t>直接碳排放</w:t>
            </w:r>
          </w:p>
        </w:tc>
        <w:tc>
          <w:tcPr>
            <w:tcW w:w="3316" w:type="dxa"/>
            <w:vAlign w:val="center"/>
          </w:tcPr>
          <w:p w14:paraId="480C58CA" w14:textId="77777777" w:rsidR="00170538" w:rsidRDefault="00000000">
            <w:pPr>
              <w:rPr>
                <w:rFonts w:hint="eastAsia"/>
              </w:rPr>
            </w:pPr>
            <w:r>
              <w:t>0.000</w:t>
            </w:r>
          </w:p>
        </w:tc>
        <w:tc>
          <w:tcPr>
            <w:tcW w:w="3316" w:type="dxa"/>
            <w:vAlign w:val="center"/>
          </w:tcPr>
          <w:p w14:paraId="1CB71B32" w14:textId="77777777" w:rsidR="00170538" w:rsidRDefault="00000000">
            <w:pPr>
              <w:rPr>
                <w:rFonts w:hint="eastAsia"/>
              </w:rPr>
            </w:pPr>
            <w:r>
              <w:t>0.000</w:t>
            </w:r>
          </w:p>
        </w:tc>
      </w:tr>
      <w:tr w:rsidR="00170538" w14:paraId="347B6513" w14:textId="77777777">
        <w:trPr>
          <w:jc w:val="center"/>
        </w:trPr>
        <w:tc>
          <w:tcPr>
            <w:tcW w:w="1335" w:type="dxa"/>
            <w:vMerge/>
            <w:shd w:val="clear" w:color="auto" w:fill="E6E6E6"/>
            <w:vAlign w:val="center"/>
          </w:tcPr>
          <w:p w14:paraId="52D5C9D5" w14:textId="77777777" w:rsidR="00170538" w:rsidRDefault="00170538">
            <w:pPr>
              <w:rPr>
                <w:rFonts w:hint="eastAsia"/>
              </w:rPr>
            </w:pPr>
          </w:p>
        </w:tc>
        <w:tc>
          <w:tcPr>
            <w:tcW w:w="1335" w:type="dxa"/>
            <w:shd w:val="clear" w:color="auto" w:fill="E6E6E6"/>
            <w:vAlign w:val="center"/>
          </w:tcPr>
          <w:p w14:paraId="6EACD275" w14:textId="77777777" w:rsidR="00170538" w:rsidRDefault="00000000">
            <w:pPr>
              <w:rPr>
                <w:rFonts w:hint="eastAsia"/>
              </w:rPr>
            </w:pPr>
            <w:r>
              <w:t>间接碳排放</w:t>
            </w:r>
          </w:p>
        </w:tc>
        <w:tc>
          <w:tcPr>
            <w:tcW w:w="3316" w:type="dxa"/>
            <w:vAlign w:val="center"/>
          </w:tcPr>
          <w:p w14:paraId="7712C9C9" w14:textId="77777777" w:rsidR="00170538" w:rsidRDefault="00000000">
            <w:pPr>
              <w:rPr>
                <w:rFonts w:hint="eastAsia"/>
              </w:rPr>
            </w:pPr>
            <w:r>
              <w:t>229.976</w:t>
            </w:r>
          </w:p>
        </w:tc>
        <w:tc>
          <w:tcPr>
            <w:tcW w:w="3316" w:type="dxa"/>
            <w:vAlign w:val="center"/>
          </w:tcPr>
          <w:p w14:paraId="26D42AD1" w14:textId="77777777" w:rsidR="00170538" w:rsidRDefault="00000000">
            <w:pPr>
              <w:rPr>
                <w:rFonts w:hint="eastAsia"/>
              </w:rPr>
            </w:pPr>
            <w:r>
              <w:t>11498.806</w:t>
            </w:r>
          </w:p>
        </w:tc>
      </w:tr>
      <w:tr w:rsidR="00170538" w14:paraId="1BE410DC" w14:textId="77777777">
        <w:trPr>
          <w:jc w:val="center"/>
        </w:trPr>
        <w:tc>
          <w:tcPr>
            <w:tcW w:w="2670" w:type="dxa"/>
            <w:gridSpan w:val="2"/>
            <w:shd w:val="clear" w:color="auto" w:fill="E6E6E6"/>
            <w:vAlign w:val="center"/>
          </w:tcPr>
          <w:p w14:paraId="7CE158E0" w14:textId="77777777" w:rsidR="00170538" w:rsidRDefault="00000000">
            <w:pPr>
              <w:rPr>
                <w:rFonts w:hint="eastAsia"/>
              </w:rPr>
            </w:pPr>
            <w:r>
              <w:t>全生命周期</w:t>
            </w:r>
          </w:p>
        </w:tc>
        <w:tc>
          <w:tcPr>
            <w:tcW w:w="3316" w:type="dxa"/>
            <w:vAlign w:val="center"/>
          </w:tcPr>
          <w:p w14:paraId="6C1B7472" w14:textId="77777777" w:rsidR="00170538" w:rsidRDefault="00000000">
            <w:pPr>
              <w:rPr>
                <w:rFonts w:hint="eastAsia"/>
              </w:rPr>
            </w:pPr>
            <w:r>
              <w:t>636.313</w:t>
            </w:r>
          </w:p>
        </w:tc>
        <w:tc>
          <w:tcPr>
            <w:tcW w:w="3316" w:type="dxa"/>
            <w:vAlign w:val="center"/>
          </w:tcPr>
          <w:p w14:paraId="744F28FB" w14:textId="77777777" w:rsidR="00170538" w:rsidRDefault="00000000">
            <w:pPr>
              <w:rPr>
                <w:rFonts w:hint="eastAsia"/>
              </w:rPr>
            </w:pPr>
            <w:r>
              <w:t>31815.699</w:t>
            </w:r>
          </w:p>
        </w:tc>
      </w:tr>
    </w:tbl>
    <w:p w14:paraId="17677C26" w14:textId="77777777" w:rsidR="00170538" w:rsidRDefault="00000000">
      <w:pPr>
        <w:pStyle w:val="ad"/>
        <w:numPr>
          <w:ilvl w:val="0"/>
          <w:numId w:val="1"/>
        </w:numPr>
        <w:outlineLvl w:val="1"/>
        <w:rPr>
          <w:rFonts w:ascii="宋体" w:eastAsia="宋体" w:hAnsi="宋体" w:hint="eastAsia"/>
          <w:b/>
          <w:bCs/>
          <w:sz w:val="28"/>
          <w:szCs w:val="28"/>
        </w:rPr>
      </w:pPr>
      <w:bookmarkStart w:id="38" w:name="_Toc18655"/>
      <w:r>
        <w:rPr>
          <w:rFonts w:ascii="宋体" w:eastAsia="宋体" w:hAnsi="宋体" w:hint="eastAsia"/>
          <w:b/>
          <w:bCs/>
          <w:sz w:val="28"/>
          <w:szCs w:val="28"/>
        </w:rPr>
        <w:t>能耗</w:t>
      </w:r>
      <w:bookmarkEnd w:id="38"/>
    </w:p>
    <w:p w14:paraId="7812886E" w14:textId="77777777" w:rsidR="00170538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a.改造前：</w:t>
      </w:r>
      <w:r>
        <w:rPr>
          <w:noProof/>
        </w:rPr>
        <w:lastRenderedPageBreak/>
        <w:drawing>
          <wp:inline distT="0" distB="0" distL="0" distR="0" wp14:anchorId="10FBF605" wp14:editId="2D19E7EC">
            <wp:extent cx="5274310" cy="39763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609B" w14:textId="10EB2F6E" w:rsidR="00170538" w:rsidRDefault="00000000" w:rsidP="004F7947">
      <w:pPr>
        <w:pStyle w:val="ad"/>
        <w:ind w:left="45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b.改造后:</w:t>
      </w:r>
      <w:r>
        <w:t xml:space="preserve"> </w:t>
      </w:r>
      <w:r>
        <w:rPr>
          <w:noProof/>
        </w:rPr>
        <w:drawing>
          <wp:inline distT="0" distB="0" distL="0" distR="0" wp14:anchorId="55E314DC" wp14:editId="03A42ABF">
            <wp:extent cx="5274310" cy="3831590"/>
            <wp:effectExtent l="0" t="0" r="2540" b="6985"/>
            <wp:docPr id="2062241216" name="图片 206224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1216" name="图片 20622412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53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07D9B" w14:textId="77777777" w:rsidR="00916F4D" w:rsidRDefault="00916F4D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3EE2A9FB" w14:textId="77777777" w:rsidR="00916F4D" w:rsidRDefault="00916F4D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2793591"/>
      <w:docPartObj>
        <w:docPartGallery w:val="Page Numbers (Bottom of Page)"/>
        <w:docPartUnique/>
      </w:docPartObj>
    </w:sdtPr>
    <w:sdtContent>
      <w:p w14:paraId="21B62FFB" w14:textId="50D6EDD9" w:rsidR="004F7947" w:rsidRDefault="004F7947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6A97C21" w14:textId="2550A427" w:rsidR="00170538" w:rsidRDefault="00170538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5C535" w14:textId="77777777" w:rsidR="00916F4D" w:rsidRDefault="00916F4D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ED35D1D" w14:textId="77777777" w:rsidR="00916F4D" w:rsidRDefault="00916F4D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AB0D72"/>
    <w:multiLevelType w:val="multilevel"/>
    <w:tmpl w:val="74AB0D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43821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D09"/>
    <w:rsid w:val="000001CB"/>
    <w:rsid w:val="000D3342"/>
    <w:rsid w:val="000D78FF"/>
    <w:rsid w:val="00110E4B"/>
    <w:rsid w:val="00146C4B"/>
    <w:rsid w:val="001701AE"/>
    <w:rsid w:val="00170538"/>
    <w:rsid w:val="00185199"/>
    <w:rsid w:val="00196753"/>
    <w:rsid w:val="00295EBE"/>
    <w:rsid w:val="002A725E"/>
    <w:rsid w:val="002B3B76"/>
    <w:rsid w:val="00307F73"/>
    <w:rsid w:val="00321B56"/>
    <w:rsid w:val="00343CEC"/>
    <w:rsid w:val="003E3D09"/>
    <w:rsid w:val="00472C5C"/>
    <w:rsid w:val="004A3826"/>
    <w:rsid w:val="004F7947"/>
    <w:rsid w:val="00587A2C"/>
    <w:rsid w:val="005951AA"/>
    <w:rsid w:val="005A5D44"/>
    <w:rsid w:val="005F3BA2"/>
    <w:rsid w:val="006240D3"/>
    <w:rsid w:val="0063144F"/>
    <w:rsid w:val="00680BEE"/>
    <w:rsid w:val="00683EF1"/>
    <w:rsid w:val="006E1458"/>
    <w:rsid w:val="006E4083"/>
    <w:rsid w:val="006F5D5C"/>
    <w:rsid w:val="00714BA2"/>
    <w:rsid w:val="00716A5A"/>
    <w:rsid w:val="007350FE"/>
    <w:rsid w:val="00742E70"/>
    <w:rsid w:val="007937A2"/>
    <w:rsid w:val="007C59DB"/>
    <w:rsid w:val="007D19F9"/>
    <w:rsid w:val="007D4FD7"/>
    <w:rsid w:val="007E2446"/>
    <w:rsid w:val="007F30CC"/>
    <w:rsid w:val="00806E33"/>
    <w:rsid w:val="008336DE"/>
    <w:rsid w:val="00916F4D"/>
    <w:rsid w:val="009178B8"/>
    <w:rsid w:val="009264D1"/>
    <w:rsid w:val="00961617"/>
    <w:rsid w:val="00A06209"/>
    <w:rsid w:val="00A2527E"/>
    <w:rsid w:val="00A30C37"/>
    <w:rsid w:val="00A35F68"/>
    <w:rsid w:val="00A408CF"/>
    <w:rsid w:val="00A95EB5"/>
    <w:rsid w:val="00AE7511"/>
    <w:rsid w:val="00AF476A"/>
    <w:rsid w:val="00B30FC1"/>
    <w:rsid w:val="00B83822"/>
    <w:rsid w:val="00BC103F"/>
    <w:rsid w:val="00C91F1D"/>
    <w:rsid w:val="00D36B8F"/>
    <w:rsid w:val="00D4178E"/>
    <w:rsid w:val="00D50477"/>
    <w:rsid w:val="00D56E35"/>
    <w:rsid w:val="00D80589"/>
    <w:rsid w:val="00DB3811"/>
    <w:rsid w:val="00DD0ED4"/>
    <w:rsid w:val="00E1597D"/>
    <w:rsid w:val="00E15EBA"/>
    <w:rsid w:val="00E4057B"/>
    <w:rsid w:val="00E40A83"/>
    <w:rsid w:val="00E7635E"/>
    <w:rsid w:val="00E8023F"/>
    <w:rsid w:val="00F04120"/>
    <w:rsid w:val="00F11E2D"/>
    <w:rsid w:val="00F57258"/>
    <w:rsid w:val="00F73A2A"/>
    <w:rsid w:val="00F74046"/>
    <w:rsid w:val="25F54CB5"/>
    <w:rsid w:val="7AE9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CA1038"/>
  <w15:docId w15:val="{781C8740-35BE-4B70-A65D-D96EAE78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DCA1778-1FE9-4E35-88BF-4697EEEE0E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28</Pages>
  <Words>7078</Words>
  <Characters>7504</Characters>
  <Application>Microsoft Office Word</Application>
  <DocSecurity>0</DocSecurity>
  <Lines>394</Lines>
  <Paragraphs>310</Paragraphs>
  <ScaleCrop>false</ScaleCrop>
  <Company/>
  <LinksUpToDate>false</LinksUpToDate>
  <CharactersWithSpaces>14272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y</dc:creator>
  <cp:lastModifiedBy>竣仁 白</cp:lastModifiedBy>
  <cp:revision>9</cp:revision>
  <dcterms:created xsi:type="dcterms:W3CDTF">2025-12-28T08:11:00Z</dcterms:created>
  <dcterms:modified xsi:type="dcterms:W3CDTF">2025-12-30T12:18:00Z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eyJoZGlkIjoiZjBkOGU0ZDNlYWQxODQxZjhiZjhhZmM0MTAyMGYxNzkiLCJ1c2VySWQiOiIxNjA3OTU3MjcifQ==</vt:lpwstr>
  </property>
  <property fmtid="{D5CDD505-2E9C-101B-9397-08002B2CF9AE}" pid="3" name="KSOProductBuildVer">
    <vt:lpwstr>2052-12.1.0.24034</vt:lpwstr>
  </property>
  <property fmtid="{D5CDD505-2E9C-101B-9397-08002B2CF9AE}" pid="4" name="ICV">
    <vt:lpwstr>E3F1751172B54D6EA725CD5DCC3F3A1C_12</vt:lpwstr>
  </property>
</Properties>
</file>