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0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体验1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>
              <w:rPr>
                <w:rFonts w:hint="eastAsia"/>
                <w:b/>
                <w:sz w:val="32"/>
                <w:szCs w:val="52"/>
              </w:rPr>
              <w:t>BKA80084</w:t>
            </w:r>
            <w:bookmarkStart w:id="129" w:name="_GoBack"/>
            <w:bookmarkEnd w:id="129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福建-福州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2025年12月20日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T15160582168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_Toc20195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_Toc10038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_Toc31321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_Toc25737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_Toc21343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_Toc13849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_Toc13849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_Toc6633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_Toc6633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_Toc15721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_Toc15721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_Toc19785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_Toc19785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_Toc14586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_Toc17575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_Toc17575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_Toc4949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_Toc4949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_Toc30814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_Toc9078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_Toc9078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_Toc27463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_Toc27463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_Toc29047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_Toc23340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_Toc23340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_Toc10670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_Toc10670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_Toc23032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_Toc23032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_Toc31128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_Toc15724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_Toc15724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_Toc11594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_Toc338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_Toc22848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_Toc22673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_Toc22673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_Toc31678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_Toc19338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_Toc6687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_Toc6687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_Toc30369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_Toc16843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_Toc16843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_Toc20969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_Toc20907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_Toc20907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_Toc29508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tabs>
          <w:tab w:val="left" w:pos="2965"/>
        </w:tabs>
        <w:rPr>
          <w:lang w:val="en-US"/>
        </w:rPr>
      </w:pPr>
    </w:p>
    <w:p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  <w:rPr>
          <w:szCs w:val="24"/>
          <w:lang w:val="en-US"/>
        </w:rPr>
      </w:pPr>
      <w:bookmarkStart w:id="12" w:name="_Toc20195"/>
      <w:r>
        <w:rPr>
          <w:szCs w:val="24"/>
          <w:lang w:val="en-US"/>
        </w:rPr>
        <w:t>建筑概况</w:t>
      </w:r>
      <w:bookmarkEnd w:id="12"/>
    </w:p>
    <w:p>
      <w:pPr>
        <w:pStyle w:val="4"/>
        <w:rPr>
          <w:szCs w:val="24"/>
          <w:lang w:val="en-US"/>
        </w:rPr>
      </w:pPr>
      <w:bookmarkStart w:id="13" w:name="_Toc10038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福建-福州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119.28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体验1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540.07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7.50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149°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31321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25737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6" w:name="_Toc21343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福建-福州-福州（默认）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室外计算干球温度附加值（℃）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99660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7" w:name="_Toc13849"/>
      <w:r>
        <w:rPr>
          <w:szCs w:val="24"/>
          <w:lang w:val="en-US"/>
        </w:rPr>
        <w:t>计算依据</w:t>
      </w:r>
      <w:bookmarkEnd w:id="17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p>
      <w:pPr>
        <w:pStyle w:val="2"/>
        <w:rPr>
          <w:szCs w:val="24"/>
          <w:lang w:val="en-US"/>
        </w:rPr>
      </w:pPr>
      <w:bookmarkStart w:id="18" w:name="_Toc6633"/>
      <w:r>
        <w:rPr>
          <w:szCs w:val="24"/>
          <w:lang w:val="en-US"/>
        </w:rPr>
        <w:t>计算原理</w:t>
      </w:r>
      <w:bookmarkEnd w:id="18"/>
    </w:p>
    <w:p>
      <w:pPr>
        <w:pStyle w:val="4"/>
        <w:spacing w:line="240" w:lineRule="atLeast"/>
      </w:pPr>
      <w:bookmarkStart w:id="19" w:name="_Toc495932542"/>
      <w:bookmarkStart w:id="20" w:name="_Toc453593136"/>
      <w:bookmarkStart w:id="21" w:name="_Toc240280508"/>
      <w:bookmarkStart w:id="22" w:name="_Toc15721"/>
      <w:bookmarkStart w:id="23" w:name="_Toc178151562"/>
      <w:bookmarkStart w:id="24" w:name="_Toc179707474"/>
      <w:bookmarkStart w:id="25" w:name="_Toc239133098"/>
      <w:bookmarkStart w:id="26" w:name="_Toc178152068"/>
      <w:bookmarkStart w:id="27" w:name="_Toc179712227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31" w:name="_Toc178151563"/>
      <w:bookmarkStart w:id="32" w:name="_Toc495932543"/>
      <w:bookmarkStart w:id="33" w:name="_Toc453593137"/>
      <w:bookmarkStart w:id="34" w:name="_Toc239133099"/>
      <w:bookmarkStart w:id="35" w:name="_Toc19785"/>
      <w:bookmarkStart w:id="36" w:name="_Toc240280509"/>
      <w:bookmarkStart w:id="37" w:name="_Toc178152069"/>
      <w:bookmarkStart w:id="38" w:name="_Toc179712228"/>
      <w:bookmarkStart w:id="39" w:name="_Toc179707475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40" w:name="_Toc179712229"/>
      <w:bookmarkStart w:id="41" w:name="_Toc240280510"/>
      <w:bookmarkStart w:id="42" w:name="_Toc453593138"/>
      <w:bookmarkStart w:id="43" w:name="_Toc178151564"/>
      <w:bookmarkStart w:id="44" w:name="_Toc179707476"/>
      <w:bookmarkStart w:id="45" w:name="_Toc239133100"/>
      <w:bookmarkStart w:id="46" w:name="_Toc495932544"/>
      <w:bookmarkStart w:id="47" w:name="_Toc14586"/>
      <w:bookmarkStart w:id="48" w:name="_Toc178152070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9" w:name="_Toc240280511"/>
      <w:bookmarkStart w:id="50" w:name="_Toc239133101"/>
      <w:bookmarkStart w:id="51" w:name="_Toc179707477"/>
      <w:bookmarkStart w:id="52" w:name="_Toc178152071"/>
      <w:bookmarkStart w:id="53" w:name="_Toc178151565"/>
      <w:bookmarkStart w:id="54" w:name="_Toc179712230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17575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8" w:name="_Toc239133102"/>
      <w:bookmarkStart w:id="59" w:name="_Toc453593140"/>
      <w:bookmarkStart w:id="60" w:name="_Toc240280512"/>
      <w:bookmarkStart w:id="61" w:name="_Toc179712231"/>
      <w:bookmarkStart w:id="62" w:name="_Toc178151566"/>
      <w:bookmarkStart w:id="63" w:name="_Toc179707478"/>
      <w:bookmarkStart w:id="64" w:name="_Toc178152072"/>
      <w:r>
        <w:t xml:space="preserve"> </w:t>
      </w:r>
      <w:bookmarkStart w:id="65" w:name="_Toc495932546"/>
      <w:bookmarkStart w:id="66" w:name="_Toc4949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7" w:name="_Toc453593141"/>
      <w:bookmarkStart w:id="68" w:name="_Toc178152073"/>
      <w:bookmarkStart w:id="69" w:name="_Toc240280513"/>
      <w:bookmarkStart w:id="70" w:name="_Toc179712232"/>
      <w:bookmarkStart w:id="71" w:name="_Toc179707479"/>
      <w:bookmarkStart w:id="72" w:name="_Toc178151567"/>
      <w:bookmarkStart w:id="73" w:name="_Toc239133103"/>
      <w:r>
        <w:t xml:space="preserve"> </w:t>
      </w:r>
      <w:bookmarkStart w:id="74" w:name="_Toc495932547"/>
      <w:bookmarkStart w:id="75" w:name="_Toc30814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6" w:name="_Toc178151568"/>
      <w:bookmarkStart w:id="77" w:name="_Toc178152074"/>
      <w:bookmarkStart w:id="78" w:name="_Toc239133104"/>
      <w:bookmarkStart w:id="79" w:name="_Toc179712233"/>
      <w:bookmarkStart w:id="80" w:name="_Toc240280514"/>
      <w:bookmarkStart w:id="81" w:name="_Toc179707480"/>
      <w:bookmarkStart w:id="82" w:name="_Toc453593142"/>
      <w:r>
        <w:t xml:space="preserve"> </w:t>
      </w:r>
      <w:bookmarkStart w:id="83" w:name="_Toc495932548"/>
      <w:bookmarkStart w:id="84" w:name="_Toc9078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5" w:name="_Toc453593143"/>
      <w:bookmarkStart w:id="86" w:name="_Toc178151569"/>
      <w:bookmarkStart w:id="87" w:name="_Toc239133105"/>
      <w:bookmarkStart w:id="88" w:name="_Toc178152075"/>
      <w:bookmarkStart w:id="89" w:name="_Toc179707481"/>
      <w:bookmarkStart w:id="90" w:name="_Toc240280515"/>
      <w:bookmarkStart w:id="91" w:name="_Toc179712234"/>
      <w:r>
        <w:t xml:space="preserve"> </w:t>
      </w:r>
      <w:bookmarkStart w:id="92" w:name="_Toc27463"/>
      <w:bookmarkStart w:id="93" w:name="_Toc49593254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4" w:name="_Toc239133106"/>
      <w:bookmarkStart w:id="95" w:name="_Toc240280516"/>
      <w:bookmarkStart w:id="96" w:name="_Toc178152076"/>
      <w:bookmarkStart w:id="97" w:name="_Toc179712235"/>
      <w:bookmarkStart w:id="98" w:name="_Toc453593144"/>
      <w:bookmarkStart w:id="99" w:name="_Toc178151570"/>
      <w:bookmarkStart w:id="100" w:name="_Toc179707482"/>
      <w:r>
        <w:t xml:space="preserve"> </w:t>
      </w:r>
      <w:bookmarkStart w:id="101" w:name="_Toc29047"/>
      <w:bookmarkStart w:id="102" w:name="_Toc495932550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3" w:name="_Toc453593145"/>
      <w:bookmarkStart w:id="104" w:name="_Toc239133107"/>
      <w:bookmarkStart w:id="105" w:name="_Toc240280517"/>
      <w:r>
        <w:rPr>
          <w:rFonts w:hint="eastAsia"/>
        </w:rPr>
        <w:t xml:space="preserve"> </w:t>
      </w:r>
      <w:bookmarkStart w:id="106" w:name="_Toc495932551"/>
      <w:bookmarkStart w:id="107" w:name="_Toc23340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color w:val="000000"/>
        </w:rPr>
      </w:pPr>
      <w:bookmarkStart w:id="108" w:name="_Toc178151571"/>
      <w:bookmarkStart w:id="109" w:name="_Toc179707483"/>
      <w:bookmarkStart w:id="110" w:name="_Toc179712236"/>
      <w:bookmarkStart w:id="111" w:name="_Toc178152077"/>
      <w:r>
        <w:rPr>
          <w:rFonts w:hint="eastAsia"/>
          <w:color w:val="000000"/>
        </w:rPr>
        <w:t>（3）其它附加系数</w:t>
      </w:r>
    </w:p>
    <w:p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>
      <w:pPr>
        <w:pStyle w:val="2"/>
        <w:rPr>
          <w:szCs w:val="24"/>
          <w:lang w:val="en-US"/>
        </w:rPr>
      </w:pPr>
      <w:bookmarkStart w:id="112" w:name="_Toc10670"/>
      <w:r>
        <w:rPr>
          <w:szCs w:val="24"/>
          <w:lang w:val="en-US"/>
        </w:rPr>
        <w:t>外围护构造</w:t>
      </w:r>
      <w:bookmarkEnd w:id="112"/>
    </w:p>
    <w:p>
      <w:pPr>
        <w:pStyle w:val="4"/>
        <w:rPr>
          <w:szCs w:val="24"/>
          <w:lang w:val="en-US"/>
        </w:rPr>
      </w:pPr>
      <w:bookmarkStart w:id="113" w:name="_Toc23032"/>
      <w:r>
        <w:rPr>
          <w:szCs w:val="24"/>
          <w:lang w:val="en-US"/>
        </w:rPr>
        <w:t>屋顶</w:t>
      </w:r>
      <w:bookmarkEnd w:id="113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127.47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4" w:name="_Toc31128"/>
      <w:r>
        <w:rPr>
          <w:szCs w:val="24"/>
          <w:lang w:val="en-US"/>
        </w:rPr>
        <w:t>外墙</w:t>
      </w:r>
      <w:bookmarkEnd w:id="114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0.836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26.27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5" w:name="_Toc15724"/>
      <w:r>
        <w:rPr>
          <w:szCs w:val="24"/>
          <w:lang w:val="en-US"/>
        </w:rPr>
        <w:t>内围护构造</w:t>
      </w:r>
      <w:bookmarkEnd w:id="115"/>
    </w:p>
    <w:p>
      <w:pPr>
        <w:pStyle w:val="4"/>
        <w:rPr>
          <w:szCs w:val="24"/>
          <w:lang w:val="en-US"/>
        </w:rPr>
      </w:pPr>
      <w:bookmarkStart w:id="116" w:name="_Toc11594"/>
      <w:r>
        <w:rPr>
          <w:szCs w:val="24"/>
          <w:lang w:val="en-US"/>
        </w:rPr>
        <w:t>内墙</w:t>
      </w:r>
      <w:bookmarkEnd w:id="116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59.65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7" w:name="_Toc338"/>
      <w:r>
        <w:rPr>
          <w:szCs w:val="24"/>
          <w:lang w:val="en-US"/>
        </w:rPr>
        <w:t>控温与非控温空间隔墙</w:t>
      </w:r>
      <w:bookmarkEnd w:id="117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59.65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8" w:name="_Toc22848"/>
      <w:r>
        <w:rPr>
          <w:szCs w:val="24"/>
          <w:lang w:val="en-US"/>
        </w:rPr>
        <w:t>封闭阳台构造</w:t>
      </w:r>
      <w:bookmarkEnd w:id="118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9" w:name="_Toc22673"/>
      <w:r>
        <w:rPr>
          <w:szCs w:val="24"/>
          <w:lang w:val="en-US"/>
        </w:rPr>
        <w:t>地下围护构造</w:t>
      </w:r>
      <w:bookmarkEnd w:id="119"/>
    </w:p>
    <w:p>
      <w:pPr>
        <w:pStyle w:val="4"/>
        <w:rPr>
          <w:szCs w:val="24"/>
          <w:lang w:val="en-US"/>
        </w:rPr>
      </w:pPr>
      <w:bookmarkStart w:id="120" w:name="_Toc31678"/>
      <w:r>
        <w:rPr>
          <w:szCs w:val="24"/>
          <w:lang w:val="en-US"/>
        </w:rPr>
        <w:t>周边地面</w:t>
      </w:r>
      <w:bookmarkEnd w:id="120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33.31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1" w:name="_Toc19338"/>
      <w:r>
        <w:rPr>
          <w:szCs w:val="24"/>
          <w:lang w:val="en-US"/>
        </w:rPr>
        <w:t>非周边地面</w:t>
      </w:r>
      <w:bookmarkEnd w:id="121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33.31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2" w:name="_Toc6687"/>
      <w:r>
        <w:rPr>
          <w:szCs w:val="24"/>
          <w:lang w:val="en-US"/>
        </w:rPr>
        <w:t>窗构造</w:t>
      </w:r>
      <w:bookmarkEnd w:id="122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铝合金窗--6高透光单银Low+12空气+6透明玻璃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铝合金窗--6高透光单银Low+12空气+6透明玻璃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3" w:name="_Toc30369"/>
      <w:r>
        <w:rPr>
          <w:szCs w:val="24"/>
          <w:lang w:val="en-US"/>
        </w:rPr>
        <w:t>门构造</w:t>
      </w:r>
      <w:bookmarkEnd w:id="12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4" w:name="_Toc16843"/>
      <w:r>
        <w:rPr>
          <w:szCs w:val="24"/>
          <w:lang w:val="en-US"/>
        </w:rPr>
        <w:t>负荷指标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50341</w:t>
            </w:r>
          </w:p>
        </w:tc>
        <w:tc>
          <w:tcPr>
            <w:vAlign w:val="center"/>
          </w:tcPr>
          <w:p>
            <w:r>
              <w:t>540.07</w:t>
            </w:r>
          </w:p>
        </w:tc>
        <w:tc>
          <w:tcPr>
            <w:vAlign w:val="center"/>
          </w:tcPr>
          <w:p>
            <w:r>
              <w:t>93.21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456.38</w:t>
            </w:r>
          </w:p>
        </w:tc>
        <w:tc>
          <w:tcPr>
            <w:vAlign w:val="center"/>
          </w:tcPr>
          <w:p>
            <w:r>
              <w:t>110.31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5" w:name="_Toc20969"/>
      <w:r>
        <w:rPr>
          <w:szCs w:val="24"/>
          <w:lang w:val="en-US"/>
        </w:rPr>
        <w:t>建筑按系统汇总表</w:t>
      </w:r>
      <w:bookmarkEnd w:id="12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1003[连接通道]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2002[会议室]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2003[连接通道]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110.31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110.31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6" w:name="_Toc20907"/>
      <w:r>
        <w:rPr>
          <w:szCs w:val="24"/>
          <w:lang w:val="en-US"/>
        </w:rPr>
        <w:t>建筑按楼层汇总表</w:t>
      </w:r>
      <w:bookmarkEnd w:id="12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1003[连接通道]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228.54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24705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17884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2002[会议室]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2003[连接通道]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25636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110.31</w:t>
            </w:r>
          </w:p>
        </w:tc>
      </w:tr>
    </w:tbl>
    <w:p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27" w:name="_Toc29508"/>
      <w:r>
        <w:rPr>
          <w:szCs w:val="24"/>
          <w:lang w:val="en-US"/>
        </w:rPr>
        <w:t>房间冷负荷详细表</w:t>
      </w:r>
      <w:bookmarkEnd w:id="127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</w:tr>
      <w:bookmarkEnd w:id="128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1003[连接通道]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D=3.29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D=3.29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2003[连接通道]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D=3.29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D=3.29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D=3.29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K=0.84 D=4.45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</w:tr>
      <w:bookmarkEnd w:id="1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61492502"/>
    <w:rsid w:val="001915A3"/>
    <w:rsid w:val="00217F62"/>
    <w:rsid w:val="00A906D8"/>
    <w:rsid w:val="00AB5A74"/>
    <w:rsid w:val="00F071AE"/>
    <w:rsid w:val="5F455B5E"/>
    <w:rsid w:val="614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3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27</Pages>
  <Words>5794</Words>
  <Characters>9511</Characters>
  <Lines>8</Lines>
  <Paragraphs>2</Paragraphs>
  <TotalTime>0</TotalTime>
  <ScaleCrop>false</ScaleCrop>
  <LinksUpToDate>false</LinksUpToDate>
  <CharactersWithSpaces>14471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2025-12-20T08:45:00Z</dcterms:created>
  <dc:creator>叶鑫</dc:creator>
  <cp:lastModifiedBy>树叶世界</cp:lastModifiedBy>
  <dcterms:modified xsi:type="dcterms:W3CDTF">2025-12-31T13:00:34Z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2FE0918C6A9D4988AD677D0E85BC8617_11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2052-11.1.0.10009</vt:lpwstr>
  </property>
</Properties>
</file>