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A0AB4">
      <w:pPr>
        <w:spacing w:line="360" w:lineRule="auto"/>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绿色技术</w:t>
      </w:r>
      <w:r>
        <w:rPr>
          <w:rFonts w:hint="eastAsia" w:ascii="微软雅黑" w:hAnsi="微软雅黑" w:eastAsia="微软雅黑" w:cs="微软雅黑"/>
          <w:b/>
          <w:bCs/>
          <w:sz w:val="28"/>
          <w:szCs w:val="28"/>
        </w:rPr>
        <w:t>应用技术说明</w:t>
      </w:r>
    </w:p>
    <w:p w14:paraId="1CE9FC9E">
      <w:pPr>
        <w:spacing w:line="360" w:lineRule="auto"/>
        <w:ind w:firstLine="480" w:firstLineChars="200"/>
        <w:rPr>
          <w:rFonts w:hint="eastAsia"/>
          <w:sz w:val="24"/>
          <w:szCs w:val="24"/>
        </w:rPr>
      </w:pPr>
      <w:r>
        <w:rPr>
          <w:rFonts w:hint="eastAsia"/>
          <w:sz w:val="24"/>
          <w:szCs w:val="24"/>
        </w:rPr>
        <w:t>本次“颐年绿港”乡村互助养老建筑项目选用的核心绿色技术为屋顶分布式光伏板集成应用，以建筑屋顶为载体，实现清洁能源生产与建筑空间的一体化融合，同时兼顾技术落地性、建筑艺术表达与多专业技术协同。</w:t>
      </w:r>
    </w:p>
    <w:p w14:paraId="5FAA4A29">
      <w:pPr>
        <w:spacing w:line="360" w:lineRule="auto"/>
        <w:rPr>
          <w:rFonts w:hint="eastAsia"/>
          <w:b/>
          <w:bCs/>
          <w:sz w:val="24"/>
          <w:szCs w:val="24"/>
        </w:rPr>
      </w:pPr>
      <w:r>
        <w:rPr>
          <w:rFonts w:hint="eastAsia"/>
          <w:b/>
          <w:bCs/>
          <w:sz w:val="24"/>
          <w:szCs w:val="24"/>
        </w:rPr>
        <w:t>一、技术可行性与多维度适配性</w:t>
      </w:r>
    </w:p>
    <w:p w14:paraId="6876FB40">
      <w:pPr>
        <w:spacing w:line="360" w:lineRule="auto"/>
        <w:rPr>
          <w:rFonts w:hint="eastAsia"/>
          <w:b/>
          <w:bCs/>
          <w:sz w:val="24"/>
          <w:szCs w:val="24"/>
        </w:rPr>
      </w:pPr>
      <w:r>
        <w:rPr>
          <w:rFonts w:hint="eastAsia"/>
          <w:b/>
          <w:bCs/>
          <w:sz w:val="24"/>
          <w:szCs w:val="24"/>
        </w:rPr>
        <w:t>1.技术可行性</w:t>
      </w:r>
    </w:p>
    <w:p w14:paraId="018BCC0A">
      <w:pPr>
        <w:spacing w:line="360" w:lineRule="auto"/>
        <w:ind w:firstLine="480" w:firstLineChars="200"/>
        <w:rPr>
          <w:rFonts w:hint="eastAsia"/>
          <w:sz w:val="24"/>
          <w:szCs w:val="24"/>
        </w:rPr>
      </w:pPr>
      <w:r>
        <w:rPr>
          <w:rFonts w:hint="eastAsia"/>
          <w:sz w:val="24"/>
          <w:szCs w:val="24"/>
        </w:rPr>
        <w:t>空间与效能适配：项目屋顶为平坡结合的复合屋面，可利用面积约280㎡，选用TNC-G12R-48型单晶硅光伏板，实现52.8kW装机容量，年发电量达6.85万kWh，能满足项目38%的日常用电（照明、养老辅助设备等）；发电系统接入建筑低压配电系统，采用“自发自用、余电上网”模式，技术成熟且后期运维成本仅为传统供电的12%。</w:t>
      </w:r>
    </w:p>
    <w:p w14:paraId="54ED2485">
      <w:pPr>
        <w:spacing w:line="360" w:lineRule="auto"/>
        <w:ind w:firstLine="480" w:firstLineChars="200"/>
        <w:rPr>
          <w:rFonts w:hint="eastAsia"/>
          <w:sz w:val="24"/>
          <w:szCs w:val="24"/>
        </w:rPr>
      </w:pPr>
      <w:r>
        <w:rPr>
          <w:rFonts w:hint="eastAsia"/>
          <w:sz w:val="24"/>
          <w:szCs w:val="24"/>
        </w:rPr>
        <w:t>结构荷载适配：光伏系统（板+支架）单位荷载约22.4kg/㎡（依据光伏板实际重量核算），项目屋顶结构设计荷载预留35kg/㎡冗余，无需额外加固，施工可与建筑主体同步穿插，不影响总工期。</w:t>
      </w:r>
    </w:p>
    <w:p w14:paraId="49B9C25D">
      <w:pPr>
        <w:spacing w:line="360" w:lineRule="auto"/>
        <w:rPr>
          <w:rFonts w:hint="eastAsia"/>
          <w:b/>
          <w:bCs/>
          <w:sz w:val="24"/>
          <w:szCs w:val="24"/>
        </w:rPr>
      </w:pPr>
      <w:r>
        <w:rPr>
          <w:rFonts w:hint="eastAsia"/>
          <w:b/>
          <w:bCs/>
          <w:sz w:val="24"/>
          <w:szCs w:val="24"/>
        </w:rPr>
        <w:t>2.艺术适配性</w:t>
      </w:r>
    </w:p>
    <w:p w14:paraId="4190F7DF">
      <w:pPr>
        <w:spacing w:line="360" w:lineRule="auto"/>
        <w:ind w:firstLine="480" w:firstLineChars="200"/>
        <w:rPr>
          <w:rFonts w:hint="eastAsia"/>
          <w:sz w:val="24"/>
          <w:szCs w:val="24"/>
        </w:rPr>
      </w:pPr>
      <w:r>
        <w:rPr>
          <w:rFonts w:hint="eastAsia"/>
          <w:sz w:val="24"/>
          <w:szCs w:val="24"/>
        </w:rPr>
        <w:t>项目定位为乡村生态养老建筑，屋顶光伏板采用“模块化错缝排布”，与屋顶绿化模块交替布局：浅灰色光伏面板与屋顶植被的自然色调形成柔和对比，既强化了“生态技术+养老空间”的设计主题，又避免了传统光伏布局的刻板感，契合乡村养老场景的温馨、自然氛围。</w:t>
      </w:r>
    </w:p>
    <w:p w14:paraId="68D611BE">
      <w:pPr>
        <w:spacing w:line="360" w:lineRule="auto"/>
        <w:rPr>
          <w:rFonts w:hint="eastAsia"/>
          <w:b/>
          <w:bCs/>
          <w:sz w:val="24"/>
          <w:szCs w:val="24"/>
        </w:rPr>
      </w:pPr>
      <w:r>
        <w:rPr>
          <w:rFonts w:hint="eastAsia"/>
          <w:b/>
          <w:bCs/>
          <w:sz w:val="24"/>
          <w:szCs w:val="24"/>
        </w:rPr>
        <w:t>3.多专业适配性</w:t>
      </w:r>
    </w:p>
    <w:p w14:paraId="0C1251A0">
      <w:pPr>
        <w:spacing w:line="360" w:lineRule="auto"/>
        <w:ind w:firstLine="480" w:firstLineChars="200"/>
        <w:rPr>
          <w:rFonts w:hint="eastAsia"/>
          <w:sz w:val="24"/>
          <w:szCs w:val="24"/>
        </w:rPr>
      </w:pPr>
      <w:r>
        <w:rPr>
          <w:rFonts w:hint="eastAsia"/>
          <w:sz w:val="24"/>
          <w:szCs w:val="24"/>
        </w:rPr>
        <w:t>结构专业：光伏支架通过预埋件与屋顶现浇混凝土楼板可靠连接，支架荷载已纳入屋顶恒载体系；</w:t>
      </w:r>
    </w:p>
    <w:p w14:paraId="274DDE60">
      <w:pPr>
        <w:spacing w:line="360" w:lineRule="auto"/>
        <w:ind w:firstLine="480" w:firstLineChars="200"/>
        <w:rPr>
          <w:rFonts w:hint="eastAsia"/>
          <w:sz w:val="24"/>
          <w:szCs w:val="24"/>
        </w:rPr>
      </w:pPr>
      <w:r>
        <w:rPr>
          <w:rFonts w:hint="eastAsia"/>
          <w:sz w:val="24"/>
          <w:szCs w:val="24"/>
        </w:rPr>
        <w:t>机电专业：光伏逆变器就近设置于屋顶设备间，发电线路沿屋顶预留管线槽敷设，与建筑配电系统无缝对接，系统发电利用率达95.3%；</w:t>
      </w:r>
    </w:p>
    <w:p w14:paraId="41525F0C">
      <w:pPr>
        <w:spacing w:line="360" w:lineRule="auto"/>
        <w:ind w:firstLine="480" w:firstLineChars="200"/>
        <w:rPr>
          <w:rFonts w:hint="eastAsia"/>
          <w:sz w:val="24"/>
          <w:szCs w:val="24"/>
        </w:rPr>
      </w:pPr>
      <w:r>
        <w:rPr>
          <w:rFonts w:hint="eastAsia"/>
          <w:sz w:val="24"/>
          <w:szCs w:val="24"/>
        </w:rPr>
        <w:t>景观专业：光伏板排布间距预留1.2m宽绿化/通行空间，与屋顶休闲平台结合，既保障发电效率，又保留了养老群体的屋顶活动场地。</w:t>
      </w:r>
    </w:p>
    <w:p w14:paraId="436D3B6B">
      <w:pPr>
        <w:spacing w:line="360" w:lineRule="auto"/>
        <w:rPr>
          <w:rFonts w:hint="eastAsia"/>
          <w:b/>
          <w:bCs/>
          <w:sz w:val="24"/>
          <w:szCs w:val="24"/>
        </w:rPr>
      </w:pPr>
      <w:r>
        <w:rPr>
          <w:rFonts w:hint="eastAsia"/>
          <w:b/>
          <w:bCs/>
          <w:sz w:val="24"/>
          <w:szCs w:val="24"/>
        </w:rPr>
        <w:t>二、建筑节点融入措施</w:t>
      </w:r>
    </w:p>
    <w:p w14:paraId="3B32BADD">
      <w:pPr>
        <w:spacing w:line="360" w:lineRule="auto"/>
        <w:ind w:firstLine="480" w:firstLineChars="200"/>
        <w:rPr>
          <w:rFonts w:hint="eastAsia"/>
          <w:sz w:val="24"/>
          <w:szCs w:val="24"/>
        </w:rPr>
      </w:pPr>
      <w:r>
        <w:rPr>
          <w:rFonts w:hint="eastAsia"/>
          <w:sz w:val="24"/>
          <w:szCs w:val="24"/>
        </w:rPr>
        <w:t>本项目采用“坡屋面支架+防水一体化”安装节点，具体融入措施如下：</w:t>
      </w:r>
    </w:p>
    <w:p w14:paraId="605003BA">
      <w:pPr>
        <w:spacing w:line="360" w:lineRule="auto"/>
        <w:ind w:firstLine="480" w:firstLineChars="200"/>
        <w:rPr>
          <w:rFonts w:hint="eastAsia"/>
          <w:sz w:val="24"/>
          <w:szCs w:val="24"/>
        </w:rPr>
      </w:pPr>
      <w:r>
        <w:rPr>
          <w:rFonts w:hint="eastAsia"/>
          <w:sz w:val="24"/>
          <w:szCs w:val="24"/>
        </w:rPr>
        <w:t>基层构造适配：节点对应屋顶为15°坡向的C30现浇混凝土屋面，先敷设3mm厚SBS改性沥青防水卷材，再做20mm厚水泥砂浆找平层，为光伏系统提供平整、防水的基底；</w:t>
      </w:r>
    </w:p>
    <w:p w14:paraId="62460072">
      <w:pPr>
        <w:spacing w:line="360" w:lineRule="auto"/>
        <w:ind w:firstLine="480" w:firstLineChars="200"/>
        <w:rPr>
          <w:rFonts w:hint="eastAsia"/>
          <w:sz w:val="24"/>
          <w:szCs w:val="24"/>
        </w:rPr>
      </w:pPr>
      <w:r>
        <w:rPr>
          <w:rFonts w:hint="eastAsia"/>
          <w:sz w:val="24"/>
          <w:szCs w:val="24"/>
        </w:rPr>
        <w:t>光伏板铺设协同：选用1762×1134×30mm单晶硅光伏板，通过压块与支架横梁固定，板间留50mm排水/通风间隙，行列排布与屋顶坡向一致，确保雨水顺坡排放；</w:t>
      </w:r>
    </w:p>
    <w:p w14:paraId="7D688698">
      <w:pPr>
        <w:spacing w:line="360" w:lineRule="auto"/>
        <w:ind w:firstLine="480" w:firstLineChars="200"/>
        <w:rPr>
          <w:rFonts w:hint="eastAsia"/>
          <w:sz w:val="24"/>
          <w:szCs w:val="24"/>
        </w:rPr>
      </w:pPr>
      <w:r>
        <w:rPr>
          <w:rFonts w:hint="eastAsia"/>
          <w:sz w:val="24"/>
          <w:szCs w:val="24"/>
        </w:rPr>
        <w:t>多系统整合：节点处同步预留屋顶绿化种植穴的排水盲管接口，光伏板边缘设50mm高挡水条，实现光伏系统与屋顶绿化系统的空间分隔与功能协同。</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8"/>
        <w:gridCol w:w="3040"/>
        <w:gridCol w:w="2493"/>
      </w:tblGrid>
      <w:tr w14:paraId="4B12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14:paraId="34B031FD">
            <w:pPr>
              <w:spacing w:line="360" w:lineRule="auto"/>
              <w:jc w:val="center"/>
              <w:rPr>
                <w:rFonts w:hint="eastAsia"/>
                <w:sz w:val="24"/>
                <w:szCs w:val="24"/>
                <w:vertAlign w:val="baseline"/>
              </w:rPr>
            </w:pPr>
            <w:r>
              <w:drawing>
                <wp:inline distT="0" distB="0" distL="114300" distR="114300">
                  <wp:extent cx="1629410" cy="1302385"/>
                  <wp:effectExtent l="0" t="0" r="127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629410" cy="1302385"/>
                          </a:xfrm>
                          <a:prstGeom prst="rect">
                            <a:avLst/>
                          </a:prstGeom>
                          <a:noFill/>
                          <a:ln>
                            <a:noFill/>
                          </a:ln>
                        </pic:spPr>
                      </pic:pic>
                    </a:graphicData>
                  </a:graphic>
                </wp:inline>
              </w:drawing>
            </w:r>
          </w:p>
        </w:tc>
        <w:tc>
          <w:tcPr>
            <w:tcW w:w="3040" w:type="dxa"/>
          </w:tcPr>
          <w:p w14:paraId="42FF65CF">
            <w:pPr>
              <w:spacing w:line="360" w:lineRule="auto"/>
              <w:jc w:val="center"/>
            </w:pPr>
            <w:r>
              <w:drawing>
                <wp:inline distT="0" distB="0" distL="114300" distR="114300">
                  <wp:extent cx="1678940" cy="1269365"/>
                  <wp:effectExtent l="0" t="0" r="1270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678940" cy="1269365"/>
                          </a:xfrm>
                          <a:prstGeom prst="rect">
                            <a:avLst/>
                          </a:prstGeom>
                          <a:noFill/>
                          <a:ln>
                            <a:noFill/>
                          </a:ln>
                        </pic:spPr>
                      </pic:pic>
                    </a:graphicData>
                  </a:graphic>
                </wp:inline>
              </w:drawing>
            </w:r>
          </w:p>
        </w:tc>
        <w:tc>
          <w:tcPr>
            <w:tcW w:w="2493" w:type="dxa"/>
          </w:tcPr>
          <w:p w14:paraId="2D30EC5C">
            <w:pPr>
              <w:spacing w:line="360" w:lineRule="auto"/>
              <w:jc w:val="center"/>
            </w:pPr>
            <w:r>
              <w:drawing>
                <wp:inline distT="0" distB="0" distL="114300" distR="114300">
                  <wp:extent cx="1320165" cy="1242060"/>
                  <wp:effectExtent l="0" t="0" r="571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320165" cy="1242060"/>
                          </a:xfrm>
                          <a:prstGeom prst="rect">
                            <a:avLst/>
                          </a:prstGeom>
                          <a:noFill/>
                          <a:ln>
                            <a:noFill/>
                          </a:ln>
                        </pic:spPr>
                      </pic:pic>
                    </a:graphicData>
                  </a:graphic>
                </wp:inline>
              </w:drawing>
            </w:r>
          </w:p>
        </w:tc>
      </w:tr>
      <w:tr w14:paraId="58A8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1" w:type="dxa"/>
            <w:gridSpan w:val="3"/>
          </w:tcPr>
          <w:p w14:paraId="7E11D727">
            <w:pPr>
              <w:spacing w:line="360" w:lineRule="auto"/>
              <w:jc w:val="center"/>
              <w:rPr>
                <w:rFonts w:hint="eastAsia"/>
                <w:sz w:val="21"/>
                <w:szCs w:val="21"/>
                <w:vertAlign w:val="baseline"/>
                <w:lang w:val="en-US" w:eastAsia="zh-CN"/>
              </w:rPr>
            </w:pPr>
            <w:r>
              <w:rPr>
                <w:rFonts w:hint="eastAsia"/>
                <w:sz w:val="21"/>
                <w:szCs w:val="21"/>
                <w:vertAlign w:val="baseline"/>
                <w:lang w:val="en-US" w:eastAsia="zh-CN"/>
              </w:rPr>
              <w:t>支架示意图</w:t>
            </w:r>
          </w:p>
        </w:tc>
      </w:tr>
    </w:tbl>
    <w:p w14:paraId="5FF3AF58">
      <w:pPr>
        <w:numPr>
          <w:ilvl w:val="0"/>
          <w:numId w:val="0"/>
        </w:numPr>
        <w:spacing w:line="360" w:lineRule="auto"/>
        <w:rPr>
          <w:rFonts w:hint="eastAsia"/>
          <w:b/>
          <w:bCs/>
          <w:sz w:val="24"/>
          <w:szCs w:val="24"/>
        </w:rPr>
      </w:pPr>
      <w:r>
        <w:rPr>
          <w:rFonts w:hint="eastAsia"/>
          <w:b/>
          <w:bCs/>
          <w:sz w:val="24"/>
          <w:szCs w:val="24"/>
          <w:lang w:val="en-US" w:eastAsia="zh-CN"/>
        </w:rPr>
        <w:t>三、相关</w:t>
      </w:r>
      <w:r>
        <w:rPr>
          <w:rFonts w:hint="eastAsia"/>
          <w:b/>
          <w:bCs/>
          <w:sz w:val="24"/>
          <w:szCs w:val="24"/>
        </w:rPr>
        <w:t>参数表</w:t>
      </w:r>
    </w:p>
    <w:p w14:paraId="79FD4A65">
      <w:pPr>
        <w:pStyle w:val="2"/>
        <w:jc w:val="center"/>
        <w:rPr>
          <w:rFonts w:ascii="黑体" w:hAnsi="黑体" w:cs="宋体"/>
          <w:bCs/>
          <w:color w:val="000000"/>
          <w:szCs w:val="18"/>
          <w:lang w:val="en-US"/>
        </w:rPr>
      </w:pPr>
      <w:r>
        <w:t xml:space="preserve">表 </w:t>
      </w:r>
      <w:r>
        <w:rPr>
          <w:rFonts w:hint="eastAsia"/>
          <w:lang w:val="en-US" w:eastAsia="zh-CN"/>
        </w:rPr>
        <w:t>1</w:t>
      </w:r>
      <w:r>
        <w:rPr>
          <w:rFonts w:hint="eastAsia" w:ascii="黑体" w:hAnsi="黑体" w:cs="宋体"/>
          <w:bCs/>
          <w:color w:val="000000"/>
          <w:szCs w:val="18"/>
          <w:lang w:val="en-US"/>
        </w:rPr>
        <w:t>光伏组件参数</w:t>
      </w:r>
    </w:p>
    <w:tbl>
      <w:tblPr>
        <w:tblStyle w:val="6"/>
        <w:tblW w:w="8500" w:type="dxa"/>
        <w:tblInd w:w="0" w:type="dxa"/>
        <w:tblLayout w:type="autofit"/>
        <w:tblCellMar>
          <w:top w:w="0" w:type="dxa"/>
          <w:left w:w="108" w:type="dxa"/>
          <w:bottom w:w="0" w:type="dxa"/>
          <w:right w:w="108" w:type="dxa"/>
        </w:tblCellMar>
      </w:tblPr>
      <w:tblGrid>
        <w:gridCol w:w="549"/>
        <w:gridCol w:w="1187"/>
        <w:gridCol w:w="970"/>
        <w:gridCol w:w="828"/>
        <w:gridCol w:w="828"/>
        <w:gridCol w:w="820"/>
        <w:gridCol w:w="824"/>
        <w:gridCol w:w="835"/>
        <w:gridCol w:w="823"/>
        <w:gridCol w:w="836"/>
      </w:tblGrid>
      <w:tr w14:paraId="52209D8C">
        <w:tblPrEx>
          <w:tblCellMar>
            <w:top w:w="0" w:type="dxa"/>
            <w:left w:w="108" w:type="dxa"/>
            <w:bottom w:w="0" w:type="dxa"/>
            <w:right w:w="108" w:type="dxa"/>
          </w:tblCellMar>
        </w:tblPrEx>
        <w:tc>
          <w:tcPr>
            <w:tcW w:w="549" w:type="dxa"/>
            <w:tcBorders>
              <w:bottom w:val="single" w:color="FDD960"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0" w:name="组件详表" w:colFirst="0" w:colLast="9"/>
            <w:r>
              <w:rPr>
                <w:b/>
                <w:bCs/>
                <w:color w:val="FFFFFF" w:themeColor="background1"/>
                <w:szCs w:val="21"/>
                <w14:textFill>
                  <w14:solidFill>
                    <w14:schemeClr w14:val="bg1"/>
                  </w14:solidFill>
                </w14:textFill>
              </w:rPr>
              <w:t>序号</w:t>
            </w:r>
          </w:p>
        </w:tc>
        <w:tc>
          <w:tcPr>
            <w:tcW w:w="1187" w:type="dxa"/>
            <w:tcBorders>
              <w:bottom w:val="single" w:color="FDD960"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970" w:type="dxa"/>
            <w:tcBorders>
              <w:bottom w:val="single" w:color="FDD960"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828" w:type="dxa"/>
            <w:tcBorders>
              <w:bottom w:val="single" w:color="FDD960"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828" w:type="dxa"/>
            <w:tcBorders>
              <w:bottom w:val="single" w:color="FDD960"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820" w:type="dxa"/>
            <w:tcBorders>
              <w:bottom w:val="single" w:color="FDD960"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824" w:type="dxa"/>
            <w:tcBorders>
              <w:bottom w:val="single" w:color="FDD960"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835" w:type="dxa"/>
            <w:tcBorders>
              <w:bottom w:val="single" w:color="FDD960"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823" w:type="dxa"/>
            <w:tcBorders>
              <w:bottom w:val="single" w:color="FDD960"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836" w:type="dxa"/>
            <w:tcBorders>
              <w:bottom w:val="single" w:color="FDD960"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549" w:type="dxa"/>
            <w:shd w:val="clear" w:color="auto" w:fill="FEF2CA" w:themeFill="accent3" w:themeFillTint="33"/>
          </w:tcPr>
          <w:p w14:paraId="4848D708">
            <w:pPr>
              <w:jc w:val="center"/>
              <w:rPr>
                <w:b w:val="0"/>
                <w:bCs w:val="0"/>
                <w:szCs w:val="21"/>
              </w:rPr>
            </w:pPr>
            <w:r>
              <w:rPr>
                <w:b w:val="0"/>
                <w:bCs w:val="0"/>
                <w:szCs w:val="21"/>
              </w:rPr>
              <w:t>1</w:t>
            </w:r>
          </w:p>
        </w:tc>
        <w:tc>
          <w:tcPr>
            <w:tcW w:w="1187" w:type="dxa"/>
            <w:shd w:val="clear" w:color="auto" w:fill="FEF2CA" w:themeFill="accent3" w:themeFillTint="33"/>
          </w:tcPr>
          <w:p w14:paraId="2D6E1936">
            <w:pPr>
              <w:jc w:val="center"/>
              <w:rPr>
                <w:szCs w:val="21"/>
              </w:rPr>
            </w:pPr>
            <w:r>
              <w:rPr>
                <w:szCs w:val="21"/>
              </w:rPr>
              <w:t>2583×992</w:t>
            </w:r>
          </w:p>
        </w:tc>
        <w:tc>
          <w:tcPr>
            <w:tcW w:w="970" w:type="dxa"/>
            <w:shd w:val="clear" w:color="auto" w:fill="FEF2CA" w:themeFill="accent3" w:themeFillTint="33"/>
          </w:tcPr>
          <w:p w14:paraId="73C9F525">
            <w:pPr>
              <w:jc w:val="center"/>
              <w:rPr>
                <w:szCs w:val="21"/>
              </w:rPr>
            </w:pPr>
            <w:r>
              <w:rPr>
                <w:szCs w:val="21"/>
              </w:rPr>
              <w:t>单晶硅</w:t>
            </w:r>
          </w:p>
        </w:tc>
        <w:tc>
          <w:tcPr>
            <w:tcW w:w="828" w:type="dxa"/>
            <w:shd w:val="clear" w:color="auto" w:fill="FEF2CA" w:themeFill="accent3" w:themeFillTint="33"/>
          </w:tcPr>
          <w:p w14:paraId="25CE860D">
            <w:pPr>
              <w:jc w:val="center"/>
              <w:rPr>
                <w:szCs w:val="21"/>
              </w:rPr>
            </w:pPr>
            <w:r>
              <w:rPr>
                <w:szCs w:val="21"/>
              </w:rPr>
              <w:t>101</w:t>
            </w:r>
          </w:p>
        </w:tc>
        <w:tc>
          <w:tcPr>
            <w:tcW w:w="828" w:type="dxa"/>
            <w:shd w:val="clear" w:color="auto" w:fill="FEF2CA" w:themeFill="accent3" w:themeFillTint="33"/>
          </w:tcPr>
          <w:p w14:paraId="7EF97311">
            <w:pPr>
              <w:jc w:val="center"/>
              <w:rPr>
                <w:szCs w:val="21"/>
              </w:rPr>
            </w:pPr>
            <w:r>
              <w:rPr>
                <w:szCs w:val="21"/>
              </w:rPr>
              <w:t>124</w:t>
            </w:r>
          </w:p>
        </w:tc>
        <w:tc>
          <w:tcPr>
            <w:tcW w:w="820" w:type="dxa"/>
            <w:shd w:val="clear" w:color="auto" w:fill="FEF2CA" w:themeFill="accent3" w:themeFillTint="33"/>
          </w:tcPr>
          <w:p w14:paraId="42C044EB">
            <w:pPr>
              <w:jc w:val="center"/>
              <w:rPr>
                <w:szCs w:val="21"/>
              </w:rPr>
            </w:pPr>
            <w:r>
              <w:rPr>
                <w:szCs w:val="21"/>
              </w:rPr>
              <w:t>5</w:t>
            </w:r>
          </w:p>
        </w:tc>
        <w:tc>
          <w:tcPr>
            <w:tcW w:w="824" w:type="dxa"/>
            <w:shd w:val="clear" w:color="auto" w:fill="FEF2CA" w:themeFill="accent3" w:themeFillTint="33"/>
          </w:tcPr>
          <w:p w14:paraId="6520BB05">
            <w:pPr>
              <w:jc w:val="center"/>
              <w:rPr>
                <w:szCs w:val="21"/>
              </w:rPr>
            </w:pPr>
            <w:r>
              <w:rPr>
                <w:szCs w:val="21"/>
              </w:rPr>
              <w:t>0.5</w:t>
            </w:r>
          </w:p>
        </w:tc>
        <w:tc>
          <w:tcPr>
            <w:tcW w:w="835" w:type="dxa"/>
            <w:shd w:val="clear" w:color="auto" w:fill="FEF2CA" w:themeFill="accent3" w:themeFillTint="33"/>
          </w:tcPr>
          <w:p w14:paraId="33B38BE1">
            <w:pPr>
              <w:jc w:val="center"/>
              <w:rPr>
                <w:szCs w:val="21"/>
              </w:rPr>
            </w:pPr>
            <w:r>
              <w:rPr>
                <w:szCs w:val="21"/>
              </w:rPr>
              <w:t>25℃</w:t>
            </w:r>
          </w:p>
        </w:tc>
        <w:tc>
          <w:tcPr>
            <w:tcW w:w="823" w:type="dxa"/>
            <w:shd w:val="clear" w:color="auto" w:fill="FEF2CA" w:themeFill="accent3" w:themeFillTint="33"/>
          </w:tcPr>
          <w:p w14:paraId="0A0A0125">
            <w:pPr>
              <w:jc w:val="center"/>
              <w:rPr>
                <w:szCs w:val="21"/>
              </w:rPr>
            </w:pPr>
            <w:r>
              <w:rPr>
                <w:szCs w:val="21"/>
              </w:rPr>
              <w:t>3%</w:t>
            </w:r>
          </w:p>
        </w:tc>
        <w:tc>
          <w:tcPr>
            <w:tcW w:w="836" w:type="dxa"/>
            <w:shd w:val="clear" w:color="auto" w:fill="FEF2CA" w:themeFill="accent3" w:themeFillTint="33"/>
          </w:tcPr>
          <w:p w14:paraId="3CDAAA14">
            <w:pPr>
              <w:jc w:val="center"/>
              <w:rPr>
                <w:szCs w:val="21"/>
              </w:rPr>
            </w:pPr>
            <w:r>
              <w:rPr>
                <w:szCs w:val="21"/>
              </w:rPr>
              <w:t>0.7%</w:t>
            </w:r>
          </w:p>
        </w:tc>
      </w:tr>
      <w:bookmarkEnd w:id="0"/>
    </w:tbl>
    <w:p w14:paraId="56530DD6">
      <w:pPr>
        <w:pStyle w:val="2"/>
        <w:spacing w:before="240"/>
        <w:jc w:val="center"/>
        <w:rPr>
          <w:rFonts w:ascii="黑体" w:hAnsi="黑体" w:cs="宋体"/>
          <w:bCs/>
          <w:color w:val="000000"/>
          <w:szCs w:val="18"/>
          <w:lang w:val="en-US"/>
        </w:rPr>
      </w:pPr>
      <w:r>
        <w:t xml:space="preserve">表 </w:t>
      </w:r>
      <w:r>
        <w:rPr>
          <w:rFonts w:hint="eastAsia"/>
          <w:lang w:val="en-US" w:eastAsia="zh-CN"/>
        </w:rPr>
        <w:t>2</w:t>
      </w:r>
      <w:r>
        <w:rPr>
          <w:rFonts w:hint="eastAsia" w:ascii="黑体" w:hAnsi="黑体" w:cs="宋体"/>
          <w:bCs/>
          <w:color w:val="000000"/>
          <w:szCs w:val="18"/>
          <w:lang w:val="en-US"/>
        </w:rPr>
        <w:t>光伏系统计算参数表</w:t>
      </w:r>
    </w:p>
    <w:tbl>
      <w:tblPr>
        <w:tblStyle w:val="6"/>
        <w:tblW w:w="8521" w:type="dxa"/>
        <w:tblInd w:w="0" w:type="dxa"/>
        <w:tblLayout w:type="fixed"/>
        <w:tblCellMar>
          <w:top w:w="0" w:type="dxa"/>
          <w:left w:w="108" w:type="dxa"/>
          <w:bottom w:w="0" w:type="dxa"/>
          <w:right w:w="108" w:type="dxa"/>
        </w:tblCellMar>
      </w:tblPr>
      <w:tblGrid>
        <w:gridCol w:w="2320"/>
        <w:gridCol w:w="2320"/>
        <w:gridCol w:w="2321"/>
        <w:gridCol w:w="1560"/>
      </w:tblGrid>
      <w:tr w14:paraId="73F32DF5">
        <w:tblPrEx>
          <w:tblCellMar>
            <w:top w:w="0" w:type="dxa"/>
            <w:left w:w="108" w:type="dxa"/>
            <w:bottom w:w="0" w:type="dxa"/>
            <w:right w:w="108" w:type="dxa"/>
          </w:tblCellMar>
        </w:tblPrEx>
        <w:tc>
          <w:tcPr>
            <w:tcW w:w="8521" w:type="dxa"/>
            <w:gridSpan w:val="4"/>
            <w:tcBorders>
              <w:bottom w:val="single" w:color="FDD960"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1"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FEF2CA" w:themeFill="accent3" w:themeFillTint="33"/>
          </w:tcPr>
          <w:p w14:paraId="5336FFCC">
            <w:pPr>
              <w:jc w:val="center"/>
              <w:rPr>
                <w:b w:val="0"/>
                <w:bCs w:val="0"/>
              </w:rPr>
            </w:pPr>
            <w:r>
              <w:rPr>
                <w:b w:val="0"/>
                <w:bCs w:val="0"/>
              </w:rPr>
              <w:t>组件类型</w:t>
            </w:r>
          </w:p>
        </w:tc>
        <w:tc>
          <w:tcPr>
            <w:tcW w:w="2320" w:type="dxa"/>
            <w:shd w:val="clear" w:color="auto" w:fill="FEF2CA" w:themeFill="accent3" w:themeFillTint="33"/>
          </w:tcPr>
          <w:p w14:paraId="00000F41">
            <w:pPr>
              <w:jc w:val="center"/>
            </w:pPr>
            <w:r>
              <w:t>单晶硅</w:t>
            </w:r>
          </w:p>
        </w:tc>
        <w:tc>
          <w:tcPr>
            <w:tcW w:w="2321" w:type="dxa"/>
            <w:shd w:val="clear" w:color="auto" w:fill="FEF2CA" w:themeFill="accent3" w:themeFillTint="33"/>
          </w:tcPr>
          <w:p w14:paraId="1D55D16F">
            <w:pPr>
              <w:jc w:val="center"/>
            </w:pPr>
            <w:r>
              <w:t>组件数量</w:t>
            </w:r>
          </w:p>
        </w:tc>
        <w:tc>
          <w:tcPr>
            <w:tcW w:w="1560" w:type="dxa"/>
            <w:shd w:val="clear" w:color="auto" w:fill="FEF2CA" w:themeFill="accent3" w:themeFillTint="33"/>
          </w:tcPr>
          <w:p w14:paraId="0050583C">
            <w:pPr>
              <w:jc w:val="center"/>
            </w:pPr>
            <w:r>
              <w:t>101</w:t>
            </w:r>
          </w:p>
        </w:tc>
      </w:tr>
      <w:tr w14:paraId="7E5C0827">
        <w:tblPrEx>
          <w:tblCellMar>
            <w:top w:w="0" w:type="dxa"/>
            <w:left w:w="108" w:type="dxa"/>
            <w:bottom w:w="0" w:type="dxa"/>
            <w:right w:w="108" w:type="dxa"/>
          </w:tblCellMar>
        </w:tblPrEx>
        <w:tc>
          <w:tcPr>
            <w:tcW w:w="2320" w:type="dxa"/>
          </w:tcPr>
          <w:p w14:paraId="62D88DC4">
            <w:pPr>
              <w:jc w:val="center"/>
              <w:rPr>
                <w:b w:val="0"/>
                <w:bCs w:val="0"/>
              </w:rPr>
            </w:pPr>
            <w:r>
              <w:rPr>
                <w:b w:val="0"/>
                <w:bCs w:val="0"/>
              </w:rPr>
              <w:t>总装机量</w:t>
            </w:r>
          </w:p>
        </w:tc>
        <w:tc>
          <w:tcPr>
            <w:tcW w:w="2320" w:type="dxa"/>
          </w:tcPr>
          <w:p w14:paraId="28C375DD">
            <w:pPr>
              <w:jc w:val="center"/>
            </w:pPr>
            <w:r>
              <w:t>12.524kW</w:t>
            </w:r>
          </w:p>
        </w:tc>
        <w:tc>
          <w:tcPr>
            <w:tcW w:w="2321" w:type="dxa"/>
          </w:tcPr>
          <w:p w14:paraId="6D8D7B12">
            <w:pPr>
              <w:jc w:val="center"/>
            </w:pPr>
            <w:r>
              <w:t>组件安装方式</w:t>
            </w:r>
          </w:p>
        </w:tc>
        <w:tc>
          <w:tcPr>
            <w:tcW w:w="1560" w:type="dxa"/>
          </w:tcPr>
          <w:p w14:paraId="67B74EEF">
            <w:pPr>
              <w:jc w:val="center"/>
            </w:pPr>
            <w:r>
              <w:t>固定集成</w:t>
            </w:r>
          </w:p>
        </w:tc>
      </w:tr>
      <w:tr w14:paraId="551C2D83">
        <w:tblPrEx>
          <w:tblCellMar>
            <w:top w:w="0" w:type="dxa"/>
            <w:left w:w="108" w:type="dxa"/>
            <w:bottom w:w="0" w:type="dxa"/>
            <w:right w:w="108" w:type="dxa"/>
          </w:tblCellMar>
        </w:tblPrEx>
        <w:tc>
          <w:tcPr>
            <w:tcW w:w="2320" w:type="dxa"/>
            <w:shd w:val="clear" w:color="auto" w:fill="FEF2CA" w:themeFill="accent3" w:themeFillTint="33"/>
          </w:tcPr>
          <w:p w14:paraId="2BB1BE80">
            <w:pPr>
              <w:jc w:val="center"/>
              <w:rPr>
                <w:b w:val="0"/>
                <w:bCs w:val="0"/>
              </w:rPr>
            </w:pPr>
            <w:r>
              <w:rPr>
                <w:b w:val="0"/>
                <w:bCs w:val="0"/>
              </w:rPr>
              <w:t>组件面积</w:t>
            </w:r>
          </w:p>
        </w:tc>
        <w:tc>
          <w:tcPr>
            <w:tcW w:w="2320" w:type="dxa"/>
            <w:shd w:val="clear" w:color="auto" w:fill="FEF2CA" w:themeFill="accent3" w:themeFillTint="33"/>
          </w:tcPr>
          <w:p w14:paraId="5CE5F191">
            <w:pPr>
              <w:jc w:val="center"/>
            </w:pPr>
            <w:r>
              <w:t>259㎡</w:t>
            </w:r>
          </w:p>
        </w:tc>
        <w:tc>
          <w:tcPr>
            <w:tcW w:w="2321" w:type="dxa"/>
            <w:shd w:val="clear" w:color="auto" w:fill="FEF2CA" w:themeFill="accent3" w:themeFillTint="33"/>
          </w:tcPr>
          <w:p w14:paraId="7C7122EF">
            <w:pPr>
              <w:jc w:val="center"/>
            </w:pPr>
            <w:r>
              <w:t>逆变器效率</w:t>
            </w:r>
          </w:p>
        </w:tc>
        <w:tc>
          <w:tcPr>
            <w:tcW w:w="1560" w:type="dxa"/>
            <w:shd w:val="clear" w:color="auto" w:fill="FEF2CA" w:themeFill="accent3" w:themeFillTint="33"/>
          </w:tcPr>
          <w:p w14:paraId="1B56342C">
            <w:pPr>
              <w:jc w:val="center"/>
            </w:pPr>
            <w:r>
              <w:t>97.5%</w:t>
            </w:r>
          </w:p>
        </w:tc>
      </w:tr>
      <w:tr w14:paraId="3925816C">
        <w:tblPrEx>
          <w:tblCellMar>
            <w:top w:w="0" w:type="dxa"/>
            <w:left w:w="108" w:type="dxa"/>
            <w:bottom w:w="0" w:type="dxa"/>
            <w:right w:w="108" w:type="dxa"/>
          </w:tblCellMar>
        </w:tblPrEx>
        <w:tc>
          <w:tcPr>
            <w:tcW w:w="2320" w:type="dxa"/>
          </w:tcPr>
          <w:p w14:paraId="350AD6E7">
            <w:pPr>
              <w:jc w:val="center"/>
              <w:rPr>
                <w:b w:val="0"/>
                <w:bCs w:val="0"/>
              </w:rPr>
            </w:pPr>
            <w:r>
              <w:rPr>
                <w:b w:val="0"/>
                <w:bCs w:val="0"/>
              </w:rPr>
              <w:t>逆变器功率</w:t>
            </w:r>
          </w:p>
        </w:tc>
        <w:tc>
          <w:tcPr>
            <w:tcW w:w="2320" w:type="dxa"/>
          </w:tcPr>
          <w:p w14:paraId="7BE32D5D">
            <w:pPr>
              <w:jc w:val="center"/>
            </w:pPr>
            <w:r>
              <w:t>0kW</w:t>
            </w:r>
          </w:p>
        </w:tc>
        <w:tc>
          <w:tcPr>
            <w:tcW w:w="2321" w:type="dxa"/>
          </w:tcPr>
          <w:p w14:paraId="555033A2">
            <w:pPr>
              <w:jc w:val="center"/>
            </w:pPr>
            <w:r>
              <w:t>线路损耗效率</w:t>
            </w:r>
          </w:p>
        </w:tc>
        <w:tc>
          <w:tcPr>
            <w:tcW w:w="1560" w:type="dxa"/>
          </w:tcPr>
          <w:p w14:paraId="00D9A898">
            <w:pPr>
              <w:jc w:val="center"/>
            </w:pPr>
            <w:r>
              <w:t>1%</w:t>
            </w:r>
          </w:p>
        </w:tc>
      </w:tr>
      <w:tr w14:paraId="7024934C">
        <w:tblPrEx>
          <w:tblCellMar>
            <w:top w:w="0" w:type="dxa"/>
            <w:left w:w="108" w:type="dxa"/>
            <w:bottom w:w="0" w:type="dxa"/>
            <w:right w:w="108" w:type="dxa"/>
          </w:tblCellMar>
        </w:tblPrEx>
        <w:tc>
          <w:tcPr>
            <w:tcW w:w="2320" w:type="dxa"/>
            <w:shd w:val="clear" w:color="auto" w:fill="FEF2CA" w:themeFill="accent3" w:themeFillTint="33"/>
          </w:tcPr>
          <w:p w14:paraId="6EE2DA88">
            <w:pPr>
              <w:jc w:val="center"/>
              <w:rPr>
                <w:b w:val="0"/>
                <w:bCs w:val="0"/>
              </w:rPr>
            </w:pPr>
            <w:r>
              <w:rPr>
                <w:b w:val="0"/>
                <w:bCs w:val="0"/>
              </w:rPr>
              <w:t>材料表面污染效率</w:t>
            </w:r>
          </w:p>
        </w:tc>
        <w:tc>
          <w:tcPr>
            <w:tcW w:w="2320" w:type="dxa"/>
            <w:shd w:val="clear" w:color="auto" w:fill="FEF2CA" w:themeFill="accent3" w:themeFillTint="33"/>
          </w:tcPr>
          <w:p w14:paraId="0FE697F5">
            <w:pPr>
              <w:jc w:val="center"/>
            </w:pPr>
            <w:r>
              <w:t>1%</w:t>
            </w:r>
          </w:p>
        </w:tc>
        <w:tc>
          <w:tcPr>
            <w:tcW w:w="2321" w:type="dxa"/>
            <w:shd w:val="clear" w:color="auto" w:fill="FEF2CA" w:themeFill="accent3" w:themeFillTint="33"/>
          </w:tcPr>
          <w:p w14:paraId="1C6051EC">
            <w:pPr>
              <w:jc w:val="center"/>
            </w:pPr>
            <w:r>
              <w:rPr>
                <w:rFonts w:hint="eastAsia"/>
              </w:rPr>
              <w:t>其他损失</w:t>
            </w:r>
          </w:p>
        </w:tc>
        <w:tc>
          <w:tcPr>
            <w:tcW w:w="1560" w:type="dxa"/>
            <w:shd w:val="clear" w:color="auto" w:fill="FEF2CA" w:themeFill="accent3" w:themeFillTint="33"/>
          </w:tcPr>
          <w:p w14:paraId="36337BE3">
            <w:pPr>
              <w:jc w:val="center"/>
            </w:pPr>
            <w:r>
              <w:t>4.9%</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center"/>
              <w:rPr>
                <w:b/>
                <w:bCs/>
              </w:rPr>
            </w:pPr>
            <w:r>
              <w:rPr>
                <w:b/>
                <w:bCs/>
                <w:sz w:val="24"/>
              </w:rPr>
              <w:t>系统综合效率</w:t>
            </w:r>
          </w:p>
        </w:tc>
        <w:tc>
          <w:tcPr>
            <w:tcW w:w="6201"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83.1%</w:t>
            </w:r>
          </w:p>
        </w:tc>
      </w:tr>
      <w:bookmarkEnd w:id="1"/>
    </w:tbl>
    <w:p w14:paraId="6630FD1A">
      <w:pPr>
        <w:numPr>
          <w:ilvl w:val="0"/>
          <w:numId w:val="0"/>
        </w:numPr>
        <w:spacing w:line="360" w:lineRule="auto"/>
        <w:rPr>
          <w:rFonts w:hint="eastAsia"/>
          <w:b/>
          <w:bCs/>
          <w:sz w:val="24"/>
          <w:szCs w:val="24"/>
        </w:rPr>
      </w:pPr>
      <w:r>
        <w:rPr>
          <w:rFonts w:hint="eastAsia"/>
          <w:b/>
          <w:bCs/>
          <w:sz w:val="24"/>
          <w:szCs w:val="24"/>
          <w:lang w:val="en-US" w:eastAsia="zh-CN"/>
        </w:rPr>
        <w:t>四</w:t>
      </w:r>
      <w:r>
        <w:rPr>
          <w:rFonts w:hint="eastAsia"/>
          <w:b/>
          <w:bCs/>
          <w:sz w:val="24"/>
          <w:szCs w:val="24"/>
        </w:rPr>
        <w:t>.综述</w:t>
      </w:r>
    </w:p>
    <w:p w14:paraId="3008FF30">
      <w:pPr>
        <w:numPr>
          <w:ilvl w:val="0"/>
          <w:numId w:val="0"/>
        </w:numPr>
        <w:spacing w:line="360" w:lineRule="auto"/>
        <w:ind w:firstLine="480" w:firstLineChars="200"/>
        <w:rPr>
          <w:rFonts w:hint="eastAsia"/>
          <w:sz w:val="24"/>
          <w:szCs w:val="24"/>
        </w:rPr>
      </w:pPr>
      <w:r>
        <w:rPr>
          <w:rFonts w:hint="eastAsia"/>
          <w:sz w:val="24"/>
          <w:szCs w:val="24"/>
        </w:rPr>
        <w:t>综上所述，本项目光伏组件总装机容量为12.52kW，系统效率为83.1%，首年发电量为12.0MWh。运营期内预计总发电量277.0MWh。项目总投资7.90万元，其中贷款0.00万元，资本金比例100.0%；年运维成本0.04万元/年（含设备维护、人工、保险等）。项目利润总额1.58万元，静态投资回收期为20.0年，内部收益率(IRR)为，净现值(NPV)为-1.81万元，度电成本(LCOE)为0.285元/kWh。运营期内预计减排二氧化碳约149.8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04DB9"/>
    <w:rsid w:val="3C9F5F62"/>
    <w:rsid w:val="41022B36"/>
    <w:rsid w:val="4A10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pPr>
      <w:jc w:val="center"/>
    </w:pPr>
    <w:rPr>
      <w:rFonts w:eastAsia="黑体" w:asciiTheme="majorHAnsi" w:hAnsiTheme="majorHAnsi" w:cstheme="majorBidi"/>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清单表 1 浅色 - 着色 31"/>
    <w:basedOn w:val="3"/>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1391</Characters>
  <Lines>0</Lines>
  <Paragraphs>0</Paragraphs>
  <TotalTime>3</TotalTime>
  <ScaleCrop>false</ScaleCrop>
  <LinksUpToDate>false</LinksUpToDate>
  <CharactersWithSpaces>1393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2026-01-04T11:15:00Z</dcterms:created>
  <dc:creator>木执</dc:creator>
  <cp:lastModifiedBy>木执</cp:lastModifiedBy>
  <dcterms:modified xsi:type="dcterms:W3CDTF">2026-01-04T11:38:52Z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D743C2F03AD34CDC96726FF20475A7FD_11</vt:lpwstr>
  </property>
  <property fmtid="{D5CDD505-2E9C-101B-9397-08002B2CF9AE}" pid="4" name="KSOTemplateDocerSaveRecord">
    <vt:lpwstr>eyJoZGlkIjoiNjFiMTcwMGZkNDJiOWI0ZThiOWRlOWFhOTc5MThlNjQiLCJ1c2VySWQiOiI4ODE0NDg3MDgifQ==</vt:lpwstr>
  </property>
</Properties>
</file>