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41C85" w14:textId="77777777" w:rsidR="003A7C9C" w:rsidRPr="00C57C43" w:rsidRDefault="003A7C9C" w:rsidP="003A7C9C">
      <w:pPr>
        <w:jc w:val="center"/>
        <w:rPr>
          <w:rFonts w:ascii="宋体" w:eastAsia="宋体" w:hAnsi="宋体"/>
          <w:b/>
          <w:bCs/>
          <w:sz w:val="28"/>
          <w:szCs w:val="28"/>
        </w:rPr>
      </w:pPr>
      <w:r w:rsidRPr="00C57C43">
        <w:rPr>
          <w:rFonts w:ascii="宋体" w:eastAsia="宋体" w:hAnsi="宋体" w:hint="eastAsia"/>
          <w:b/>
          <w:bCs/>
          <w:sz w:val="28"/>
          <w:szCs w:val="28"/>
        </w:rPr>
        <w:t>可再生能源方案简述</w:t>
      </w:r>
    </w:p>
    <w:p w14:paraId="17F2087A" w14:textId="068B6964" w:rsidR="005D5553" w:rsidRPr="005D5553" w:rsidRDefault="005D5553" w:rsidP="005D5553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5D5553">
        <w:rPr>
          <w:rFonts w:ascii="宋体" w:eastAsia="宋体" w:hAnsi="宋体"/>
          <w:sz w:val="24"/>
          <w:szCs w:val="24"/>
        </w:rPr>
        <w:t>本超高层TOD综合体项目立足“无限生长、动态适配”的模块式建筑核心理念，结合湘潭市岳塘区地域气候与资源禀赋，以绿色低碳为导向，构建多元协同的可再生能源利用体系，为建筑全生命周期高效运维与舒适人居环境提供能源支撑，具体方案如下：</w:t>
      </w:r>
    </w:p>
    <w:p w14:paraId="6687486C" w14:textId="79644D2F" w:rsidR="003A7C9C" w:rsidRPr="007C4430" w:rsidRDefault="003A7C9C" w:rsidP="003A7C9C">
      <w:pPr>
        <w:jc w:val="left"/>
        <w:rPr>
          <w:rFonts w:ascii="宋体" w:eastAsia="宋体" w:hAnsi="宋体"/>
          <w:b/>
          <w:bCs/>
          <w:sz w:val="24"/>
          <w:szCs w:val="24"/>
        </w:rPr>
      </w:pPr>
      <w:r w:rsidRPr="007C4430">
        <w:rPr>
          <w:rFonts w:ascii="宋体" w:eastAsia="宋体" w:hAnsi="宋体" w:hint="eastAsia"/>
          <w:b/>
          <w:bCs/>
          <w:sz w:val="24"/>
          <w:szCs w:val="24"/>
        </w:rPr>
        <w:t>1、太阳能光伏板发电方案</w:t>
      </w:r>
    </w:p>
    <w:p w14:paraId="50C155E6" w14:textId="3AE90D38" w:rsidR="005D5553" w:rsidRDefault="00FA7C54" w:rsidP="005D5553">
      <w:pPr>
        <w:ind w:firstLineChars="200" w:firstLine="42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CF5AA6" wp14:editId="0FB58DFF">
            <wp:simplePos x="0" y="0"/>
            <wp:positionH relativeFrom="column">
              <wp:posOffset>2659380</wp:posOffset>
            </wp:positionH>
            <wp:positionV relativeFrom="paragraph">
              <wp:posOffset>1374140</wp:posOffset>
            </wp:positionV>
            <wp:extent cx="2614295" cy="1715135"/>
            <wp:effectExtent l="0" t="0" r="0" b="0"/>
            <wp:wrapTopAndBottom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9"/>
                    <a:stretch/>
                  </pic:blipFill>
                  <pic:spPr bwMode="auto">
                    <a:xfrm>
                      <a:off x="0" y="0"/>
                      <a:ext cx="2614295" cy="17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FF6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567FEDC0" wp14:editId="31A9542D">
            <wp:simplePos x="0" y="0"/>
            <wp:positionH relativeFrom="column">
              <wp:posOffset>-217271</wp:posOffset>
            </wp:positionH>
            <wp:positionV relativeFrom="paragraph">
              <wp:posOffset>1262103</wp:posOffset>
            </wp:positionV>
            <wp:extent cx="2749550" cy="1880870"/>
            <wp:effectExtent l="0" t="0" r="0" b="0"/>
            <wp:wrapTopAndBottom/>
            <wp:docPr id="3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表格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553" w:rsidRPr="005D5553">
        <w:rPr>
          <w:rFonts w:ascii="宋体" w:eastAsia="宋体" w:hAnsi="宋体" w:hint="eastAsia"/>
          <w:sz w:val="24"/>
          <w:szCs w:val="24"/>
        </w:rPr>
        <w:t>在建筑各模块化单元顶面及外立面</w:t>
      </w:r>
      <w:r>
        <w:rPr>
          <w:rFonts w:ascii="宋体" w:eastAsia="宋体" w:hAnsi="宋体" w:hint="eastAsia"/>
          <w:sz w:val="24"/>
          <w:szCs w:val="24"/>
        </w:rPr>
        <w:t>(西面</w:t>
      </w:r>
      <w:r>
        <w:rPr>
          <w:rFonts w:ascii="宋体" w:eastAsia="宋体" w:hAnsi="宋体"/>
          <w:sz w:val="24"/>
          <w:szCs w:val="24"/>
        </w:rPr>
        <w:t>)</w:t>
      </w:r>
      <w:r w:rsidR="005D5553" w:rsidRPr="005D5553">
        <w:rPr>
          <w:rFonts w:ascii="宋体" w:eastAsia="宋体" w:hAnsi="宋体" w:hint="eastAsia"/>
          <w:sz w:val="24"/>
          <w:szCs w:val="24"/>
        </w:rPr>
        <w:t>适配光伏</w:t>
      </w:r>
      <w:r w:rsidR="005D5553">
        <w:rPr>
          <w:rFonts w:ascii="宋体" w:eastAsia="宋体" w:hAnsi="宋体" w:hint="eastAsia"/>
          <w:sz w:val="24"/>
          <w:szCs w:val="24"/>
        </w:rPr>
        <w:t>、</w:t>
      </w:r>
      <w:r w:rsidR="005D5553" w:rsidRPr="005D5553">
        <w:rPr>
          <w:rFonts w:ascii="宋体" w:eastAsia="宋体" w:hAnsi="宋体" w:hint="eastAsia"/>
          <w:sz w:val="24"/>
          <w:szCs w:val="24"/>
        </w:rPr>
        <w:t>光热一体化组件</w:t>
      </w:r>
      <w:r w:rsidR="00FA79F3">
        <w:rPr>
          <w:rFonts w:ascii="宋体" w:eastAsia="宋体" w:hAnsi="宋体" w:hint="eastAsia"/>
          <w:sz w:val="24"/>
          <w:szCs w:val="24"/>
        </w:rPr>
        <w:t>、太阳能薄膜电池技术</w:t>
      </w:r>
      <w:r w:rsidR="005D5553" w:rsidRPr="005D5553">
        <w:rPr>
          <w:rFonts w:ascii="宋体" w:eastAsia="宋体" w:hAnsi="宋体" w:hint="eastAsia"/>
          <w:sz w:val="24"/>
          <w:szCs w:val="24"/>
        </w:rPr>
        <w:t>，充分挖掘建筑表皮可再生能源收集潜力。组件与模块设计协同适配，可随模块搭接延伸同步拓展铺设范围，实现“生长式”能源产能。光伏系统将太阳能转化为电能，优先供给建筑智能运维平台、机器人检修、无人机运行等核心用电需求；光热系统收集太阳能热量，用于模块内生活热水供应，降低常规能源消耗。</w:t>
      </w:r>
    </w:p>
    <w:p w14:paraId="0C43A646" w14:textId="5C611CD9" w:rsidR="003A7C9C" w:rsidRPr="005D5553" w:rsidRDefault="003A7C9C" w:rsidP="005D5553">
      <w:pPr>
        <w:jc w:val="left"/>
        <w:rPr>
          <w:rFonts w:ascii="宋体" w:eastAsia="宋体" w:hAnsi="宋体"/>
          <w:b/>
          <w:bCs/>
          <w:sz w:val="24"/>
          <w:szCs w:val="24"/>
        </w:rPr>
      </w:pPr>
      <w:r w:rsidRPr="005D5553">
        <w:rPr>
          <w:rFonts w:ascii="宋体" w:eastAsia="宋体" w:hAnsi="宋体" w:hint="eastAsia"/>
          <w:b/>
          <w:bCs/>
          <w:sz w:val="24"/>
          <w:szCs w:val="24"/>
        </w:rPr>
        <w:t>2、水循环方案</w:t>
      </w:r>
    </w:p>
    <w:p w14:paraId="2877F873" w14:textId="39D89D79" w:rsidR="0086729C" w:rsidRDefault="003A7C9C" w:rsidP="003A7C9C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A743B7">
        <w:rPr>
          <w:rFonts w:ascii="宋体" w:eastAsia="宋体" w:hAnsi="宋体" w:hint="eastAsia"/>
          <w:sz w:val="24"/>
          <w:szCs w:val="24"/>
        </w:rPr>
        <w:t>通过渗水地砖，屋顶排水管道、绿化收集雨水</w:t>
      </w:r>
      <w:r>
        <w:rPr>
          <w:rFonts w:ascii="宋体" w:eastAsia="宋体" w:hAnsi="宋体" w:hint="eastAsia"/>
          <w:sz w:val="24"/>
          <w:szCs w:val="24"/>
        </w:rPr>
        <w:t>等设施收集雨水至蓄水池，经过滤水器将污水转化为净水，来满足厕所用水、浇灌用水。</w:t>
      </w:r>
    </w:p>
    <w:p w14:paraId="63C5C1ED" w14:textId="6F97A2CA" w:rsidR="003A7C9C" w:rsidRDefault="003A7C9C" w:rsidP="003A7C9C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3、水源热泵方案</w:t>
      </w:r>
    </w:p>
    <w:p w14:paraId="186620FB" w14:textId="05AB0EEB" w:rsidR="003A7C9C" w:rsidRDefault="003A7C9C" w:rsidP="003A7C9C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3A7C9C">
        <w:rPr>
          <w:rFonts w:ascii="宋体" w:eastAsia="宋体" w:hAnsi="宋体"/>
          <w:sz w:val="24"/>
          <w:szCs w:val="24"/>
        </w:rPr>
        <w:t>根据当地水文地质条件</w:t>
      </w:r>
      <w:r w:rsidR="00F723F0">
        <w:rPr>
          <w:rFonts w:ascii="宋体" w:eastAsia="宋体" w:hAnsi="宋体" w:hint="eastAsia"/>
          <w:sz w:val="24"/>
          <w:szCs w:val="24"/>
        </w:rPr>
        <w:t>（湘江）</w:t>
      </w:r>
      <w:r w:rsidRPr="003A7C9C">
        <w:rPr>
          <w:rFonts w:ascii="宋体" w:eastAsia="宋体" w:hAnsi="宋体"/>
          <w:sz w:val="24"/>
          <w:szCs w:val="24"/>
        </w:rPr>
        <w:t>与水源温度分布，确定了水源热泵的取排水点位置与换热系统布置方案，实现了地热能向建筑用能的转换。在系统运行时，水源热泵通过换热装置提取地下水或地表水的低位热能，经压缩机压缩升温后，为建筑提供采暖、热水等生活用能，同时将换热后的低温水源回灌至地下或排放至地表（符合环保标准）。系统夏季可反向运行实现建筑制冷，替代传统空调与锅炉系统，在大幅降低化石能源消耗、</w:t>
      </w:r>
      <w:r w:rsidR="005D5553">
        <w:rPr>
          <w:rFonts w:ascii="宋体" w:eastAsia="宋体" w:hAnsi="宋体" w:hint="eastAsia"/>
          <w:sz w:val="24"/>
          <w:szCs w:val="24"/>
        </w:rPr>
        <w:t>践行</w:t>
      </w:r>
      <w:r w:rsidRPr="003A7C9C">
        <w:rPr>
          <w:rFonts w:ascii="宋体" w:eastAsia="宋体" w:hAnsi="宋体"/>
          <w:sz w:val="24"/>
          <w:szCs w:val="24"/>
        </w:rPr>
        <w:t>低碳环保理念的同时，减少建筑用能成本，带来显著的节能效益与经济收益。</w:t>
      </w:r>
    </w:p>
    <w:p w14:paraId="12160504" w14:textId="0E5500AE" w:rsidR="00F723F0" w:rsidRPr="00E923C8" w:rsidRDefault="00F723F0" w:rsidP="00F723F0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</w:t>
      </w:r>
      <w:r w:rsidRPr="00E923C8">
        <w:rPr>
          <w:rFonts w:ascii="宋体" w:eastAsia="宋体" w:hAnsi="宋体" w:hint="eastAsia"/>
          <w:b/>
          <w:bCs/>
          <w:sz w:val="24"/>
          <w:szCs w:val="24"/>
        </w:rPr>
        <w:t>风力发电</w:t>
      </w:r>
    </w:p>
    <w:p w14:paraId="6C49B289" w14:textId="683578D0" w:rsidR="00FA79F3" w:rsidRDefault="005D5553" w:rsidP="00FA79F3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5D5553">
        <w:rPr>
          <w:rFonts w:ascii="宋体" w:eastAsia="宋体" w:hAnsi="宋体"/>
          <w:sz w:val="24"/>
          <w:szCs w:val="24"/>
        </w:rPr>
        <w:t>结合超高层建筑高空风力资源优势，在各模块化单元的露台区域布设小型分布式风力发电装置。装置采用轻量化、模块化设计，适配建筑“无限生长”特性，可随模块</w:t>
      </w:r>
      <w:r>
        <w:rPr>
          <w:rFonts w:ascii="宋体" w:eastAsia="宋体" w:hAnsi="宋体" w:hint="eastAsia"/>
          <w:sz w:val="24"/>
          <w:szCs w:val="24"/>
        </w:rPr>
        <w:t>叠加</w:t>
      </w:r>
      <w:r w:rsidRPr="005D5553">
        <w:rPr>
          <w:rFonts w:ascii="宋体" w:eastAsia="宋体" w:hAnsi="宋体"/>
          <w:sz w:val="24"/>
          <w:szCs w:val="24"/>
        </w:rPr>
        <w:t>同步增设，形成“竖向分布式”风电阵列。利用高空稳定风能转化为电能，与光伏系统形成互补供电模式，共同支撑智能运维、模块人居环境调控等用电需求，提升可再生能源供给的稳定性与冗余度。同时，风力发电装置运行状态纳入智能运维平台统一监测管理，通过无人机定期巡检保障设备正常运行。</w:t>
      </w:r>
    </w:p>
    <w:p w14:paraId="2156C9BB" w14:textId="4BEA56EA" w:rsidR="005D5553" w:rsidRDefault="005D5553" w:rsidP="005D5553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5D5553">
        <w:rPr>
          <w:rFonts w:ascii="宋体" w:eastAsia="宋体" w:hAnsi="宋体"/>
          <w:sz w:val="24"/>
          <w:szCs w:val="24"/>
        </w:rPr>
        <w:t>本方案通过光伏、风电、水源热泵及雨水循环协同的多元可再生能源体系，与模块式建筑结构、智能运维体系深度融合，实现能源生产与建筑生长同步、</w:t>
      </w:r>
      <w:r w:rsidRPr="005D5553">
        <w:rPr>
          <w:rFonts w:ascii="宋体" w:eastAsia="宋体" w:hAnsi="宋体"/>
          <w:sz w:val="24"/>
          <w:szCs w:val="24"/>
        </w:rPr>
        <w:lastRenderedPageBreak/>
        <w:t>供能与用能精准匹配，有效降低建筑对传统化石能源的依赖，</w:t>
      </w:r>
      <w:r>
        <w:rPr>
          <w:rFonts w:ascii="宋体" w:eastAsia="宋体" w:hAnsi="宋体" w:hint="eastAsia"/>
          <w:sz w:val="24"/>
          <w:szCs w:val="24"/>
        </w:rPr>
        <w:t>践行</w:t>
      </w:r>
      <w:r w:rsidRPr="005D5553">
        <w:rPr>
          <w:rFonts w:ascii="宋体" w:eastAsia="宋体" w:hAnsi="宋体"/>
          <w:sz w:val="24"/>
          <w:szCs w:val="24"/>
        </w:rPr>
        <w:t>绿色建筑理念，为未来动态延伸型超高层建筑的能源可持续供给提供可行路径。</w:t>
      </w:r>
    </w:p>
    <w:p w14:paraId="78153668" w14:textId="77777777" w:rsidR="00FA79F3" w:rsidRPr="005D5553" w:rsidRDefault="00FA79F3" w:rsidP="005D5553">
      <w:pPr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14:paraId="01F7747D" w14:textId="60511530" w:rsidR="005D5553" w:rsidRPr="00F723F0" w:rsidRDefault="005D5553" w:rsidP="00EA1FF6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58BBAC7" wp14:editId="59B029DA">
            <wp:simplePos x="0" y="0"/>
            <wp:positionH relativeFrom="column">
              <wp:posOffset>71812</wp:posOffset>
            </wp:positionH>
            <wp:positionV relativeFrom="paragraph">
              <wp:posOffset>-16</wp:posOffset>
            </wp:positionV>
            <wp:extent cx="5132705" cy="5132705"/>
            <wp:effectExtent l="0" t="0" r="0" b="0"/>
            <wp:wrapTopAndBottom/>
            <wp:docPr id="1" name="图片 1" descr="城市的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城市的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5553" w:rsidRPr="00F723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8F041" w14:textId="77777777" w:rsidR="00154FD2" w:rsidRDefault="00154FD2" w:rsidP="00E923C8">
      <w:r>
        <w:separator/>
      </w:r>
    </w:p>
  </w:endnote>
  <w:endnote w:type="continuationSeparator" w:id="0">
    <w:p w14:paraId="38117029" w14:textId="77777777" w:rsidR="00154FD2" w:rsidRDefault="00154FD2" w:rsidP="00E92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008D6" w14:textId="77777777" w:rsidR="00154FD2" w:rsidRDefault="00154FD2" w:rsidP="00E923C8">
      <w:r>
        <w:separator/>
      </w:r>
    </w:p>
  </w:footnote>
  <w:footnote w:type="continuationSeparator" w:id="0">
    <w:p w14:paraId="701677EC" w14:textId="77777777" w:rsidR="00154FD2" w:rsidRDefault="00154FD2" w:rsidP="00E923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7C9C"/>
    <w:rsid w:val="0002717F"/>
    <w:rsid w:val="00032FFA"/>
    <w:rsid w:val="00086C48"/>
    <w:rsid w:val="000A61FD"/>
    <w:rsid w:val="000B599F"/>
    <w:rsid w:val="00140964"/>
    <w:rsid w:val="00150F88"/>
    <w:rsid w:val="00154FD2"/>
    <w:rsid w:val="001676E7"/>
    <w:rsid w:val="001B3C17"/>
    <w:rsid w:val="001E7B32"/>
    <w:rsid w:val="00231AE1"/>
    <w:rsid w:val="00245B9C"/>
    <w:rsid w:val="002777E1"/>
    <w:rsid w:val="002C72DB"/>
    <w:rsid w:val="002E1CD0"/>
    <w:rsid w:val="002E25BE"/>
    <w:rsid w:val="002F7BDF"/>
    <w:rsid w:val="003071E1"/>
    <w:rsid w:val="00382796"/>
    <w:rsid w:val="003A536A"/>
    <w:rsid w:val="003A7C9C"/>
    <w:rsid w:val="00422760"/>
    <w:rsid w:val="00476D7B"/>
    <w:rsid w:val="004A11A3"/>
    <w:rsid w:val="004B42F6"/>
    <w:rsid w:val="004D6C47"/>
    <w:rsid w:val="005252F3"/>
    <w:rsid w:val="005730D4"/>
    <w:rsid w:val="005A3B14"/>
    <w:rsid w:val="005B6180"/>
    <w:rsid w:val="005C3309"/>
    <w:rsid w:val="005C56AC"/>
    <w:rsid w:val="005D5553"/>
    <w:rsid w:val="00662894"/>
    <w:rsid w:val="006941DD"/>
    <w:rsid w:val="00696925"/>
    <w:rsid w:val="006A375F"/>
    <w:rsid w:val="00710CCC"/>
    <w:rsid w:val="00730705"/>
    <w:rsid w:val="007932B5"/>
    <w:rsid w:val="007A1D2F"/>
    <w:rsid w:val="0080016C"/>
    <w:rsid w:val="00810E9A"/>
    <w:rsid w:val="00823B94"/>
    <w:rsid w:val="00835B56"/>
    <w:rsid w:val="008376BB"/>
    <w:rsid w:val="0086729C"/>
    <w:rsid w:val="008845A9"/>
    <w:rsid w:val="008A7E45"/>
    <w:rsid w:val="008B30DB"/>
    <w:rsid w:val="008E1AC1"/>
    <w:rsid w:val="00960011"/>
    <w:rsid w:val="009A0C21"/>
    <w:rsid w:val="009D431F"/>
    <w:rsid w:val="00A53737"/>
    <w:rsid w:val="00A54700"/>
    <w:rsid w:val="00A849B4"/>
    <w:rsid w:val="00AF1B77"/>
    <w:rsid w:val="00BE2FB3"/>
    <w:rsid w:val="00C03511"/>
    <w:rsid w:val="00C53EAC"/>
    <w:rsid w:val="00C65002"/>
    <w:rsid w:val="00CA492A"/>
    <w:rsid w:val="00CB4084"/>
    <w:rsid w:val="00D67E27"/>
    <w:rsid w:val="00D76F6C"/>
    <w:rsid w:val="00D8786D"/>
    <w:rsid w:val="00DB585D"/>
    <w:rsid w:val="00DD1B86"/>
    <w:rsid w:val="00DD4644"/>
    <w:rsid w:val="00E36B50"/>
    <w:rsid w:val="00E449FF"/>
    <w:rsid w:val="00E44A6D"/>
    <w:rsid w:val="00E923C8"/>
    <w:rsid w:val="00EA1FF6"/>
    <w:rsid w:val="00EC3C93"/>
    <w:rsid w:val="00EC4665"/>
    <w:rsid w:val="00EF36DF"/>
    <w:rsid w:val="00F339AD"/>
    <w:rsid w:val="00F446F0"/>
    <w:rsid w:val="00F723F0"/>
    <w:rsid w:val="00FA79F3"/>
    <w:rsid w:val="00FA7C54"/>
    <w:rsid w:val="00FF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76F833"/>
  <w15:chartTrackingRefBased/>
  <w15:docId w15:val="{6AAE51CC-BA23-4B49-99C9-9A2FAB52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C9C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23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23C8"/>
    <w:rPr>
      <w:rFonts w:ascii="等线" w:eastAsia="等线" w:hAnsi="等线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23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23C8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4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5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488</Words>
  <Characters>488</Characters>
  <Application>Microsoft Office Word</Application>
  <DocSecurity>0</DocSecurity>
  <Lines>19</Lines>
  <Paragraphs>11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Chen</dc:creator>
  <cp:keywords/>
  <dc:description/>
  <cp:lastModifiedBy>Yang Chen</cp:lastModifiedBy>
  <cp:revision>4</cp:revision>
  <dcterms:created xsi:type="dcterms:W3CDTF">2026-01-04T05:28:00Z</dcterms:created>
  <dcterms:modified xsi:type="dcterms:W3CDTF">2026-01-04T10:01:00Z</dcterms:modified>
</cp:coreProperties>
</file>