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BC2D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315792C8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004D85BC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5B56F81A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090B78B5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416F1CB5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6047EABF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0134A138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41C705F7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1586C4CE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0BF44173">
      <w:pPr>
        <w:tabs>
          <w:tab w:val="left" w:pos="4400"/>
        </w:tabs>
        <w:rPr>
          <w:rFonts w:ascii="Times New Roman" w:hAnsi="Times New Roman" w:eastAsia="Times New Roman" w:cs="Times New Roman"/>
          <w:sz w:val="20"/>
          <w:szCs w:val="20"/>
        </w:rPr>
      </w:pPr>
    </w:p>
    <w:p w14:paraId="609E6461">
      <w:pPr>
        <w:tabs>
          <w:tab w:val="left" w:pos="4400"/>
        </w:tabs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14:paraId="2BB24697">
      <w:pPr>
        <w:pStyle w:val="2"/>
        <w:tabs>
          <w:tab w:val="left" w:pos="4400"/>
        </w:tabs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4C4DFAD3"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 w14:paraId="3B55218F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 w14:paraId="3A958D49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 w14:paraId="79C4B80B"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 w14:paraId="00AD8D24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val="en-US" w:eastAsia="zh-CN"/>
        </w:rPr>
        <w:t xml:space="preserve">乌鲁木齐南山别墅项目选址位于乌鲁木齐南山板块，坐拥自然山体与生态景观资源，地块地形顺应南山自然地势，整体呈浅坡状，地势西高东低，自然地形最高标高为 1285.6 米，最低标高为 1278.3 米，规划总用地面积约 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1350</w:t>
      </w:r>
      <w:r>
        <w:rPr>
          <w:rFonts w:ascii="Times New Roman" w:hAnsi="Times New Roman" w:cs="宋体"/>
          <w:sz w:val="21"/>
          <w:szCs w:val="21"/>
          <w:lang w:val="en-US" w:eastAsia="zh-CN"/>
        </w:rPr>
        <w:t xml:space="preserve"> 平方米，地块形态规整，为独栋别墅建筑打造提供了良好的空间基础。</w:t>
      </w:r>
    </w:p>
    <w:p w14:paraId="34CC7601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val="en-US" w:eastAsia="zh-CN"/>
        </w:rPr>
        <w:t xml:space="preserve">本项目为高端定制独栋别墅，总建筑面积为 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1062</w:t>
      </w:r>
      <w:r>
        <w:rPr>
          <w:rFonts w:ascii="Times New Roman" w:hAnsi="Times New Roman" w:cs="宋体"/>
          <w:sz w:val="21"/>
          <w:szCs w:val="21"/>
          <w:lang w:val="en-US" w:eastAsia="zh-CN"/>
        </w:rPr>
        <w:t xml:space="preserve">平方米，其中地上建筑面积 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1062</w:t>
      </w:r>
      <w:r>
        <w:rPr>
          <w:rFonts w:ascii="Times New Roman" w:hAnsi="Times New Roman" w:cs="宋体"/>
          <w:sz w:val="21"/>
          <w:szCs w:val="21"/>
          <w:lang w:val="en-US" w:eastAsia="zh-CN"/>
        </w:rPr>
        <w:t xml:space="preserve"> 平方米（1~3 层），地下建筑面积 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0</w:t>
      </w:r>
      <w:r>
        <w:rPr>
          <w:rFonts w:ascii="Times New Roman" w:hAnsi="Times New Roman" w:cs="宋体"/>
          <w:sz w:val="21"/>
          <w:szCs w:val="21"/>
          <w:lang w:val="en-US" w:eastAsia="zh-CN"/>
        </w:rPr>
        <w:t>平方米。地上部分涵盖起居会客区、餐厨区、卧室休憩区、书房休闲区、露台活动区等功能空间。</w:t>
      </w:r>
    </w:p>
    <w:p w14:paraId="2898B24B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15838D80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 w14:paraId="7D7908E7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7AB4C502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 w14:paraId="15A67DEE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3F449D2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 w14:paraId="1DF37F6D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67FD49EB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3D545BD3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757B1A13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35C78E18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 w14:paraId="57035AD8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6337CB26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 w14:paraId="7752F39D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2B54003E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520700</wp:posOffset>
                </wp:positionV>
                <wp:extent cx="1356995" cy="161925"/>
                <wp:effectExtent l="635" t="4445" r="1270" b="1143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995" cy="161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.45pt;margin-top:41pt;height:12.75pt;width:106.85pt;z-index:251659264;mso-width-relative:page;mso-height-relative:page;" filled="f" stroked="t" coordsize="21600,21600" o:gfxdata="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FK+tHWAAAACQEAAA8AAAAAAAAAAQAgAAAAIgAAAGRycy9kb3ducmV2LnhtbFBL&#10;AQIUABQAAAAIAIdO4kAD/X7o+AEAAOg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94"/>
        <w:gridCol w:w="794"/>
        <w:gridCol w:w="709"/>
        <w:gridCol w:w="850"/>
        <w:gridCol w:w="851"/>
        <w:gridCol w:w="708"/>
        <w:gridCol w:w="851"/>
        <w:gridCol w:w="709"/>
      </w:tblGrid>
      <w:tr w14:paraId="23A3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5CF4FD5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2832AA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73546D0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7625CC4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2DBFD9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3E27D26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537D049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79F470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6A77EAEA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14:paraId="16DD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5B9F8B4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56C517D9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657.49</w:t>
            </w:r>
          </w:p>
        </w:tc>
        <w:tc>
          <w:tcPr>
            <w:tcW w:w="709" w:type="dxa"/>
            <w:vAlign w:val="center"/>
          </w:tcPr>
          <w:p w14:paraId="2D6D93D2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404.51</w:t>
            </w:r>
          </w:p>
        </w:tc>
        <w:tc>
          <w:tcPr>
            <w:tcW w:w="709" w:type="dxa"/>
            <w:vAlign w:val="center"/>
          </w:tcPr>
          <w:p w14:paraId="4A488AC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4D7ED6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71D8C0E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4BF8B64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771EE59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217250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14:paraId="166E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430E296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5954CCEC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265</w:t>
            </w:r>
          </w:p>
        </w:tc>
        <w:tc>
          <w:tcPr>
            <w:tcW w:w="709" w:type="dxa"/>
            <w:vAlign w:val="center"/>
          </w:tcPr>
          <w:p w14:paraId="07D1662E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170.64</w:t>
            </w:r>
          </w:p>
        </w:tc>
        <w:tc>
          <w:tcPr>
            <w:tcW w:w="709" w:type="dxa"/>
            <w:vAlign w:val="center"/>
          </w:tcPr>
          <w:p w14:paraId="3FD5055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14406D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3EA6C6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0DD6BBA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A3FDEB6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DD5AD7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14:paraId="4BCA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7C7AA87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6376C804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392.49</w:t>
            </w:r>
          </w:p>
        </w:tc>
        <w:tc>
          <w:tcPr>
            <w:tcW w:w="709" w:type="dxa"/>
            <w:vAlign w:val="center"/>
          </w:tcPr>
          <w:p w14:paraId="43B78E20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233.87</w:t>
            </w:r>
          </w:p>
        </w:tc>
        <w:tc>
          <w:tcPr>
            <w:tcW w:w="709" w:type="dxa"/>
            <w:vAlign w:val="center"/>
          </w:tcPr>
          <w:p w14:paraId="1B02388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30BF8A1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9EA812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3F5B437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A548AD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ECD1AD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14:paraId="3B5E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gridSpan w:val="3"/>
            <w:vAlign w:val="center"/>
          </w:tcPr>
          <w:p w14:paraId="774651B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4678" w:type="dxa"/>
            <w:gridSpan w:val="6"/>
            <w:vAlign w:val="center"/>
          </w:tcPr>
          <w:p w14:paraId="4046487E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233.87</w:t>
            </w:r>
          </w:p>
        </w:tc>
      </w:tr>
    </w:tbl>
    <w:p w14:paraId="43CC64D1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 w14:paraId="22C408D5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 w14:paraId="280ADADD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2A00439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 w14:paraId="359A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62295E5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14:paraId="7269E43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55C23EF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1FE9A40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46EC92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C9D063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6FCB59A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6B2920D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4AC8B31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14:paraId="69CE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7AFF547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2752843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265</w:t>
            </w:r>
          </w:p>
        </w:tc>
        <w:tc>
          <w:tcPr>
            <w:tcW w:w="851" w:type="dxa"/>
            <w:vAlign w:val="center"/>
          </w:tcPr>
          <w:p w14:paraId="5AA2566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170.64</w:t>
            </w:r>
          </w:p>
        </w:tc>
        <w:tc>
          <w:tcPr>
            <w:tcW w:w="708" w:type="dxa"/>
            <w:vAlign w:val="center"/>
          </w:tcPr>
          <w:p w14:paraId="0257DB5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BEE40EA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50C2E2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E08A33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8" w:type="dxa"/>
            <w:vAlign w:val="center"/>
          </w:tcPr>
          <w:p w14:paraId="3DDF91E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00EF06C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</w:tr>
      <w:tr w14:paraId="4A80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295B8DA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5823" w:type="dxa"/>
            <w:gridSpan w:val="8"/>
            <w:vAlign w:val="center"/>
          </w:tcPr>
          <w:p w14:paraId="7D07702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233.87</w:t>
            </w:r>
          </w:p>
        </w:tc>
      </w:tr>
    </w:tbl>
    <w:p w14:paraId="1CAE3E6C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 w14:paraId="169F74EC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 w14:paraId="00668BD8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189E28F7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233.87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1062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22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 w14:paraId="433BEC96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非灵活隔断的面积比例=1-69.1%=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78</w:t>
      </w:r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 w14:paraId="2D284734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2C58D8A8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 w14:paraId="02BBC38E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7963B54C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</w:t>
      </w:r>
      <w:bookmarkStart w:id="0" w:name="_GoBack"/>
      <w:bookmarkEnd w:id="0"/>
      <w:r>
        <w:rPr>
          <w:rFonts w:ascii="Times New Roman" w:hAnsi="Times New Roman" w:cs="宋体"/>
          <w:sz w:val="21"/>
          <w:szCs w:val="21"/>
          <w:lang w:eastAsia="zh-CN"/>
        </w:rPr>
        <w:t>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4"/>
    <w:rsid w:val="00022519"/>
    <w:rsid w:val="00897ADE"/>
    <w:rsid w:val="00900B4A"/>
    <w:rsid w:val="00E40C34"/>
    <w:rsid w:val="02427F07"/>
    <w:rsid w:val="3C6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22</TotalTime>
  <ScaleCrop>false</ScaleCrop>
  <LinksUpToDate>false</LinksUpToDate>
  <CharactersWithSpaces>1046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jws</cp:lastModifiedBy>
  <dcterms:modified xsi:type="dcterms:W3CDTF">2026-03-19T09:04:10Z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eyJoZGlkIjoiZjJiYzRjZDg4ODIxMmZkMzVjYzYxNzIzMDEwYjJjY2IiLCJ1c2VySWQiOiIyMDM2MDk1MzMifQ==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323C0C52359041DBB09A525F73117A19_13</vt:lpwstr>
  </property>
</Properties>
</file>