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182F5">
      <w:pPr>
        <w:keepNext w:val="0"/>
        <w:keepLines w:val="0"/>
        <w:pageBreakBefore w:val="0"/>
        <w:widowControl w:val="0"/>
        <w:kinsoku/>
        <w:wordWrap/>
        <w:overflowPunct/>
        <w:topLinePunct w:val="0"/>
        <w:autoSpaceDE/>
        <w:autoSpaceDN/>
        <w:bidi w:val="0"/>
        <w:adjustRightInd/>
        <w:snapToGrid/>
        <w:ind w:left="420" w:leftChars="200" w:firstLine="643" w:firstLineChars="200"/>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建筑设计说明</w:t>
      </w:r>
    </w:p>
    <w:p w14:paraId="3C9202FA">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eastAsia" w:ascii="方正仿宋_GB2312" w:hAnsi="方正仿宋_GB2312" w:eastAsia="方正仿宋_GB2312" w:cs="方正仿宋_GB2312"/>
          <w:sz w:val="24"/>
          <w:szCs w:val="24"/>
          <w:lang w:val="en-US" w:eastAsia="zh-CN"/>
        </w:rPr>
        <w:t xml:space="preserve"> </w:t>
      </w:r>
      <w:r>
        <w:rPr>
          <w:rFonts w:hint="default" w:ascii="Times New Roman" w:hAnsi="Times New Roman" w:eastAsia="方正仿宋_GB2312" w:cs="Times New Roman"/>
          <w:sz w:val="24"/>
          <w:szCs w:val="24"/>
          <w:lang w:val="en-US" w:eastAsia="zh-CN"/>
        </w:rPr>
        <w:t>一、上位规划与场地交通分析</w:t>
      </w:r>
    </w:p>
    <w:p w14:paraId="2B08371F">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本项目位于广州市南沙区东涌镇东北部庆盛枢纽区块，地处粤港澳大湾区核心地带，是广州市重点发展的科技创新与港式社区融合示范区。根据上位规划，片区用地布局以“绿地与广场用地”占比最大，达整体建设用地的22.87%，强调生态优先与公共空间营造。规划用地北邻香港科技大学广州校区，为项目注入了浓厚的科创氛围与年轻活力。场地周边交通网络发达，东侧为东涌大道支线（清水湾大桥），南临科大十路，西靠科新临道停车场，北依河涌及珠江，距离东涌地铁站仅300米，轨道交通4号线直达，公共交通便捷。项目设计采用立体交通流线组织策略，从“地上”、“地下”、“空中”三个标高进行流线整合，实现建筑与城市的无缝衔接：二层设置空中连廊连接香港科技大学广州校区及周边社区，市政人群和师生可经由连廊直接进入二层科技展厅或通过景观坡道到达一层公园；建筑首层局部架空形成开放的公共空间引导人流进入地下展厅；地下一层与周边园区配套停车场接驳实现人车分流，提升交通效率。</w:t>
      </w:r>
    </w:p>
    <w:p w14:paraId="2CD7C595">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二、实地调研与场地现状分析</w:t>
      </w:r>
    </w:p>
    <w:p w14:paraId="68196549">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eastAsia"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项目团队对场地进行了深入实地调研，重点关注河涌水系、现状绿地与规划用地现状。场地北侧紧邻河涌及珠江，水系资源丰富，但同时也面临西晒光热矛盾问题，现场实测显示西立面下午时段太阳辐射强度高，室内热舒适度受影响较大，需结合景观遮阳、光伏一体化技术，在保护滨水景观的同时降低能耗。场地现状绿地覆盖率较高，植被以乡土植物为主，生态基础良好，设计应最大限度保留原有植被并结合绿化遮阳、雨水花园等技术提升生态效益。场地内现状为空地，地势平坦，无自然水域及湿地，但紧邻珠江具备良好的滨水景观资源，规划用地红线明确，建设用地面积2800㎡</w:t>
      </w:r>
      <w:r>
        <w:rPr>
          <w:rFonts w:hint="eastAsia" w:ascii="Times New Roman" w:hAnsi="Times New Roman" w:eastAsia="方正仿宋_GB2312" w:cs="Times New Roman"/>
          <w:sz w:val="24"/>
          <w:szCs w:val="24"/>
          <w:lang w:val="en-US" w:eastAsia="zh-CN"/>
        </w:rPr>
        <w:t>。</w:t>
      </w:r>
    </w:p>
    <w:p w14:paraId="48C72578">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三、场地规划设计</w:t>
      </w:r>
    </w:p>
    <w:p w14:paraId="1DB72900">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根据总平面图，本项目场地规划设计如下：建筑主体呈L形布局沿东涌大道支线和科大十路展开，形成完整的城市界面，建筑主入口朝南面向科大十路设置集散广场和景观水池营造入口仪式感。场地东侧设置运动公园入口、半场篮球场、网球场等户外活动设施；西侧设置卸货区和小客车落客区；北侧紧邻河涌设置观景平台和滨江绿化带；南侧为场地主入口连接集散广场和喷泉广场。屋面设置屋顶花园面积2800㎡绿化率达87.5%，地面设置景观水池、下凹式绿地和雨水花园与珠江生态廊道无缝衔接。场地内设置环形消防车道，地下车库出入口位于西侧实现人车分流，自行车停车场布置于场地东南角鼓励绿色出行。景观轴线以“建筑-广场-河涌”为主轴，通过景观水池、喷泉广场、观景平台等节点将滨水资源引入建筑内部。</w:t>
      </w:r>
    </w:p>
    <w:p w14:paraId="32E8FDE0">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四、建筑形体生成</w:t>
      </w:r>
    </w:p>
    <w:p w14:paraId="3D7C3325">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建筑形体生成遵循“自然+人文+科技”的核心定位，通过以下步骤逐步优化：基于上位规划和场地社会需求确定建筑以展览功能为主辅以办公、会议、餐饮等配套功能；根据周边人群来向（香港科技大学、地铁站、社区）生成南向和东向的主要体块形成完整的城市界面；通过开放节点设计将“自然+人文+科技”三大理念融入建筑形体，在建筑中心位置设置通高中庭连接各层功能空间形成垂直景观通廊；建筑体块向河涌方向退让形成滨水平台和观景台阶，将建筑形体与滨江景观融为一体；打通各层公共空间形成连续的室内外流线，连接展厅、中庭、屋顶花园和滨江平台实现空间渗透；在形体生成最后阶段融入智能立面遮阳系统、光伏一体化、雨水收集等绿色技术进行多目标优化，平衡西晒景观视野与节能需求之间的矛盾。</w:t>
      </w:r>
    </w:p>
    <w:p w14:paraId="340628E9">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五、空间功能分布</w:t>
      </w:r>
    </w:p>
    <w:p w14:paraId="5870C37D">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本项目空间功能分区明确，满足不同场景需求：地下负一层为地下展厅、停车场、设备用房；一层为展览入口门厅、大厅、后勤门厅、集散广场；二层为接驳门厅、报告厅、会议室、大厅；三层为门厅、健身活动室、多媒体教室、展览馆、普通教室；四层为后勤门厅、阅览室、办公室、洽谈室、管理室；五层为屋顶绿化、光伏设备、观景平台。功能设计亮点包括：展览区位于1-3层包含临时展厅、常设展厅和专题展厅空间灵活可变；教育区在3层设置多媒体教室、普通教室和健身活动室服务周边社区和学校；办公区在4层设置办公室、阅览室和洽谈室提供现代化办公环境；公共空间通过通高中庭、屋顶花园、滨江平台向市民开放营造城市客厅氛围。</w:t>
      </w:r>
    </w:p>
    <w:p w14:paraId="338F4D6F">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六、智能建筑系统与绿色技术应用</w:t>
      </w:r>
    </w:p>
    <w:p w14:paraId="36DCC11F">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本项目以“双碳”目标为引领，构建了“动态环境响应+智能感知调控+人在环路控制”三位一体的智能建筑系统。核心采用气动驱动参数化智能可调遮阳立面系统，以岭南花窗与南沙水网肌理为设计原型，实时采集光照强度、太阳辐射、室内温度、眩光指数等环境数据及室内人群活动特征数据，基于遗传算法对目标面进行多目标优化求解（兼顾遮阳节能、光伏产能、景观视野、室内舒适度），自动调整立面遮阳模块的开启角度，遮阳合页可实现0°-90°无极调控，90°闭合时峰值遮阳系数低至0.21，夏季全季核心时段遮阳系数稳定在0.38-0.55区间，同时引入人工干预机制使用户可根据实际感受协同控制，实现“机器智能+人的智慧”双重优化。系统内置辐射模拟功能模块实时模拟建筑各立面太阳辐射分布情况，预测不同遮阳策略下的能耗表现，收集的环境数据与建筑能耗数据上传至云端用于持续优化算法模型。立面遮阳构件集成光伏板，屋面设置光伏组件，总装机容量约45kWp，光伏系统与智能遮阳系统协同工作既实现遮阳功能又进行光伏发电，年发电量约14.75万kWh折合碳减排73.75tCO₂/a，占建筑总能耗的25%以上。建筑设备管理系统（BMS）对接智能遮阳系统、空调系统、照明系统、电梯系统等实现全楼设备的远程监控和智能调度，能耗数据可接入广州市公共建筑能耗监测平台支持智慧城市管理。</w:t>
      </w:r>
    </w:p>
    <w:p w14:paraId="762D9E36">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七、生活便利性设计</w:t>
      </w:r>
    </w:p>
    <w:p w14:paraId="55BBF2D7">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依据《建筑与市政工程无障碍通用规范》GB55019，项目全面配置无障碍设施：主入口设置无障碍坡道坡度1:12宽度≥1.5m扶手及提示盲道齐全；设置无障碍电梯2台轿厢尺寸1.6m×1.4m门洞净</w:t>
      </w:r>
      <w:bookmarkStart w:id="0" w:name="_GoBack"/>
      <w:bookmarkEnd w:id="0"/>
      <w:r>
        <w:rPr>
          <w:rFonts w:hint="default" w:ascii="Times New Roman" w:hAnsi="Times New Roman" w:eastAsia="方正仿宋_GB2312" w:cs="Times New Roman"/>
          <w:sz w:val="24"/>
          <w:szCs w:val="24"/>
          <w:lang w:val="en-US" w:eastAsia="zh-CN"/>
        </w:rPr>
        <w:t>宽≥0.9m按钮带盲文配备语音报站系统；每层设置无障碍卫生间内部设安全抓杆、紧急呼叫按钮门宽≥0.9m；地下车库设置无障碍停车位</w:t>
      </w:r>
      <w:r>
        <w:rPr>
          <w:rFonts w:hint="default" w:ascii="Times New Roman" w:hAnsi="Times New Roman" w:eastAsia="方正仿宋_GB2312" w:cs="Times New Roman"/>
          <w:sz w:val="24"/>
          <w:szCs w:val="24"/>
          <w:highlight w:val="none"/>
          <w:lang w:val="en-US" w:eastAsia="zh-CN"/>
        </w:rPr>
        <w:t>4</w:t>
      </w:r>
      <w:r>
        <w:rPr>
          <w:rFonts w:hint="default" w:ascii="Times New Roman" w:hAnsi="Times New Roman" w:eastAsia="方正仿宋_GB2312" w:cs="Times New Roman"/>
          <w:sz w:val="24"/>
          <w:szCs w:val="24"/>
          <w:lang w:val="en-US" w:eastAsia="zh-CN"/>
        </w:rPr>
        <w:t>个（占比2.5%）尺寸3.5m×5.3m靠近电梯厅地面设无障碍标识；全楼设置盲文标识、语音提示系统视觉标识采用高对比度配色符合无障碍导向要求。本项目共设置乘客电梯</w:t>
      </w:r>
      <w:r>
        <w:rPr>
          <w:rFonts w:hint="eastAsia" w:ascii="Times New Roman" w:hAnsi="Times New Roman" w:eastAsia="方正仿宋_GB2312" w:cs="Times New Roman"/>
          <w:sz w:val="24"/>
          <w:szCs w:val="24"/>
          <w:lang w:val="en-US" w:eastAsia="zh-CN"/>
        </w:rPr>
        <w:t>5</w:t>
      </w:r>
      <w:r>
        <w:rPr>
          <w:rFonts w:hint="default" w:ascii="Times New Roman" w:hAnsi="Times New Roman" w:eastAsia="方正仿宋_GB2312" w:cs="Times New Roman"/>
          <w:sz w:val="24"/>
          <w:szCs w:val="24"/>
          <w:lang w:val="en-US" w:eastAsia="zh-CN"/>
        </w:rPr>
        <w:t>台型号为通力N MiniSpace无机房电梯，额定载重量1350kg额定速度1.75m/s提升高度24.8m停靠站数6站，采用永磁同步无齿轮曳引机能源效率符合ISO 25745能效等级A级。电梯节能措施包括采用能量再生回馈技术，电梯下行发电状态时再生电能回馈电网节能率约30%；群控策略优化通过目的楼层预约系统减少无效停靠和空驶降低能耗；LED照明及待机休眠模式待机功率仅100W年节电约1500kWh；电梯能耗纳入建筑设备管理系统（BMS）远程监控实时优化运行策略。</w:t>
      </w:r>
    </w:p>
    <w:p w14:paraId="099F5893">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八、资源节约设计</w:t>
      </w:r>
    </w:p>
    <w:p w14:paraId="40213F1A">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依据《建筑节能与可再生能源利用通用规范》GB55015，本项目围护结构热工性能显著优于规范限值：屋面传热系数K值0.36 W/(㎡·K)优于规范限值0.90提升60.0%；外墙传热系数K值0.59 W/(㎡·K)优于规范限值1.50提升60.7%；外窗传热系数K值2.03-2.06 W/(㎡·K)优于规范限值3.50提升41.1-42.0%；外窗太阳得热系数SHGC值0.19优于规范限值0.20-0.45提升52.5-57.8%。能耗模拟结果显示设计建筑供暖空调系统总能耗为16.39 kWh/㎡，参照建筑为44.76 kWh/㎡，能耗降低幅度达63.4%优于规范60%的要求。可再生能源利用方面，屋面及立面安装光伏组件总面积约300㎡采用单晶硅光伏板光电转换效率15%年发电量约14.75万kWh；屋面设置太阳能集热器200㎡供应办公区生活热水年供热量约7.37万kWh满足100%热水需求。依据《建筑给水排水与节水通用规范》GB55020，项目设置地下雨水蓄水池180m³收集屋面及场地雨水经处理后用于景观补水、绿化浇洒年回收雨水量约1800m³；卫生器具用水效率等级均达到1级节水率不低于20%；室外广场、人行道采用透水混凝土和透水砖面积占比65%雨水下渗补充地下水；设置下凹式绿地2800㎡占比40%雨水滞蓄净化后溢流年径流总量控制率达75%。节材与绿色建材方面，钢材、铝合金、玻璃等可再循环材料用量约11200吨占比32%；采用掺加粉煤灰的预拌混凝土（掺量35%）、脱硫石膏板（掺量100%）、粉煤灰砌块（掺量40%）合计用量约2230吨；主要建材均在广州市及周边500km范围内采购占比80%。</w:t>
      </w:r>
    </w:p>
    <w:p w14:paraId="61DE155D">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九、环境宜居设计</w:t>
      </w:r>
    </w:p>
    <w:p w14:paraId="3AAFA902">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依据《建筑环境通用规范》GB55016，本项目室内热湿环境参数设计如下：空调房间夏季温度26℃相对湿度50-60%PMV指标0.93PPD22.14%达到Ⅱ级标准达标面积100%；自然通风房间适应性热舒适达标时间比例54.09%APMV指标0.49达到最高等级。光环境方面主要功能房间采光系数均满足规范要求采光达标面积100%，智能遮阳系统可将展厅眩光值控制在规范限值内同时提升自然采光利用率。声环境方面场地环境噪声昼间53.5-57.2dB(A)夜间42.9-46.5dB(A)优于2类声环境功能区限值（昼间≤60dB夜间≤50dB）。依据《园林绿化工程项目规范》GB55014、《市容环卫工程项目规范》GB55013，项目室外环境设计如下：绿地率195%（含屋顶绿化）采用乡土植物（小叶榕、香樟、凤凰木等）复层绿化构建稳定的植物群落，屋顶绿化面积2800㎡垂直绿化200㎡绿容率达2.03；夏季平均热岛强度1.47℃逐时湿球黑球温度最大29.01℃优于规范限值（≤1.5℃、≤33℃）；冬季人行区风速≤0.99m/s风速放大系数≤0.62，夏季人活动区无涡旋区可开启外窗风压差达标比例75.38%；室外照明垂直照度熄灯时段0.8 lx显示屏亮度150 cd/m²优于E2区限值避免光污染；垃圾分类收集点设置于隐蔽位置与景观结合满足环卫规范要求。</w:t>
      </w:r>
    </w:p>
    <w:p w14:paraId="7216197B">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十、结语</w:t>
      </w:r>
    </w:p>
    <w:p w14:paraId="558CB026">
      <w:pPr>
        <w:keepNext w:val="0"/>
        <w:keepLines w:val="0"/>
        <w:pageBreakBefore w:val="0"/>
        <w:widowControl w:val="0"/>
        <w:kinsoku/>
        <w:wordWrap/>
        <w:overflowPunct/>
        <w:topLinePunct w:val="0"/>
        <w:autoSpaceDE/>
        <w:autoSpaceDN/>
        <w:bidi w:val="0"/>
        <w:adjustRightInd/>
        <w:snapToGrid/>
        <w:ind w:left="420" w:leftChars="200" w:firstLine="480" w:firstLineChars="200"/>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本项目从上位规划出发，结合实地调研，通过科学的场地规划设计、理性的建筑形体生成、合理的空间功能布局、先进的智能建筑系统集成，实现了“自然+人文+科技”的深度融合，全面适应岭南气候特征与滨水场地属性。在“双碳”目标指引下，本设计为南沙新区打造了一座生态、智慧、绿色的城市文化展厅示范标杆，全面满足现行强制性工程建设规范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733982C-728A-4976-AA76-F8C97501A6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82346"/>
    <w:rsid w:val="43A82346"/>
    <w:rsid w:val="4E197388"/>
    <w:rsid w:val="6C4B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2026-03-12T14:51:00Z</dcterms:created>
  <dc:creator>WPS_1599230782</dc:creator>
  <cp:lastModifiedBy>WPS_1599230782</cp:lastModifiedBy>
  <dcterms:modified xsi:type="dcterms:W3CDTF">2026-03-13T07:10:47Z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7EF0DDAB02C84D44B9BCF834019441E8_11</vt:lpwstr>
  </property>
  <property fmtid="{D5CDD505-2E9C-101B-9397-08002B2CF9AE}" pid="4" name="KSOTemplateDocerSaveRecord">
    <vt:lpwstr>eyJoZGlkIjoiNTQzYTE0MWQ2ZTUyNDRlNTFmMTk1ZGUyZDNjYTAxMDAiLCJ1c2VySWQiOiIxMDgxNDkyNDI1In0=</vt:lpwstr>
  </property>
</Properties>
</file>