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5CC97">
      <w:pPr>
        <w:spacing w:before="480" w:after="480" w:line="288" w:lineRule="auto"/>
        <w:ind w:left="0"/>
        <w:rPr>
          <w:rFonts w:hint="eastAsia" w:ascii="黑体" w:hAnsi="黑体" w:eastAsia="黑体" w:cs="黑体"/>
        </w:rPr>
      </w:pPr>
      <w:bookmarkStart w:id="8" w:name="_GoBack"/>
      <w:r>
        <w:rPr>
          <w:rFonts w:hint="eastAsia" w:ascii="黑体" w:hAnsi="黑体" w:eastAsia="黑体" w:cs="黑体"/>
          <w:b/>
          <w:sz w:val="52"/>
        </w:rPr>
        <w:t>泉乡栖境项目可变换功能空间采用灵活隔断的比例计算书</w:t>
      </w:r>
    </w:p>
    <w:p w14:paraId="62FFD6B7">
      <w:pPr>
        <w:spacing w:before="320" w:after="120" w:line="288" w:lineRule="auto"/>
        <w:ind w:left="0"/>
        <w:jc w:val="left"/>
        <w:outlineLvl w:val="1"/>
        <w:rPr>
          <w:rFonts w:hint="eastAsia" w:ascii="黑体" w:hAnsi="黑体" w:eastAsia="黑体" w:cs="黑体"/>
        </w:rPr>
      </w:pPr>
      <w:bookmarkStart w:id="0" w:name="heading_0"/>
      <w:r>
        <w:rPr>
          <w:rFonts w:hint="eastAsia" w:ascii="黑体" w:hAnsi="黑体" w:eastAsia="黑体" w:cs="黑体"/>
          <w:b/>
          <w:sz w:val="32"/>
        </w:rPr>
        <w:t>1. 计算概述</w:t>
      </w:r>
      <w:bookmarkEnd w:id="0"/>
    </w:p>
    <w:p w14:paraId="7F805C8F">
      <w:pPr>
        <w:spacing w:before="300" w:after="120" w:line="288" w:lineRule="auto"/>
        <w:ind w:left="0"/>
        <w:jc w:val="left"/>
        <w:outlineLvl w:val="2"/>
        <w:rPr>
          <w:rFonts w:hint="eastAsia" w:ascii="黑体" w:hAnsi="黑体" w:eastAsia="黑体" w:cs="黑体"/>
        </w:rPr>
      </w:pPr>
      <w:bookmarkStart w:id="1" w:name="heading_1"/>
      <w:r>
        <w:rPr>
          <w:rFonts w:hint="eastAsia" w:ascii="黑体" w:hAnsi="黑体" w:eastAsia="黑体" w:cs="黑体"/>
          <w:b/>
          <w:sz w:val="30"/>
        </w:rPr>
        <w:t>1.1 项目概况</w:t>
      </w:r>
      <w:bookmarkEnd w:id="1"/>
    </w:p>
    <w:p w14:paraId="1774CBC8">
      <w:pPr>
        <w:spacing w:before="120" w:after="120" w:line="288" w:lineRule="auto"/>
        <w:ind w:left="0"/>
        <w:jc w:val="left"/>
        <w:rPr>
          <w:rFonts w:hint="eastAsia" w:ascii="黑体" w:hAnsi="黑体" w:eastAsia="黑体" w:cs="黑体"/>
        </w:rPr>
      </w:pPr>
      <w:r>
        <w:rPr>
          <w:rFonts w:hint="eastAsia" w:ascii="黑体" w:hAnsi="黑体" w:eastAsia="黑体" w:cs="黑体"/>
          <w:sz w:val="22"/>
        </w:rPr>
        <w:t>泉乡栖境项目选址位于海南省琼海市北仍村，毗邻官塘温泉、万泉河等景区，属于生态低密温泉康养社区。整个规划总用地面积7000平方米，基本呈规则地块，地势平缓，自然地形适配低密建筑布局。</w:t>
      </w:r>
    </w:p>
    <w:p w14:paraId="1EFD631C">
      <w:pPr>
        <w:spacing w:before="120" w:after="120" w:line="288" w:lineRule="auto"/>
        <w:ind w:left="0"/>
        <w:jc w:val="left"/>
        <w:rPr>
          <w:rFonts w:hint="eastAsia" w:ascii="黑体" w:hAnsi="黑体" w:eastAsia="黑体" w:cs="黑体"/>
        </w:rPr>
      </w:pPr>
      <w:r>
        <w:rPr>
          <w:rFonts w:hint="eastAsia" w:ascii="黑体" w:hAnsi="黑体" w:eastAsia="黑体" w:cs="黑体"/>
          <w:sz w:val="22"/>
        </w:rPr>
        <w:t>本项目为生态低密温泉康养社区，核心定位为“北仍泉韵，绿养心居”，打造人与自然共生的沉浸式康养体验。本次建设总建筑面积3175平方米，其中主建筑1627平方米（含康养配套、公共休闲等功能），住宅1548平方米（底层院落式住宅，每户配备私人/半私人温泉泡池），绿地率35%，规划停车泊位15个。建筑风格融合琼海民居与南洋骑楼特色，采用绿建技术，兼顾生态环保与适变性需求。</w:t>
      </w:r>
    </w:p>
    <w:p w14:paraId="0C50EADB">
      <w:pPr>
        <w:spacing w:before="300" w:after="120" w:line="288" w:lineRule="auto"/>
        <w:ind w:left="0"/>
        <w:jc w:val="left"/>
        <w:outlineLvl w:val="2"/>
        <w:rPr>
          <w:rFonts w:hint="eastAsia" w:ascii="黑体" w:hAnsi="黑体" w:eastAsia="黑体" w:cs="黑体"/>
        </w:rPr>
      </w:pPr>
      <w:bookmarkStart w:id="2" w:name="heading_2"/>
      <w:r>
        <w:rPr>
          <w:rFonts w:hint="eastAsia" w:ascii="黑体" w:hAnsi="黑体" w:eastAsia="黑体" w:cs="黑体"/>
          <w:b/>
          <w:sz w:val="30"/>
        </w:rPr>
        <w:t>1.2 计算目的</w:t>
      </w:r>
      <w:bookmarkEnd w:id="2"/>
    </w:p>
    <w:p w14:paraId="3EB848B4">
      <w:pPr>
        <w:spacing w:before="120" w:after="120" w:line="288" w:lineRule="auto"/>
        <w:ind w:left="0"/>
        <w:jc w:val="left"/>
        <w:rPr>
          <w:rFonts w:hint="eastAsia" w:ascii="黑体" w:hAnsi="黑体" w:eastAsia="黑体" w:cs="黑体"/>
        </w:rPr>
      </w:pPr>
      <w:r>
        <w:rPr>
          <w:rFonts w:hint="eastAsia" w:ascii="黑体" w:hAnsi="黑体" w:eastAsia="黑体" w:cs="黑体"/>
          <w:sz w:val="22"/>
        </w:rPr>
        <w:t>判断本项目是否满足《绿色建筑评价标准》GB/T50378-2019第4.2.6条“采取提升建筑适变性的措施”，为项目绿建评价提供合规依据，确保项目符合绿建二/三星级相关要求。</w:t>
      </w:r>
    </w:p>
    <w:p w14:paraId="3D393ADA">
      <w:pPr>
        <w:spacing w:before="300" w:after="120" w:line="288" w:lineRule="auto"/>
        <w:ind w:left="0"/>
        <w:jc w:val="left"/>
        <w:outlineLvl w:val="2"/>
        <w:rPr>
          <w:rFonts w:hint="eastAsia" w:ascii="黑体" w:hAnsi="黑体" w:eastAsia="黑体" w:cs="黑体"/>
        </w:rPr>
      </w:pPr>
      <w:bookmarkStart w:id="3" w:name="heading_3"/>
      <w:r>
        <w:rPr>
          <w:rFonts w:hint="eastAsia" w:ascii="黑体" w:hAnsi="黑体" w:eastAsia="黑体" w:cs="黑体"/>
          <w:b/>
          <w:sz w:val="30"/>
        </w:rPr>
        <w:t>1.3 计算依据</w:t>
      </w:r>
      <w:bookmarkEnd w:id="3"/>
    </w:p>
    <w:p w14:paraId="39FCB1D4">
      <w:pPr>
        <w:numPr>
          <w:ilvl w:val="0"/>
          <w:numId w:val="1"/>
        </w:numPr>
        <w:spacing w:before="120" w:after="120" w:line="288" w:lineRule="auto"/>
        <w:ind w:left="0"/>
        <w:jc w:val="left"/>
        <w:rPr>
          <w:rFonts w:hint="eastAsia" w:ascii="黑体" w:hAnsi="黑体" w:eastAsia="黑体" w:cs="黑体"/>
        </w:rPr>
      </w:pPr>
      <w:r>
        <w:rPr>
          <w:rFonts w:hint="eastAsia" w:ascii="黑体" w:hAnsi="黑体" w:eastAsia="黑体" w:cs="黑体"/>
          <w:sz w:val="22"/>
        </w:rPr>
        <w:t>《绿色建筑评价技术细则》</w:t>
      </w:r>
    </w:p>
    <w:p w14:paraId="142145DA">
      <w:pPr>
        <w:numPr>
          <w:ilvl w:val="0"/>
          <w:numId w:val="2"/>
        </w:numPr>
        <w:spacing w:before="120" w:after="120" w:line="288" w:lineRule="auto"/>
        <w:ind w:left="0"/>
        <w:jc w:val="left"/>
        <w:rPr>
          <w:rFonts w:hint="eastAsia" w:ascii="黑体" w:hAnsi="黑体" w:eastAsia="黑体" w:cs="黑体"/>
        </w:rPr>
      </w:pPr>
      <w:r>
        <w:rPr>
          <w:rFonts w:hint="eastAsia" w:ascii="黑体" w:hAnsi="黑体" w:eastAsia="黑体" w:cs="黑体"/>
          <w:sz w:val="22"/>
        </w:rPr>
        <w:t>《绿色建筑评价技术细则补充说明》（规划设计部分）</w:t>
      </w:r>
    </w:p>
    <w:p w14:paraId="697D6CBB">
      <w:pPr>
        <w:numPr>
          <w:ilvl w:val="0"/>
          <w:numId w:val="3"/>
        </w:numPr>
        <w:spacing w:before="120" w:after="120" w:line="288" w:lineRule="auto"/>
        <w:ind w:left="0"/>
        <w:jc w:val="left"/>
        <w:rPr>
          <w:rFonts w:hint="eastAsia" w:ascii="黑体" w:hAnsi="黑体" w:eastAsia="黑体" w:cs="黑体"/>
        </w:rPr>
      </w:pPr>
      <w:r>
        <w:rPr>
          <w:rFonts w:hint="eastAsia" w:ascii="黑体" w:hAnsi="黑体" w:eastAsia="黑体" w:cs="黑体"/>
          <w:sz w:val="22"/>
        </w:rPr>
        <w:t>业主提供的泉乡栖境项目建筑设计文件</w:t>
      </w:r>
    </w:p>
    <w:p w14:paraId="7D8441C7">
      <w:pPr>
        <w:numPr>
          <w:ilvl w:val="0"/>
          <w:numId w:val="4"/>
        </w:numPr>
        <w:spacing w:before="120" w:after="120" w:line="288" w:lineRule="auto"/>
        <w:ind w:left="0"/>
        <w:jc w:val="left"/>
        <w:rPr>
          <w:rFonts w:hint="eastAsia" w:ascii="黑体" w:hAnsi="黑体" w:eastAsia="黑体" w:cs="黑体"/>
        </w:rPr>
      </w:pPr>
      <w:r>
        <w:rPr>
          <w:rFonts w:hint="eastAsia" w:ascii="黑体" w:hAnsi="黑体" w:eastAsia="黑体" w:cs="黑体"/>
          <w:sz w:val="22"/>
        </w:rPr>
        <w:t>泉乡栖境项目施工图纸及功能分区规划方案</w:t>
      </w:r>
    </w:p>
    <w:p w14:paraId="50884DB9">
      <w:pPr>
        <w:spacing w:before="320" w:after="120" w:line="288" w:lineRule="auto"/>
        <w:ind w:left="0"/>
        <w:jc w:val="left"/>
        <w:outlineLvl w:val="1"/>
        <w:rPr>
          <w:rFonts w:hint="eastAsia" w:ascii="黑体" w:hAnsi="黑体" w:eastAsia="黑体" w:cs="黑体"/>
        </w:rPr>
      </w:pPr>
      <w:bookmarkStart w:id="4" w:name="heading_4"/>
      <w:r>
        <w:rPr>
          <w:rFonts w:hint="eastAsia" w:ascii="黑体" w:hAnsi="黑体" w:eastAsia="黑体" w:cs="黑体"/>
          <w:b/>
          <w:sz w:val="32"/>
        </w:rPr>
        <w:t>2. 计算分析</w:t>
      </w:r>
      <w:bookmarkEnd w:id="4"/>
    </w:p>
    <w:p w14:paraId="1644B3BD">
      <w:pPr>
        <w:spacing w:before="300" w:after="120" w:line="288" w:lineRule="auto"/>
        <w:ind w:left="0"/>
        <w:jc w:val="left"/>
        <w:outlineLvl w:val="2"/>
        <w:rPr>
          <w:rFonts w:hint="eastAsia" w:ascii="黑体" w:hAnsi="黑体" w:eastAsia="黑体" w:cs="黑体"/>
        </w:rPr>
      </w:pPr>
      <w:bookmarkStart w:id="5" w:name="heading_5"/>
      <w:r>
        <w:rPr>
          <w:rFonts w:hint="eastAsia" w:ascii="黑体" w:hAnsi="黑体" w:eastAsia="黑体" w:cs="黑体"/>
          <w:b/>
          <w:sz w:val="30"/>
        </w:rPr>
        <w:t>2.1 可变换功能的室内空间</w:t>
      </w:r>
      <w:bookmarkEnd w:id="5"/>
    </w:p>
    <w:p w14:paraId="07A32FC5">
      <w:pPr>
        <w:spacing w:before="120" w:after="120" w:line="288" w:lineRule="auto"/>
        <w:ind w:left="0"/>
        <w:jc w:val="left"/>
        <w:rPr>
          <w:rFonts w:hint="eastAsia" w:ascii="黑体" w:hAnsi="黑体" w:eastAsia="黑体" w:cs="黑体"/>
        </w:rPr>
      </w:pPr>
      <w:r>
        <w:rPr>
          <w:rFonts w:hint="eastAsia" w:ascii="黑体" w:hAnsi="黑体" w:eastAsia="黑体" w:cs="黑体"/>
          <w:sz w:val="22"/>
        </w:rPr>
        <w:t>可变换功能的室内空间为项目总建筑面积减去不可改变功能的室内空间（如走廊、楼梯、电梯井、卫生间、设备用房、公共管井、温泉泡池固定区域等）。结合项目建筑布局及功能定位，各功能区域面积统计如下表。</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6609EAB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41A9AE7">
            <w:pPr>
              <w:spacing w:before="120" w:after="120" w:line="288" w:lineRule="auto"/>
              <w:ind w:left="0"/>
              <w:jc w:val="left"/>
              <w:rPr>
                <w:rFonts w:hint="eastAsia" w:ascii="黑体" w:hAnsi="黑体" w:eastAsia="黑体" w:cs="黑体"/>
              </w:rPr>
            </w:pPr>
            <w:r>
              <w:rPr>
                <w:rFonts w:hint="eastAsia" w:ascii="黑体" w:hAnsi="黑体" w:eastAsia="黑体" w:cs="黑体"/>
                <w:sz w:val="22"/>
              </w:rPr>
              <w:t>区域类型</w:t>
            </w:r>
          </w:p>
        </w:tc>
        <w:tc>
          <w:tcPr>
            <w:tcW w:w="2070" w:type="dxa"/>
            <w:tcMar>
              <w:top w:w="60" w:type="dxa"/>
              <w:left w:w="120" w:type="dxa"/>
              <w:bottom w:w="30" w:type="dxa"/>
              <w:right w:w="120" w:type="dxa"/>
            </w:tcMar>
          </w:tcPr>
          <w:p w14:paraId="51B490F2">
            <w:pPr>
              <w:spacing w:before="120" w:after="120" w:line="288" w:lineRule="auto"/>
              <w:ind w:left="0"/>
              <w:jc w:val="left"/>
              <w:rPr>
                <w:rFonts w:hint="eastAsia" w:ascii="黑体" w:hAnsi="黑体" w:eastAsia="黑体" w:cs="黑体"/>
              </w:rPr>
            </w:pPr>
            <w:r>
              <w:rPr>
                <w:rFonts w:hint="eastAsia" w:ascii="黑体" w:hAnsi="黑体" w:eastAsia="黑体" w:cs="黑体"/>
                <w:sz w:val="22"/>
              </w:rPr>
              <w:t>总建筑面积（㎡）</w:t>
            </w:r>
          </w:p>
        </w:tc>
        <w:tc>
          <w:tcPr>
            <w:tcW w:w="2070" w:type="dxa"/>
            <w:tcMar>
              <w:top w:w="60" w:type="dxa"/>
              <w:left w:w="120" w:type="dxa"/>
              <w:bottom w:w="30" w:type="dxa"/>
              <w:right w:w="120" w:type="dxa"/>
            </w:tcMar>
          </w:tcPr>
          <w:p w14:paraId="2E8A4F9B">
            <w:pPr>
              <w:spacing w:before="120" w:after="120" w:line="288" w:lineRule="auto"/>
              <w:ind w:left="0"/>
              <w:jc w:val="left"/>
              <w:rPr>
                <w:rFonts w:hint="eastAsia" w:ascii="黑体" w:hAnsi="黑体" w:eastAsia="黑体" w:cs="黑体"/>
              </w:rPr>
            </w:pPr>
            <w:r>
              <w:rPr>
                <w:rFonts w:hint="eastAsia" w:ascii="黑体" w:hAnsi="黑体" w:eastAsia="黑体" w:cs="黑体"/>
                <w:sz w:val="22"/>
              </w:rPr>
              <w:t>不可变换功能空间（㎡）</w:t>
            </w:r>
          </w:p>
        </w:tc>
        <w:tc>
          <w:tcPr>
            <w:tcW w:w="2070" w:type="dxa"/>
            <w:tcMar>
              <w:top w:w="60" w:type="dxa"/>
              <w:left w:w="120" w:type="dxa"/>
              <w:bottom w:w="30" w:type="dxa"/>
              <w:right w:w="120" w:type="dxa"/>
            </w:tcMar>
          </w:tcPr>
          <w:p w14:paraId="6D20A66F">
            <w:pPr>
              <w:spacing w:before="120" w:after="120" w:line="288" w:lineRule="auto"/>
              <w:ind w:left="0"/>
              <w:jc w:val="left"/>
              <w:rPr>
                <w:rFonts w:hint="eastAsia" w:ascii="黑体" w:hAnsi="黑体" w:eastAsia="黑体" w:cs="黑体"/>
              </w:rPr>
            </w:pPr>
            <w:r>
              <w:rPr>
                <w:rFonts w:hint="eastAsia" w:ascii="黑体" w:hAnsi="黑体" w:eastAsia="黑体" w:cs="黑体"/>
                <w:sz w:val="22"/>
              </w:rPr>
              <w:t>可变换功能空间（㎡）</w:t>
            </w:r>
          </w:p>
        </w:tc>
      </w:tr>
      <w:tr w14:paraId="117E95C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9F36100">
            <w:pPr>
              <w:spacing w:before="120" w:after="120" w:line="288" w:lineRule="auto"/>
              <w:ind w:left="0"/>
              <w:jc w:val="left"/>
              <w:rPr>
                <w:rFonts w:hint="eastAsia" w:ascii="黑体" w:hAnsi="黑体" w:eastAsia="黑体" w:cs="黑体"/>
              </w:rPr>
            </w:pPr>
            <w:r>
              <w:rPr>
                <w:rFonts w:hint="eastAsia" w:ascii="黑体" w:hAnsi="黑体" w:eastAsia="黑体" w:cs="黑体"/>
                <w:sz w:val="22"/>
              </w:rPr>
              <w:t>主建筑（康养配套、公共休闲）</w:t>
            </w:r>
          </w:p>
        </w:tc>
        <w:tc>
          <w:tcPr>
            <w:tcW w:w="2070" w:type="dxa"/>
            <w:tcMar>
              <w:top w:w="60" w:type="dxa"/>
              <w:left w:w="120" w:type="dxa"/>
              <w:bottom w:w="30" w:type="dxa"/>
              <w:right w:w="120" w:type="dxa"/>
            </w:tcMar>
          </w:tcPr>
          <w:p w14:paraId="699B87AB">
            <w:pPr>
              <w:spacing w:before="120" w:after="120" w:line="288" w:lineRule="auto"/>
              <w:ind w:left="0"/>
              <w:jc w:val="left"/>
              <w:rPr>
                <w:rFonts w:hint="eastAsia" w:ascii="黑体" w:hAnsi="黑体" w:eastAsia="黑体" w:cs="黑体"/>
              </w:rPr>
            </w:pPr>
            <w:r>
              <w:rPr>
                <w:rFonts w:hint="eastAsia" w:ascii="黑体" w:hAnsi="黑体" w:eastAsia="黑体" w:cs="黑体"/>
                <w:sz w:val="22"/>
              </w:rPr>
              <w:t>1627</w:t>
            </w:r>
          </w:p>
        </w:tc>
        <w:tc>
          <w:tcPr>
            <w:tcW w:w="2070" w:type="dxa"/>
            <w:tcMar>
              <w:top w:w="60" w:type="dxa"/>
              <w:left w:w="120" w:type="dxa"/>
              <w:bottom w:w="30" w:type="dxa"/>
              <w:right w:w="120" w:type="dxa"/>
            </w:tcMar>
          </w:tcPr>
          <w:p w14:paraId="61DCF3DE">
            <w:pPr>
              <w:spacing w:before="120" w:after="120" w:line="288" w:lineRule="auto"/>
              <w:ind w:left="0"/>
              <w:jc w:val="left"/>
              <w:rPr>
                <w:rFonts w:hint="eastAsia" w:ascii="黑体" w:hAnsi="黑体" w:eastAsia="黑体" w:cs="黑体"/>
              </w:rPr>
            </w:pPr>
            <w:r>
              <w:rPr>
                <w:rFonts w:hint="eastAsia" w:ascii="黑体" w:hAnsi="黑体" w:eastAsia="黑体" w:cs="黑体"/>
                <w:sz w:val="22"/>
              </w:rPr>
              <w:t>488</w:t>
            </w:r>
          </w:p>
        </w:tc>
        <w:tc>
          <w:tcPr>
            <w:tcW w:w="2070" w:type="dxa"/>
            <w:tcMar>
              <w:top w:w="60" w:type="dxa"/>
              <w:left w:w="120" w:type="dxa"/>
              <w:bottom w:w="30" w:type="dxa"/>
              <w:right w:w="120" w:type="dxa"/>
            </w:tcMar>
          </w:tcPr>
          <w:p w14:paraId="1874C24E">
            <w:pPr>
              <w:spacing w:before="120" w:after="120" w:line="288" w:lineRule="auto"/>
              <w:ind w:left="0"/>
              <w:jc w:val="left"/>
              <w:rPr>
                <w:rFonts w:hint="eastAsia" w:ascii="黑体" w:hAnsi="黑体" w:eastAsia="黑体" w:cs="黑体"/>
              </w:rPr>
            </w:pPr>
            <w:r>
              <w:rPr>
                <w:rFonts w:hint="eastAsia" w:ascii="黑体" w:hAnsi="黑体" w:eastAsia="黑体" w:cs="黑体"/>
                <w:sz w:val="22"/>
              </w:rPr>
              <w:t>1139</w:t>
            </w:r>
          </w:p>
        </w:tc>
      </w:tr>
      <w:tr w14:paraId="209792B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BE26C99">
            <w:pPr>
              <w:spacing w:before="120" w:after="120" w:line="288" w:lineRule="auto"/>
              <w:ind w:left="0"/>
              <w:jc w:val="left"/>
              <w:rPr>
                <w:rFonts w:hint="eastAsia" w:ascii="黑体" w:hAnsi="黑体" w:eastAsia="黑体" w:cs="黑体"/>
              </w:rPr>
            </w:pPr>
            <w:r>
              <w:rPr>
                <w:rFonts w:hint="eastAsia" w:ascii="黑体" w:hAnsi="黑体" w:eastAsia="黑体" w:cs="黑体"/>
                <w:sz w:val="22"/>
              </w:rPr>
              <w:t>住宅区域（底层院落式）</w:t>
            </w:r>
          </w:p>
        </w:tc>
        <w:tc>
          <w:tcPr>
            <w:tcW w:w="2070" w:type="dxa"/>
            <w:tcMar>
              <w:top w:w="60" w:type="dxa"/>
              <w:left w:w="120" w:type="dxa"/>
              <w:bottom w:w="30" w:type="dxa"/>
              <w:right w:w="120" w:type="dxa"/>
            </w:tcMar>
          </w:tcPr>
          <w:p w14:paraId="0A4B1A3F">
            <w:pPr>
              <w:spacing w:before="120" w:after="120" w:line="288" w:lineRule="auto"/>
              <w:ind w:left="0"/>
              <w:jc w:val="left"/>
              <w:rPr>
                <w:rFonts w:hint="eastAsia" w:ascii="黑体" w:hAnsi="黑体" w:eastAsia="黑体" w:cs="黑体"/>
              </w:rPr>
            </w:pPr>
            <w:r>
              <w:rPr>
                <w:rFonts w:hint="eastAsia" w:ascii="黑体" w:hAnsi="黑体" w:eastAsia="黑体" w:cs="黑体"/>
                <w:sz w:val="22"/>
              </w:rPr>
              <w:t>1548</w:t>
            </w:r>
          </w:p>
        </w:tc>
        <w:tc>
          <w:tcPr>
            <w:tcW w:w="2070" w:type="dxa"/>
            <w:tcMar>
              <w:top w:w="60" w:type="dxa"/>
              <w:left w:w="120" w:type="dxa"/>
              <w:bottom w:w="30" w:type="dxa"/>
              <w:right w:w="120" w:type="dxa"/>
            </w:tcMar>
          </w:tcPr>
          <w:p w14:paraId="20332E97">
            <w:pPr>
              <w:spacing w:before="120" w:after="120" w:line="288" w:lineRule="auto"/>
              <w:ind w:left="0"/>
              <w:jc w:val="left"/>
              <w:rPr>
                <w:rFonts w:hint="eastAsia" w:ascii="黑体" w:hAnsi="黑体" w:eastAsia="黑体" w:cs="黑体"/>
              </w:rPr>
            </w:pPr>
            <w:r>
              <w:rPr>
                <w:rFonts w:hint="eastAsia" w:ascii="黑体" w:hAnsi="黑体" w:eastAsia="黑体" w:cs="黑体"/>
                <w:sz w:val="22"/>
              </w:rPr>
              <w:t>464</w:t>
            </w:r>
          </w:p>
        </w:tc>
        <w:tc>
          <w:tcPr>
            <w:tcW w:w="2070" w:type="dxa"/>
            <w:tcMar>
              <w:top w:w="60" w:type="dxa"/>
              <w:left w:w="120" w:type="dxa"/>
              <w:bottom w:w="30" w:type="dxa"/>
              <w:right w:w="120" w:type="dxa"/>
            </w:tcMar>
          </w:tcPr>
          <w:p w14:paraId="7FD120F9">
            <w:pPr>
              <w:spacing w:before="120" w:after="120" w:line="288" w:lineRule="auto"/>
              <w:ind w:left="0"/>
              <w:jc w:val="left"/>
              <w:rPr>
                <w:rFonts w:hint="eastAsia" w:ascii="黑体" w:hAnsi="黑体" w:eastAsia="黑体" w:cs="黑体"/>
              </w:rPr>
            </w:pPr>
            <w:r>
              <w:rPr>
                <w:rFonts w:hint="eastAsia" w:ascii="黑体" w:hAnsi="黑体" w:eastAsia="黑体" w:cs="黑体"/>
                <w:sz w:val="22"/>
              </w:rPr>
              <w:t>1084</w:t>
            </w:r>
          </w:p>
        </w:tc>
      </w:tr>
      <w:tr w14:paraId="5BF5CDC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A8F788D">
            <w:pPr>
              <w:spacing w:before="120" w:after="120" w:line="288" w:lineRule="auto"/>
              <w:ind w:left="0"/>
              <w:jc w:val="left"/>
              <w:rPr>
                <w:rFonts w:hint="eastAsia" w:ascii="黑体" w:hAnsi="黑体" w:eastAsia="黑体" w:cs="黑体"/>
              </w:rPr>
            </w:pPr>
            <w:r>
              <w:rPr>
                <w:rFonts w:hint="eastAsia" w:ascii="黑体" w:hAnsi="黑体" w:eastAsia="黑体" w:cs="黑体"/>
                <w:sz w:val="22"/>
              </w:rPr>
              <w:t>合计</w:t>
            </w:r>
          </w:p>
        </w:tc>
        <w:tc>
          <w:tcPr>
            <w:tcW w:w="2070" w:type="dxa"/>
            <w:tcMar>
              <w:top w:w="60" w:type="dxa"/>
              <w:left w:w="120" w:type="dxa"/>
              <w:bottom w:w="30" w:type="dxa"/>
              <w:right w:w="120" w:type="dxa"/>
            </w:tcMar>
          </w:tcPr>
          <w:p w14:paraId="2ADE1A71">
            <w:pPr>
              <w:spacing w:before="120" w:after="120" w:line="288" w:lineRule="auto"/>
              <w:ind w:left="0"/>
              <w:jc w:val="left"/>
              <w:rPr>
                <w:rFonts w:hint="eastAsia" w:ascii="黑体" w:hAnsi="黑体" w:eastAsia="黑体" w:cs="黑体"/>
              </w:rPr>
            </w:pPr>
            <w:r>
              <w:rPr>
                <w:rFonts w:hint="eastAsia" w:ascii="黑体" w:hAnsi="黑体" w:eastAsia="黑体" w:cs="黑体"/>
                <w:sz w:val="22"/>
              </w:rPr>
              <w:t>3175</w:t>
            </w:r>
          </w:p>
        </w:tc>
        <w:tc>
          <w:tcPr>
            <w:tcW w:w="2070" w:type="dxa"/>
            <w:tcMar>
              <w:top w:w="60" w:type="dxa"/>
              <w:left w:w="120" w:type="dxa"/>
              <w:bottom w:w="30" w:type="dxa"/>
              <w:right w:w="120" w:type="dxa"/>
            </w:tcMar>
          </w:tcPr>
          <w:p w14:paraId="6771EA4A">
            <w:pPr>
              <w:spacing w:before="120" w:after="120" w:line="288" w:lineRule="auto"/>
              <w:ind w:left="0"/>
              <w:jc w:val="left"/>
              <w:rPr>
                <w:rFonts w:hint="eastAsia" w:ascii="黑体" w:hAnsi="黑体" w:eastAsia="黑体" w:cs="黑体"/>
              </w:rPr>
            </w:pPr>
            <w:r>
              <w:rPr>
                <w:rFonts w:hint="eastAsia" w:ascii="黑体" w:hAnsi="黑体" w:eastAsia="黑体" w:cs="黑体"/>
                <w:sz w:val="22"/>
              </w:rPr>
              <w:t>952</w:t>
            </w:r>
          </w:p>
        </w:tc>
        <w:tc>
          <w:tcPr>
            <w:tcW w:w="2070" w:type="dxa"/>
            <w:tcMar>
              <w:top w:w="60" w:type="dxa"/>
              <w:left w:w="120" w:type="dxa"/>
              <w:bottom w:w="30" w:type="dxa"/>
              <w:right w:w="120" w:type="dxa"/>
            </w:tcMar>
          </w:tcPr>
          <w:p w14:paraId="7C0BE8E5">
            <w:pPr>
              <w:spacing w:before="120" w:after="120" w:line="288" w:lineRule="auto"/>
              <w:ind w:left="0"/>
              <w:jc w:val="left"/>
              <w:rPr>
                <w:rFonts w:hint="eastAsia" w:ascii="黑体" w:hAnsi="黑体" w:eastAsia="黑体" w:cs="黑体"/>
              </w:rPr>
            </w:pPr>
            <w:r>
              <w:rPr>
                <w:rFonts w:hint="eastAsia" w:ascii="黑体" w:hAnsi="黑体" w:eastAsia="黑体" w:cs="黑体"/>
                <w:sz w:val="22"/>
              </w:rPr>
              <w:t>2223</w:t>
            </w:r>
          </w:p>
        </w:tc>
      </w:tr>
    </w:tbl>
    <w:p w14:paraId="011DE7C6">
      <w:pPr>
        <w:spacing w:before="120" w:after="120" w:line="288" w:lineRule="auto"/>
        <w:ind w:left="0"/>
        <w:jc w:val="left"/>
        <w:rPr>
          <w:rFonts w:hint="eastAsia" w:ascii="黑体" w:hAnsi="黑体" w:eastAsia="黑体" w:cs="黑体"/>
        </w:rPr>
      </w:pPr>
      <w:r>
        <w:rPr>
          <w:rFonts w:hint="eastAsia" w:ascii="黑体" w:hAnsi="黑体" w:eastAsia="黑体" w:cs="黑体"/>
          <w:sz w:val="22"/>
        </w:rPr>
        <w:t>备注：不可变换功能空间包括：公共走廊、楼梯间、卫生间、设备用房（光伏配套设备间、地源热泵设备间等）、公共管井、温泉泡池固定结构区域、停车泊位配套通道等，均按建筑设计图纸实际核算。</w:t>
      </w:r>
    </w:p>
    <w:p w14:paraId="4AF331CD">
      <w:pPr>
        <w:spacing w:before="300" w:after="120" w:line="288" w:lineRule="auto"/>
        <w:ind w:left="0"/>
        <w:jc w:val="left"/>
        <w:outlineLvl w:val="2"/>
        <w:rPr>
          <w:rFonts w:hint="eastAsia" w:ascii="黑体" w:hAnsi="黑体" w:eastAsia="黑体" w:cs="黑体"/>
        </w:rPr>
      </w:pPr>
      <w:bookmarkStart w:id="6" w:name="heading_6"/>
      <w:r>
        <w:rPr>
          <w:rFonts w:hint="eastAsia" w:ascii="黑体" w:hAnsi="黑体" w:eastAsia="黑体" w:cs="黑体"/>
          <w:b/>
          <w:sz w:val="30"/>
        </w:rPr>
        <w:t>2.2 灵活隔断的室内空间</w:t>
      </w:r>
      <w:bookmarkEnd w:id="6"/>
    </w:p>
    <w:p w14:paraId="4A9789CB">
      <w:pPr>
        <w:spacing w:before="120" w:after="120" w:line="288" w:lineRule="auto"/>
        <w:ind w:left="0"/>
        <w:jc w:val="left"/>
        <w:rPr>
          <w:rFonts w:hint="eastAsia" w:ascii="黑体" w:hAnsi="黑体" w:eastAsia="黑体" w:cs="黑体"/>
        </w:rPr>
      </w:pPr>
      <w:r>
        <w:rPr>
          <w:rFonts w:hint="eastAsia" w:ascii="黑体" w:hAnsi="黑体" w:eastAsia="黑体" w:cs="黑体"/>
          <w:sz w:val="22"/>
        </w:rPr>
        <w:t>本项目结合康养社区定位，采用大开间灵活布局设计，针对主建筑康养休闲区、公共连廊、住宅内活动区域等，均采用玻璃灵活隔断（可拆分、可移动），兼顾空间实用性与适变性，适配不同使用需求。采用灵活隔断的统计面积如下表。</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63AC634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3090F32">
            <w:pPr>
              <w:spacing w:before="120" w:after="120" w:line="288" w:lineRule="auto"/>
              <w:ind w:left="0"/>
              <w:jc w:val="left"/>
              <w:rPr>
                <w:rFonts w:hint="eastAsia" w:ascii="黑体" w:hAnsi="黑体" w:eastAsia="黑体" w:cs="黑体"/>
              </w:rPr>
            </w:pPr>
            <w:r>
              <w:rPr>
                <w:rFonts w:hint="eastAsia" w:ascii="黑体" w:hAnsi="黑体" w:eastAsia="黑体" w:cs="黑体"/>
                <w:sz w:val="22"/>
              </w:rPr>
              <w:t>区域类型</w:t>
            </w:r>
          </w:p>
        </w:tc>
        <w:tc>
          <w:tcPr>
            <w:tcW w:w="2760" w:type="dxa"/>
            <w:tcMar>
              <w:top w:w="60" w:type="dxa"/>
              <w:left w:w="120" w:type="dxa"/>
              <w:bottom w:w="30" w:type="dxa"/>
              <w:right w:w="120" w:type="dxa"/>
            </w:tcMar>
          </w:tcPr>
          <w:p w14:paraId="3B4DE877">
            <w:pPr>
              <w:spacing w:before="120" w:after="120" w:line="288" w:lineRule="auto"/>
              <w:ind w:left="0"/>
              <w:jc w:val="left"/>
              <w:rPr>
                <w:rFonts w:hint="eastAsia" w:ascii="黑体" w:hAnsi="黑体" w:eastAsia="黑体" w:cs="黑体"/>
              </w:rPr>
            </w:pPr>
            <w:r>
              <w:rPr>
                <w:rFonts w:hint="eastAsia" w:ascii="黑体" w:hAnsi="黑体" w:eastAsia="黑体" w:cs="黑体"/>
                <w:sz w:val="22"/>
              </w:rPr>
              <w:t>采用灵活隔断的面积（㎡）</w:t>
            </w:r>
          </w:p>
        </w:tc>
        <w:tc>
          <w:tcPr>
            <w:tcW w:w="2760" w:type="dxa"/>
            <w:tcMar>
              <w:top w:w="60" w:type="dxa"/>
              <w:left w:w="120" w:type="dxa"/>
              <w:bottom w:w="30" w:type="dxa"/>
              <w:right w:w="120" w:type="dxa"/>
            </w:tcMar>
          </w:tcPr>
          <w:p w14:paraId="2FD11E96">
            <w:pPr>
              <w:spacing w:before="120" w:after="120" w:line="288" w:lineRule="auto"/>
              <w:ind w:left="0"/>
              <w:jc w:val="left"/>
              <w:rPr>
                <w:rFonts w:hint="eastAsia" w:ascii="黑体" w:hAnsi="黑体" w:eastAsia="黑体" w:cs="黑体"/>
              </w:rPr>
            </w:pPr>
            <w:r>
              <w:rPr>
                <w:rFonts w:hint="eastAsia" w:ascii="黑体" w:hAnsi="黑体" w:eastAsia="黑体" w:cs="黑体"/>
                <w:sz w:val="22"/>
              </w:rPr>
              <w:t>备注</w:t>
            </w:r>
          </w:p>
        </w:tc>
      </w:tr>
      <w:tr w14:paraId="12D94FE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1BE32D4">
            <w:pPr>
              <w:spacing w:before="120" w:after="120" w:line="288" w:lineRule="auto"/>
              <w:ind w:left="0"/>
              <w:jc w:val="left"/>
              <w:rPr>
                <w:rFonts w:hint="eastAsia" w:ascii="黑体" w:hAnsi="黑体" w:eastAsia="黑体" w:cs="黑体"/>
              </w:rPr>
            </w:pPr>
            <w:r>
              <w:rPr>
                <w:rFonts w:hint="eastAsia" w:ascii="黑体" w:hAnsi="黑体" w:eastAsia="黑体" w:cs="黑体"/>
                <w:sz w:val="22"/>
              </w:rPr>
              <w:t>主建筑（康养配套、公共休闲）</w:t>
            </w:r>
          </w:p>
        </w:tc>
        <w:tc>
          <w:tcPr>
            <w:tcW w:w="2760" w:type="dxa"/>
            <w:tcMar>
              <w:top w:w="60" w:type="dxa"/>
              <w:left w:w="120" w:type="dxa"/>
              <w:bottom w:w="30" w:type="dxa"/>
              <w:right w:w="120" w:type="dxa"/>
            </w:tcMar>
          </w:tcPr>
          <w:p w14:paraId="3534A1A7">
            <w:pPr>
              <w:spacing w:before="120" w:after="120" w:line="288" w:lineRule="auto"/>
              <w:ind w:left="0"/>
              <w:jc w:val="left"/>
              <w:rPr>
                <w:rFonts w:hint="eastAsia" w:ascii="黑体" w:hAnsi="黑体" w:eastAsia="黑体" w:cs="黑体"/>
              </w:rPr>
            </w:pPr>
            <w:r>
              <w:rPr>
                <w:rFonts w:hint="eastAsia" w:ascii="黑体" w:hAnsi="黑体" w:eastAsia="黑体" w:cs="黑体"/>
                <w:sz w:val="22"/>
              </w:rPr>
              <w:t>800</w:t>
            </w:r>
          </w:p>
        </w:tc>
        <w:tc>
          <w:tcPr>
            <w:tcW w:w="2760" w:type="dxa"/>
            <w:tcMar>
              <w:top w:w="60" w:type="dxa"/>
              <w:left w:w="120" w:type="dxa"/>
              <w:bottom w:w="30" w:type="dxa"/>
              <w:right w:w="120" w:type="dxa"/>
            </w:tcMar>
          </w:tcPr>
          <w:p w14:paraId="163C0D47">
            <w:pPr>
              <w:spacing w:before="120" w:after="120" w:line="288" w:lineRule="auto"/>
              <w:ind w:left="0"/>
              <w:jc w:val="left"/>
              <w:rPr>
                <w:rFonts w:hint="eastAsia" w:ascii="黑体" w:hAnsi="黑体" w:eastAsia="黑体" w:cs="黑体"/>
              </w:rPr>
            </w:pPr>
            <w:r>
              <w:rPr>
                <w:rFonts w:hint="eastAsia" w:ascii="黑体" w:hAnsi="黑体" w:eastAsia="黑体" w:cs="黑体"/>
                <w:sz w:val="22"/>
              </w:rPr>
              <w:t>康养休闲区、禅休区、临时接待区，采用可移动玻璃隔断</w:t>
            </w:r>
          </w:p>
        </w:tc>
      </w:tr>
      <w:tr w14:paraId="261417A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A93AE40">
            <w:pPr>
              <w:spacing w:before="120" w:after="120" w:line="288" w:lineRule="auto"/>
              <w:ind w:left="0"/>
              <w:jc w:val="left"/>
              <w:rPr>
                <w:rFonts w:hint="eastAsia" w:ascii="黑体" w:hAnsi="黑体" w:eastAsia="黑体" w:cs="黑体"/>
              </w:rPr>
            </w:pPr>
            <w:r>
              <w:rPr>
                <w:rFonts w:hint="eastAsia" w:ascii="黑体" w:hAnsi="黑体" w:eastAsia="黑体" w:cs="黑体"/>
                <w:sz w:val="22"/>
              </w:rPr>
              <w:t>住宅区域（底层院落式）</w:t>
            </w:r>
          </w:p>
        </w:tc>
        <w:tc>
          <w:tcPr>
            <w:tcW w:w="2760" w:type="dxa"/>
            <w:tcMar>
              <w:top w:w="60" w:type="dxa"/>
              <w:left w:w="120" w:type="dxa"/>
              <w:bottom w:w="30" w:type="dxa"/>
              <w:right w:w="120" w:type="dxa"/>
            </w:tcMar>
          </w:tcPr>
          <w:p w14:paraId="4462A195">
            <w:pPr>
              <w:spacing w:before="120" w:after="120" w:line="288" w:lineRule="auto"/>
              <w:ind w:left="0"/>
              <w:jc w:val="left"/>
              <w:rPr>
                <w:rFonts w:hint="eastAsia" w:ascii="黑体" w:hAnsi="黑体" w:eastAsia="黑体" w:cs="黑体"/>
              </w:rPr>
            </w:pPr>
            <w:r>
              <w:rPr>
                <w:rFonts w:hint="eastAsia" w:ascii="黑体" w:hAnsi="黑体" w:eastAsia="黑体" w:cs="黑体"/>
                <w:sz w:val="22"/>
              </w:rPr>
              <w:t>759</w:t>
            </w:r>
          </w:p>
        </w:tc>
        <w:tc>
          <w:tcPr>
            <w:tcW w:w="2760" w:type="dxa"/>
            <w:tcMar>
              <w:top w:w="60" w:type="dxa"/>
              <w:left w:w="120" w:type="dxa"/>
              <w:bottom w:w="30" w:type="dxa"/>
              <w:right w:w="120" w:type="dxa"/>
            </w:tcMar>
          </w:tcPr>
          <w:p w14:paraId="76C9ADDC">
            <w:pPr>
              <w:spacing w:before="120" w:after="120" w:line="288" w:lineRule="auto"/>
              <w:ind w:left="0"/>
              <w:jc w:val="left"/>
              <w:rPr>
                <w:rFonts w:hint="eastAsia" w:ascii="黑体" w:hAnsi="黑体" w:eastAsia="黑体" w:cs="黑体"/>
              </w:rPr>
            </w:pPr>
            <w:r>
              <w:rPr>
                <w:rFonts w:hint="eastAsia" w:ascii="黑体" w:hAnsi="黑体" w:eastAsia="黑体" w:cs="黑体"/>
                <w:sz w:val="22"/>
              </w:rPr>
              <w:t>住宅内活动区域、阳台与室内衔接处，采用可拆分玻璃隔断</w:t>
            </w:r>
          </w:p>
        </w:tc>
      </w:tr>
      <w:tr w14:paraId="5324127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0E3FE93">
            <w:pPr>
              <w:spacing w:before="120" w:after="120" w:line="288" w:lineRule="auto"/>
              <w:ind w:left="0"/>
              <w:jc w:val="left"/>
              <w:rPr>
                <w:rFonts w:hint="eastAsia" w:ascii="黑体" w:hAnsi="黑体" w:eastAsia="黑体" w:cs="黑体"/>
              </w:rPr>
            </w:pPr>
            <w:r>
              <w:rPr>
                <w:rFonts w:hint="eastAsia" w:ascii="黑体" w:hAnsi="黑体" w:eastAsia="黑体" w:cs="黑体"/>
                <w:sz w:val="22"/>
              </w:rPr>
              <w:t>合计</w:t>
            </w:r>
          </w:p>
        </w:tc>
        <w:tc>
          <w:tcPr>
            <w:tcW w:w="2760" w:type="dxa"/>
            <w:tcMar>
              <w:top w:w="60" w:type="dxa"/>
              <w:left w:w="120" w:type="dxa"/>
              <w:bottom w:w="30" w:type="dxa"/>
              <w:right w:w="120" w:type="dxa"/>
            </w:tcMar>
          </w:tcPr>
          <w:p w14:paraId="39B91F24">
            <w:pPr>
              <w:spacing w:before="120" w:after="120" w:line="288" w:lineRule="auto"/>
              <w:ind w:left="0"/>
              <w:jc w:val="left"/>
              <w:rPr>
                <w:rFonts w:hint="eastAsia" w:ascii="黑体" w:hAnsi="黑体" w:eastAsia="黑体" w:cs="黑体"/>
              </w:rPr>
            </w:pPr>
            <w:r>
              <w:rPr>
                <w:rFonts w:hint="eastAsia" w:ascii="黑体" w:hAnsi="黑体" w:eastAsia="黑体" w:cs="黑体"/>
                <w:sz w:val="22"/>
              </w:rPr>
              <w:t>1559</w:t>
            </w:r>
          </w:p>
        </w:tc>
        <w:tc>
          <w:tcPr>
            <w:tcW w:w="2760" w:type="dxa"/>
            <w:tcMar>
              <w:top w:w="60" w:type="dxa"/>
              <w:left w:w="120" w:type="dxa"/>
              <w:bottom w:w="30" w:type="dxa"/>
              <w:right w:w="120" w:type="dxa"/>
            </w:tcMar>
          </w:tcPr>
          <w:p w14:paraId="0E6AFE9F">
            <w:pPr>
              <w:spacing w:before="120" w:after="120" w:line="288" w:lineRule="auto"/>
              <w:ind w:left="0"/>
              <w:jc w:val="left"/>
              <w:rPr>
                <w:rFonts w:hint="eastAsia" w:ascii="黑体" w:hAnsi="黑体" w:eastAsia="黑体" w:cs="黑体"/>
              </w:rPr>
            </w:pPr>
            <w:r>
              <w:rPr>
                <w:rFonts w:hint="eastAsia" w:ascii="黑体" w:hAnsi="黑体" w:eastAsia="黑体" w:cs="黑体"/>
                <w:sz w:val="22"/>
              </w:rPr>
              <w:t>灵活隔断均采用环保型钢化玻璃，贴合项目绿建及建筑风格要求</w:t>
            </w:r>
          </w:p>
        </w:tc>
      </w:tr>
    </w:tbl>
    <w:p w14:paraId="61C58EB2">
      <w:pPr>
        <w:spacing w:before="300" w:after="120" w:line="288" w:lineRule="auto"/>
        <w:ind w:left="0"/>
        <w:jc w:val="left"/>
        <w:outlineLvl w:val="2"/>
        <w:rPr>
          <w:rFonts w:hint="eastAsia" w:ascii="黑体" w:hAnsi="黑体" w:eastAsia="黑体" w:cs="黑体"/>
        </w:rPr>
      </w:pPr>
      <w:bookmarkStart w:id="7" w:name="heading_7"/>
      <w:r>
        <w:rPr>
          <w:rFonts w:hint="eastAsia" w:ascii="黑体" w:hAnsi="黑体" w:eastAsia="黑体" w:cs="黑体"/>
          <w:b/>
          <w:sz w:val="30"/>
        </w:rPr>
        <w:t>2.3 灵活隔断的面积比例</w:t>
      </w:r>
      <w:bookmarkEnd w:id="7"/>
    </w:p>
    <w:p w14:paraId="0F250429">
      <w:pPr>
        <w:spacing w:before="120" w:after="120" w:line="288" w:lineRule="auto"/>
        <w:ind w:left="0"/>
        <w:jc w:val="left"/>
        <w:rPr>
          <w:rFonts w:hint="eastAsia" w:ascii="黑体" w:hAnsi="黑体" w:eastAsia="黑体" w:cs="黑体"/>
        </w:rPr>
      </w:pPr>
      <w:r>
        <w:rPr>
          <w:rFonts w:hint="eastAsia" w:ascii="黑体" w:hAnsi="黑体" w:eastAsia="黑体" w:cs="黑体"/>
          <w:sz w:val="22"/>
        </w:rPr>
        <w:t>根据上述统计数据，灵活隔断的面积比例计算如下：</w:t>
      </w:r>
    </w:p>
    <w:p w14:paraId="54889DD9">
      <w:pPr>
        <w:spacing w:before="120" w:after="120" w:line="288" w:lineRule="auto"/>
        <w:ind w:left="0"/>
        <w:jc w:val="left"/>
        <w:rPr>
          <w:rFonts w:hint="eastAsia" w:ascii="黑体" w:hAnsi="黑体" w:eastAsia="黑体" w:cs="黑体"/>
        </w:rPr>
      </w:pPr>
      <w:r>
        <w:rPr>
          <w:rFonts w:hint="eastAsia" w:ascii="黑体" w:hAnsi="黑体" w:eastAsia="黑体" w:cs="黑体"/>
          <w:sz w:val="22"/>
        </w:rPr>
        <w:t>灵活隔断的面积比例 = 采用灵活隔断的面积 ÷ 可变换功能空间总面积 × 100%</w:t>
      </w:r>
    </w:p>
    <w:p w14:paraId="2DD6A375">
      <w:pPr>
        <w:spacing w:before="120" w:after="120" w:line="288" w:lineRule="auto"/>
        <w:ind w:left="0"/>
        <w:jc w:val="left"/>
        <w:rPr>
          <w:rFonts w:hint="eastAsia" w:ascii="黑体" w:hAnsi="黑体" w:eastAsia="黑体" w:cs="黑体"/>
        </w:rPr>
      </w:pPr>
      <w:r>
        <w:rPr>
          <w:rFonts w:hint="eastAsia" w:ascii="黑体" w:hAnsi="黑体" w:eastAsia="黑体" w:cs="黑体"/>
          <w:sz w:val="22"/>
        </w:rPr>
        <w:t>代入数据计算：1559 ÷ 2223 × 100% ≈ 70.1%</w:t>
      </w:r>
    </w:p>
    <w:p w14:paraId="4D8BA5FA">
      <w:pPr>
        <w:spacing w:before="120" w:after="120" w:line="288" w:lineRule="auto"/>
        <w:ind w:left="0"/>
        <w:jc w:val="left"/>
        <w:rPr>
          <w:rFonts w:hint="eastAsia" w:ascii="黑体" w:hAnsi="黑体" w:eastAsia="黑体" w:cs="黑体"/>
        </w:rPr>
      </w:pPr>
      <w:r>
        <w:rPr>
          <w:rFonts w:hint="eastAsia" w:ascii="黑体" w:hAnsi="黑体" w:eastAsia="黑体" w:cs="黑体"/>
          <w:sz w:val="22"/>
        </w:rPr>
        <w:t>非灵活隔断的面积比例 = 1 - 70.1% = 29.9%</w:t>
      </w:r>
    </w:p>
    <w:bookmarkEnd w:id="8"/>
    <w:p w14:paraId="10C67DF8">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1CFF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686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0"/>
      <w:numFmt w:val="bullet"/>
      <w:lvlText w:val="•"/>
      <w:lvlJc w:val="left"/>
      <w:rPr>
        <w:color w:val="3370FF"/>
      </w:rPr>
    </w:lvl>
  </w:abstractNum>
  <w:abstractNum w:abstractNumId="1">
    <w:nsid w:val="CF092B84"/>
    <w:multiLevelType w:val="singleLevel"/>
    <w:tmpl w:val="CF092B84"/>
    <w:lvl w:ilvl="0" w:tentative="0">
      <w:start w:val="0"/>
      <w:numFmt w:val="bullet"/>
      <w:lvlText w:val="•"/>
      <w:lvlJc w:val="left"/>
      <w:rPr>
        <w:color w:val="3370FF"/>
      </w:rPr>
    </w:lvl>
  </w:abstractNum>
  <w:abstractNum w:abstractNumId="2">
    <w:nsid w:val="0053208E"/>
    <w:multiLevelType w:val="singleLevel"/>
    <w:tmpl w:val="0053208E"/>
    <w:lvl w:ilvl="0" w:tentative="0">
      <w:start w:val="0"/>
      <w:numFmt w:val="bullet"/>
      <w:lvlText w:val="•"/>
      <w:lvlJc w:val="left"/>
      <w:rPr>
        <w:color w:val="3370FF"/>
      </w:rPr>
    </w:lvl>
  </w:abstractNum>
  <w:abstractNum w:abstractNumId="3">
    <w:nsid w:val="59ADCABA"/>
    <w:multiLevelType w:val="singleLevel"/>
    <w:tmpl w:val="59ADCABA"/>
    <w:lvl w:ilvl="0" w:tentative="0">
      <w:start w:val="0"/>
      <w:numFmt w:val="bullet"/>
      <w:lvlText w:val="•"/>
      <w:lvlJc w:val="left"/>
      <w:rPr>
        <w:color w:val="3370FF"/>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splitPgBreakAndParaMark/>
    <w:compatSetting w:name="compatibilityMode" w:uri="http://schemas.microsoft.com/office/word" w:val="12"/>
  </w:compat>
  <w:rsids>
    <w:rsidRoot w:val="00000000"/>
    <w:rsid w:val="6DBC5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1298</Words>
  <Characters>1448</Characters>
  <TotalTime>0</TotalTime>
  <ScaleCrop>false</ScaleCrop>
  <LinksUpToDate>false</LinksUpToDate>
  <CharactersWithSpaces>1477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2026-03-09T12:02:00Z</dcterms:created>
  <dc:creator>Apache POI</dc:creator>
  <cp:lastModifiedBy>。</cp:lastModifiedBy>
  <dcterms:modified xsi:type="dcterms:W3CDTF">2026-03-09T12:03:10Z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eyJoZGlkIjoiMDMzNmJlNmRiYTJiZjdhYmVkYzg3MGQ3ZjJjYWU4ODMiLCJ1c2VySWQiOiI4MDYyNzIzOTcifQ==</vt:lpwstr>
  </property>
  <property fmtid="{D5CDD505-2E9C-101B-9397-08002B2CF9AE}" pid="3" name="KSOProductBuildVer">
    <vt:lpwstr>2052-12.1.0.24657</vt:lpwstr>
  </property>
  <property fmtid="{D5CDD505-2E9C-101B-9397-08002B2CF9AE}" pid="4" name="ICV">
    <vt:lpwstr>19DAAE315B884C78B84086672B88CC5D_12</vt:lpwstr>
  </property>
</Properties>
</file>