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清源流生·低耗轻筑绿色建筑设计创新及效益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“清源流生·低耗轻筑”是一套以轻量装配式、被动式节能、低碳材料、生态融合、文化转译为核心的绿色建筑体系，兼顾资源节约、生态保护、低碳减排与文化传承，其核心设计创新措施及社会、经济效益如下：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一、核心设计创新措施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（一）节约资源（四节一环保）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节能：被动式优先（优化朝向、窗墙比、遮阳、自然通风）+ 主动高效（高性能围护、三玻两腔Low‑E窗、高效热泵、新风热回收）+ 光伏一体化（BIPV），能耗较传统建筑降低70%–90%。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节水：雨水收集、中水回用、节水器具，水资源利用率提升30%–50%。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节材：全装配轻钢体系，构件工厂预制、现场螺栓连接，85%以上材料可回收，建筑垃圾减少60%+。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节地：集约布局、立体绿化、地下空间利用，提升土地综合效率。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环保：零甲醛/低VOC无机材料，保障室内空气健康。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（二）保护生态与降低碳排放</w:t>
      </w:r>
      <w:bookmarkEnd w:id="2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低碳建造：装配化施工减少现场湿作业与碳排放，全生命周期碳减排约75%。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生态融合：场地低影响开发、透水铺装、立体绿化、海绵城市设计，提升碳汇与生物多样性。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智能管控：IoT能耗监测、AI优化用能，实现近零能耗/产能建筑。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（三）传承历史文化</w:t>
      </w:r>
      <w:bookmarkEnd w:id="3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形式转译：提取传统建筑（如坡屋顶、斗拱、院落、冷巷）的空间与形态逻辑，用现代轻量技术重构。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材料在地化：优先选用本土可再生/再生材料，降低碳足迹并延续地域肌理。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空间精神：保留“天人合一”的院落、天井、通透布局，兼顾现代功能与传统意境。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二、社会效益</w:t>
      </w:r>
      <w:bookmarkEnd w:id="4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生态价值：显著降低建筑领域碳排放，助力“双碳”目标实现；减少施工及使用过程中的污染，保护生物多样性，改善区域微气候。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人居健康：采用零甲醛、低VOC材料，搭配被动式通风采光设计，实现高舒适、低噪音环境，提升居住及办公人员的健康水平。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文化传承：以现代建筑技术活化传统建筑智慧，让地域文化元素在当代建筑中延续，增强民众的文化认同与可持续发展意识。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行业示范：推动装配式、低碳、智能建造技术的普及应用，引领建筑行业向绿色化、现代化转型，提供可复制、可推广的实践样本。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" w:id="5"/>
      <w:r>
        <w:rPr>
          <w:rFonts w:eastAsia="等线" w:ascii="Arial" w:cs="Arial" w:hAnsi="Arial"/>
          <w:b w:val="true"/>
          <w:sz w:val="36"/>
        </w:rPr>
        <w:t>三、经济效益</w:t>
      </w:r>
      <w:bookmarkEnd w:id="5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运营成本：能耗较传统建筑降低70%–90%，年电费节省60%以上；结合节水设计与低维护材料，长期运营成本大幅下降。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建造效率：工厂预制构件+现场快速装配，工期较传统建筑缩短50%以上，有效降低人工成本与现场管理成本。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资产价值：绿色建筑属性可实现5%–15%的溢价，在租赁、销售环节具备更强的市场竞争力，提升建筑资产附加值。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循环经济：轻钢构件可拆解、迁移、重复利用，实现建筑全生命周期价值最大化，减少资源浪费。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政策红利：可享受国家及地方绿色建筑专项补贴、税收减免、容积率奖励等政策支持，降低项目综合成本。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100434">
    <w:lvl>
      <w:numFmt w:val="bullet"/>
      <w:suff w:val="tab"/>
      <w:lvlText w:val="•"/>
      <w:rPr>
        <w:color w:val="3370ff"/>
      </w:rPr>
    </w:lvl>
  </w:abstractNum>
  <w:abstractNum w:abstractNumId="12100435">
    <w:lvl>
      <w:numFmt w:val="bullet"/>
      <w:suff w:val="tab"/>
      <w:lvlText w:val="•"/>
      <w:rPr>
        <w:color w:val="3370ff"/>
      </w:rPr>
    </w:lvl>
  </w:abstractNum>
  <w:abstractNum w:abstractNumId="12100436">
    <w:lvl>
      <w:numFmt w:val="bullet"/>
      <w:suff w:val="tab"/>
      <w:lvlText w:val="•"/>
      <w:rPr>
        <w:color w:val="3370ff"/>
      </w:rPr>
    </w:lvl>
  </w:abstractNum>
  <w:abstractNum w:abstractNumId="12100437">
    <w:lvl>
      <w:numFmt w:val="bullet"/>
      <w:suff w:val="tab"/>
      <w:lvlText w:val="•"/>
      <w:rPr>
        <w:color w:val="3370ff"/>
      </w:rPr>
    </w:lvl>
  </w:abstractNum>
  <w:abstractNum w:abstractNumId="12100438">
    <w:lvl>
      <w:numFmt w:val="bullet"/>
      <w:suff w:val="tab"/>
      <w:lvlText w:val="•"/>
      <w:rPr>
        <w:color w:val="3370ff"/>
      </w:rPr>
    </w:lvl>
  </w:abstractNum>
  <w:abstractNum w:abstractNumId="12100439">
    <w:lvl>
      <w:numFmt w:val="bullet"/>
      <w:suff w:val="tab"/>
      <w:lvlText w:val="•"/>
      <w:rPr>
        <w:color w:val="3370ff"/>
      </w:rPr>
    </w:lvl>
  </w:abstractNum>
  <w:abstractNum w:abstractNumId="12100440">
    <w:lvl>
      <w:numFmt w:val="bullet"/>
      <w:suff w:val="tab"/>
      <w:lvlText w:val="•"/>
      <w:rPr>
        <w:color w:val="3370ff"/>
      </w:rPr>
    </w:lvl>
  </w:abstractNum>
  <w:abstractNum w:abstractNumId="12100441">
    <w:lvl>
      <w:numFmt w:val="bullet"/>
      <w:suff w:val="tab"/>
      <w:lvlText w:val="•"/>
      <w:rPr>
        <w:color w:val="3370ff"/>
      </w:rPr>
    </w:lvl>
  </w:abstractNum>
  <w:abstractNum w:abstractNumId="12100442">
    <w:lvl>
      <w:numFmt w:val="bullet"/>
      <w:suff w:val="tab"/>
      <w:lvlText w:val="•"/>
      <w:rPr>
        <w:color w:val="3370ff"/>
      </w:rPr>
    </w:lvl>
  </w:abstractNum>
  <w:abstractNum w:abstractNumId="12100443">
    <w:lvl>
      <w:numFmt w:val="bullet"/>
      <w:suff w:val="tab"/>
      <w:lvlText w:val="•"/>
      <w:rPr>
        <w:color w:val="3370ff"/>
      </w:rPr>
    </w:lvl>
  </w:abstractNum>
  <w:abstractNum w:abstractNumId="12100444">
    <w:lvl>
      <w:numFmt w:val="bullet"/>
      <w:suff w:val="tab"/>
      <w:lvlText w:val="•"/>
      <w:rPr>
        <w:color w:val="3370ff"/>
      </w:rPr>
    </w:lvl>
  </w:abstractNum>
  <w:abstractNum w:abstractNumId="12100445">
    <w:lvl>
      <w:numFmt w:val="bullet"/>
      <w:suff w:val="tab"/>
      <w:lvlText w:val="•"/>
      <w:rPr>
        <w:color w:val="3370ff"/>
      </w:rPr>
    </w:lvl>
  </w:abstractNum>
  <w:abstractNum w:abstractNumId="12100446">
    <w:lvl>
      <w:numFmt w:val="bullet"/>
      <w:suff w:val="tab"/>
      <w:lvlText w:val="•"/>
      <w:rPr>
        <w:color w:val="3370ff"/>
      </w:rPr>
    </w:lvl>
  </w:abstractNum>
  <w:abstractNum w:abstractNumId="12100447">
    <w:lvl>
      <w:numFmt w:val="bullet"/>
      <w:suff w:val="tab"/>
      <w:lvlText w:val="•"/>
      <w:rPr>
        <w:color w:val="3370ff"/>
      </w:rPr>
    </w:lvl>
  </w:abstractNum>
  <w:abstractNum w:abstractNumId="12100448">
    <w:lvl>
      <w:numFmt w:val="bullet"/>
      <w:suff w:val="tab"/>
      <w:lvlText w:val="•"/>
      <w:rPr>
        <w:color w:val="3370ff"/>
      </w:rPr>
    </w:lvl>
  </w:abstractNum>
  <w:abstractNum w:abstractNumId="12100449">
    <w:lvl>
      <w:numFmt w:val="bullet"/>
      <w:suff w:val="tab"/>
      <w:lvlText w:val="•"/>
      <w:rPr>
        <w:color w:val="3370ff"/>
      </w:rPr>
    </w:lvl>
  </w:abstractNum>
  <w:abstractNum w:abstractNumId="12100450">
    <w:lvl>
      <w:numFmt w:val="bullet"/>
      <w:suff w:val="tab"/>
      <w:lvlText w:val="•"/>
      <w:rPr>
        <w:color w:val="3370ff"/>
      </w:rPr>
    </w:lvl>
  </w:abstractNum>
  <w:abstractNum w:abstractNumId="12100451">
    <w:lvl>
      <w:numFmt w:val="bullet"/>
      <w:suff w:val="tab"/>
      <w:lvlText w:val="•"/>
      <w:rPr>
        <w:color w:val="3370ff"/>
      </w:rPr>
    </w:lvl>
  </w:abstractNum>
  <w:abstractNum w:abstractNumId="12100452">
    <w:lvl>
      <w:numFmt w:val="bullet"/>
      <w:suff w:val="tab"/>
      <w:lvlText w:val="•"/>
      <w:rPr>
        <w:color w:val="3370ff"/>
      </w:rPr>
    </w:lvl>
  </w:abstractNum>
  <w:abstractNum w:abstractNumId="12100453">
    <w:lvl>
      <w:numFmt w:val="bullet"/>
      <w:suff w:val="tab"/>
      <w:lvlText w:val="•"/>
      <w:rPr>
        <w:color w:val="3370ff"/>
      </w:rPr>
    </w:lvl>
  </w:abstractNum>
  <w:num w:numId="1">
    <w:abstractNumId w:val="12100434"/>
  </w:num>
  <w:num w:numId="2">
    <w:abstractNumId w:val="12100435"/>
  </w:num>
  <w:num w:numId="3">
    <w:abstractNumId w:val="12100436"/>
  </w:num>
  <w:num w:numId="4">
    <w:abstractNumId w:val="12100437"/>
  </w:num>
  <w:num w:numId="5">
    <w:abstractNumId w:val="12100438"/>
  </w:num>
  <w:num w:numId="6">
    <w:abstractNumId w:val="12100439"/>
  </w:num>
  <w:num w:numId="7">
    <w:abstractNumId w:val="12100440"/>
  </w:num>
  <w:num w:numId="8">
    <w:abstractNumId w:val="12100441"/>
  </w:num>
  <w:num w:numId="9">
    <w:abstractNumId w:val="12100442"/>
  </w:num>
  <w:num w:numId="10">
    <w:abstractNumId w:val="12100443"/>
  </w:num>
  <w:num w:numId="11">
    <w:abstractNumId w:val="12100444"/>
  </w:num>
  <w:num w:numId="12">
    <w:abstractNumId w:val="12100445"/>
  </w:num>
  <w:num w:numId="13">
    <w:abstractNumId w:val="12100446"/>
  </w:num>
  <w:num w:numId="14">
    <w:abstractNumId w:val="12100447"/>
  </w:num>
  <w:num w:numId="15">
    <w:abstractNumId w:val="12100448"/>
  </w:num>
  <w:num w:numId="16">
    <w:abstractNumId w:val="12100449"/>
  </w:num>
  <w:num w:numId="17">
    <w:abstractNumId w:val="12100450"/>
  </w:num>
  <w:num w:numId="18">
    <w:abstractNumId w:val="12100451"/>
  </w:num>
  <w:num w:numId="19">
    <w:abstractNumId w:val="12100452"/>
  </w:num>
  <w:num w:numId="20">
    <w:abstractNumId w:val="1210045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2026-03-20T03:00:09Z</dcterms:created>
  <dc:creator>Apache POI</dc:creator>
</cp:coreProperties>
</file>