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E92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7A2C1D93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99A47F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6C3485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B152ABB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639BDE7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386526A4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1DCBFBB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407CDC71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94925BA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0E6F85EF">
      <w:pPr>
        <w:rPr>
          <w:rFonts w:ascii="Times New Roman" w:hAnsi="Times New Roman" w:eastAsia="Times New Roman" w:cs="Times New Roman"/>
          <w:sz w:val="20"/>
          <w:szCs w:val="20"/>
        </w:rPr>
      </w:pPr>
    </w:p>
    <w:p w14:paraId="29218925">
      <w:pPr>
        <w:spacing w:before="10"/>
        <w:rPr>
          <w:rFonts w:ascii="Times New Roman" w:hAnsi="Times New Roman" w:eastAsia="Times New Roman" w:cs="Times New Roman"/>
          <w:sz w:val="18"/>
          <w:szCs w:val="18"/>
        </w:rPr>
      </w:pPr>
    </w:p>
    <w:p w14:paraId="7D10E7EC">
      <w:pPr>
        <w:pStyle w:val="2"/>
        <w:jc w:val="center"/>
        <w:rPr>
          <w:rFonts w:hint="eastAsia" w:ascii="Times New Roman" w:hAnsi="Times New Roman" w:eastAsiaTheme="minorEastAsia"/>
          <w:sz w:val="36"/>
          <w:szCs w:val="36"/>
          <w:lang w:eastAsia="zh-CN"/>
        </w:rPr>
        <w:sectPr>
          <w:type w:val="continuous"/>
          <w:pgSz w:w="11910" w:h="16850"/>
          <w:pgMar w:top="1600" w:right="1680" w:bottom="280" w:left="1680" w:header="720" w:footer="720" w:gutter="0"/>
          <w:cols w:space="720" w:num="1"/>
        </w:sectPr>
      </w:pPr>
      <w:r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16320846">
      <w:pPr>
        <w:pStyle w:val="2"/>
        <w:rPr>
          <w:rFonts w:ascii="Times New Roman" w:hAnsi="Times New Roman" w:eastAsiaTheme="minorEastAsia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1.</w:t>
      </w:r>
      <w:r>
        <w:rPr>
          <w:rFonts w:hint="eastAsia" w:ascii="Times New Roman" w:hAnsi="Times New Roman"/>
          <w:sz w:val="32"/>
          <w:szCs w:val="32"/>
          <w:lang w:eastAsia="zh-CN"/>
        </w:rPr>
        <w:t>计算概述</w:t>
      </w:r>
    </w:p>
    <w:p w14:paraId="017608B3">
      <w:pPr>
        <w:pStyle w:val="2"/>
        <w:rPr>
          <w:rFonts w:hint="eastAsia" w:ascii="Times New Roman" w:hAnsi="Times New Roman" w:cs="Times New Roman" w:eastAsiaTheme="minorEastAsia"/>
          <w:lang w:eastAsia="zh-CN"/>
        </w:rPr>
      </w:pPr>
    </w:p>
    <w:p w14:paraId="6A98458F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</w:rPr>
      </w:pPr>
      <w:r>
        <w:rPr>
          <w:rStyle w:val="7"/>
          <w:rFonts w:hint="eastAsia" w:ascii="Times New Roman" w:hAnsi="Times New Roman"/>
          <w:sz w:val="28"/>
          <w:szCs w:val="28"/>
          <w:lang w:eastAsia="zh-CN"/>
        </w:rPr>
        <w:t>1.1.项目概况</w:t>
      </w:r>
    </w:p>
    <w:p w14:paraId="565D57F1">
      <w:pPr>
        <w:tabs>
          <w:tab w:val="left" w:pos="605"/>
        </w:tabs>
        <w:rPr>
          <w:rFonts w:hint="eastAsia" w:ascii="Times New Roman" w:hAnsi="Times New Roman" w:eastAsia="Times New Roman" w:cs="Times New Roman"/>
          <w:sz w:val="20"/>
          <w:szCs w:val="20"/>
          <w:lang w:eastAsia="zh-CN"/>
        </w:rPr>
      </w:pPr>
    </w:p>
    <w:p w14:paraId="5C681B58"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项目立足地域气候特征，以 “建筑融于自然” 为核心，打造垂直生态人居标杆。建筑采用层层退台、空中庭院模块化设计，构建立体绿化系统，实现户户拥绿、楼楼藏景，有效缓解城市热岛效应，营造自然宜居的居住氛围。</w:t>
      </w:r>
    </w:p>
    <w:p w14:paraId="51AFC4F1"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结合区域气候与日照条件，通过优化建筑朝向、被动式通风等设计，兼顾节能与居住舒适度。同时，整合住宅、商业及公共服务空间，规划合理交通流线与社区交往场景，构建 15 分钟便捷生活圈。</w:t>
      </w:r>
    </w:p>
    <w:p w14:paraId="5EDB0756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t>项目以立体森林为载体，推动建筑与生态、人文的深度融合，打造兼具生态价值、生活品质与城市活力的新一代人居地标，为城市绿色宜居发展提供全新样本。</w:t>
      </w:r>
    </w:p>
    <w:p w14:paraId="3087A7ED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1.2.计算目的</w:t>
      </w:r>
    </w:p>
    <w:p w14:paraId="6F8E35E7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21E19659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判断本项目是否满足《绿色建筑评价标准》GB/T50378-2019第4.2.6条“采取提升建筑适变性的措施”。</w:t>
      </w:r>
    </w:p>
    <w:p w14:paraId="44EDB8D6">
      <w:pPr>
        <w:tabs>
          <w:tab w:val="left" w:pos="290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7922F136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1.3.计算依据</w:t>
      </w:r>
    </w:p>
    <w:p w14:paraId="28714535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627A5C8A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7EE436DA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51CC3D43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518A6A97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2.计算分析</w:t>
      </w:r>
    </w:p>
    <w:p w14:paraId="7A2ED7AF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7A078B8A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2.1.可变换功能的室内空间</w:t>
      </w:r>
    </w:p>
    <w:p w14:paraId="3AD8A5D8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76030C7D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hint="eastAsia" w:ascii="Times New Roman" w:hAnsi="Times New Roman" w:cs="宋体"/>
          <w:sz w:val="21"/>
          <w:szCs w:val="21"/>
          <w:lang w:eastAsia="zh-CN"/>
        </w:rPr>
        <w:pict>
          <v:shape id="_x0000_s1027" o:spid="_x0000_s1027" o:spt="32" type="#_x0000_t32" style="position:absolute;left:0pt;margin-left:7.45pt;margin-top:41pt;height:12.75pt;width:106.85pt;z-index:25165926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709"/>
        <w:gridCol w:w="709"/>
        <w:gridCol w:w="709"/>
        <w:gridCol w:w="850"/>
        <w:gridCol w:w="851"/>
        <w:gridCol w:w="708"/>
        <w:gridCol w:w="851"/>
        <w:gridCol w:w="709"/>
      </w:tblGrid>
      <w:tr w14:paraId="71842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0A3E19D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4D2C34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4EC43CA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5E95178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0" w:type="dxa"/>
            <w:vAlign w:val="center"/>
          </w:tcPr>
          <w:p w14:paraId="0085D44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10CE765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5F17E02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537A86C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380C86EC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 w14:paraId="69701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2BFE431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建筑面积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㎡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7642AF16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1240</w:t>
            </w:r>
          </w:p>
        </w:tc>
        <w:tc>
          <w:tcPr>
            <w:tcW w:w="709" w:type="dxa"/>
            <w:vAlign w:val="center"/>
          </w:tcPr>
          <w:p w14:paraId="2FFF400D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1240</w:t>
            </w:r>
          </w:p>
        </w:tc>
        <w:tc>
          <w:tcPr>
            <w:tcW w:w="709" w:type="dxa"/>
            <w:vAlign w:val="center"/>
          </w:tcPr>
          <w:p w14:paraId="32886ED9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1240</w:t>
            </w:r>
          </w:p>
        </w:tc>
        <w:tc>
          <w:tcPr>
            <w:tcW w:w="850" w:type="dxa"/>
            <w:vAlign w:val="center"/>
          </w:tcPr>
          <w:p w14:paraId="496028B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1240</w:t>
            </w:r>
          </w:p>
        </w:tc>
        <w:tc>
          <w:tcPr>
            <w:tcW w:w="851" w:type="dxa"/>
            <w:vAlign w:val="center"/>
          </w:tcPr>
          <w:p w14:paraId="4FD1CCF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1240</w:t>
            </w:r>
          </w:p>
        </w:tc>
        <w:tc>
          <w:tcPr>
            <w:tcW w:w="708" w:type="dxa"/>
            <w:vAlign w:val="center"/>
          </w:tcPr>
          <w:p w14:paraId="02ACB96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1240</w:t>
            </w:r>
          </w:p>
        </w:tc>
        <w:tc>
          <w:tcPr>
            <w:tcW w:w="851" w:type="dxa"/>
            <w:vAlign w:val="center"/>
          </w:tcPr>
          <w:p w14:paraId="33BB7EE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1240</w:t>
            </w:r>
          </w:p>
        </w:tc>
        <w:tc>
          <w:tcPr>
            <w:tcW w:w="709" w:type="dxa"/>
            <w:vAlign w:val="center"/>
          </w:tcPr>
          <w:p w14:paraId="0FBB6E02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1240</w:t>
            </w:r>
          </w:p>
        </w:tc>
      </w:tr>
      <w:tr w14:paraId="71BA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27E6C4E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不可变换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5DFE11A4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314</w:t>
            </w:r>
          </w:p>
        </w:tc>
        <w:tc>
          <w:tcPr>
            <w:tcW w:w="709" w:type="dxa"/>
            <w:vAlign w:val="center"/>
          </w:tcPr>
          <w:p w14:paraId="3837A882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709" w:type="dxa"/>
            <w:vAlign w:val="center"/>
          </w:tcPr>
          <w:p w14:paraId="7687EA1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850" w:type="dxa"/>
            <w:vAlign w:val="center"/>
          </w:tcPr>
          <w:p w14:paraId="45BCBDD5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851" w:type="dxa"/>
            <w:vAlign w:val="center"/>
          </w:tcPr>
          <w:p w14:paraId="1ACD62E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708" w:type="dxa"/>
            <w:vAlign w:val="center"/>
          </w:tcPr>
          <w:p w14:paraId="6E79BC52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851" w:type="dxa"/>
            <w:vAlign w:val="center"/>
          </w:tcPr>
          <w:p w14:paraId="2C0FD7E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264</w:t>
            </w:r>
          </w:p>
        </w:tc>
        <w:tc>
          <w:tcPr>
            <w:tcW w:w="709" w:type="dxa"/>
            <w:vAlign w:val="center"/>
          </w:tcPr>
          <w:p w14:paraId="48D948B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264</w:t>
            </w:r>
          </w:p>
        </w:tc>
      </w:tr>
      <w:tr w14:paraId="0986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7" w:type="dxa"/>
            <w:vAlign w:val="center"/>
          </w:tcPr>
          <w:p w14:paraId="3056BFF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48507116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09" w:type="dxa"/>
            <w:vAlign w:val="center"/>
          </w:tcPr>
          <w:p w14:paraId="36EECA6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34439C69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0" w:type="dxa"/>
            <w:vAlign w:val="center"/>
          </w:tcPr>
          <w:p w14:paraId="3355046C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1" w:type="dxa"/>
            <w:vAlign w:val="center"/>
          </w:tcPr>
          <w:p w14:paraId="14442C8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8" w:type="dxa"/>
            <w:vAlign w:val="center"/>
          </w:tcPr>
          <w:p w14:paraId="6FEF0D87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851" w:type="dxa"/>
            <w:vAlign w:val="center"/>
          </w:tcPr>
          <w:p w14:paraId="42454CE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09" w:type="dxa"/>
            <w:vAlign w:val="center"/>
          </w:tcPr>
          <w:p w14:paraId="7B88E28B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6</w:t>
            </w:r>
          </w:p>
        </w:tc>
      </w:tr>
      <w:tr w14:paraId="5D49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5" w:type="dxa"/>
            <w:gridSpan w:val="3"/>
            <w:vAlign w:val="center"/>
          </w:tcPr>
          <w:p w14:paraId="1B2084F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可变换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总计(㎡)</w:t>
            </w:r>
          </w:p>
        </w:tc>
        <w:tc>
          <w:tcPr>
            <w:tcW w:w="4678" w:type="dxa"/>
            <w:gridSpan w:val="6"/>
            <w:vAlign w:val="center"/>
          </w:tcPr>
          <w:p w14:paraId="7E02E36E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7408</w:t>
            </w:r>
          </w:p>
        </w:tc>
      </w:tr>
    </w:tbl>
    <w:p w14:paraId="3FD0CD19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1E032EDA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4BC4DE47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7F22AC34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2.2.灵活隔断的室内空间</w:t>
      </w:r>
    </w:p>
    <w:p w14:paraId="33355BA0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0A30426A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9"/>
        <w:gridCol w:w="851"/>
        <w:gridCol w:w="708"/>
        <w:gridCol w:w="709"/>
        <w:gridCol w:w="709"/>
        <w:gridCol w:w="709"/>
        <w:gridCol w:w="708"/>
        <w:gridCol w:w="720"/>
      </w:tblGrid>
      <w:tr w14:paraId="4E20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0BB7FFF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 w14:paraId="08E239B1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33CA2114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64AADBF8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43A6E11E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7AE38A3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1FF247CF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6E40697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20" w:type="dxa"/>
            <w:vAlign w:val="center"/>
          </w:tcPr>
          <w:p w14:paraId="7019B933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层</w:t>
            </w:r>
          </w:p>
        </w:tc>
      </w:tr>
      <w:tr w14:paraId="0A34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7A4C19D2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采用</w:t>
            </w:r>
            <w:r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(㎡)</w:t>
            </w:r>
          </w:p>
        </w:tc>
        <w:tc>
          <w:tcPr>
            <w:tcW w:w="709" w:type="dxa"/>
            <w:vAlign w:val="center"/>
          </w:tcPr>
          <w:p w14:paraId="5D36B590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14:paraId="458F4406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666</w:t>
            </w:r>
          </w:p>
        </w:tc>
        <w:tc>
          <w:tcPr>
            <w:tcW w:w="708" w:type="dxa"/>
            <w:vAlign w:val="center"/>
          </w:tcPr>
          <w:p w14:paraId="164555B6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666</w:t>
            </w:r>
          </w:p>
        </w:tc>
        <w:tc>
          <w:tcPr>
            <w:tcW w:w="709" w:type="dxa"/>
            <w:vAlign w:val="center"/>
          </w:tcPr>
          <w:p w14:paraId="460A6749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666</w:t>
            </w:r>
          </w:p>
        </w:tc>
        <w:tc>
          <w:tcPr>
            <w:tcW w:w="709" w:type="dxa"/>
            <w:vAlign w:val="center"/>
          </w:tcPr>
          <w:p w14:paraId="6B415A0B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666</w:t>
            </w:r>
          </w:p>
        </w:tc>
        <w:tc>
          <w:tcPr>
            <w:tcW w:w="709" w:type="dxa"/>
            <w:vAlign w:val="center"/>
          </w:tcPr>
          <w:p w14:paraId="1FCB59C5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666</w:t>
            </w:r>
          </w:p>
        </w:tc>
        <w:tc>
          <w:tcPr>
            <w:tcW w:w="708" w:type="dxa"/>
            <w:vAlign w:val="center"/>
          </w:tcPr>
          <w:p w14:paraId="301760A2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666</w:t>
            </w:r>
          </w:p>
        </w:tc>
        <w:tc>
          <w:tcPr>
            <w:tcW w:w="720" w:type="dxa"/>
            <w:vAlign w:val="center"/>
          </w:tcPr>
          <w:p w14:paraId="00889CC0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666</w:t>
            </w:r>
          </w:p>
        </w:tc>
      </w:tr>
      <w:tr w14:paraId="0D0B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3" w:type="dxa"/>
            <w:vAlign w:val="center"/>
          </w:tcPr>
          <w:p w14:paraId="76703E6D">
            <w:pPr>
              <w:tabs>
                <w:tab w:val="left" w:pos="605"/>
              </w:tabs>
              <w:jc w:val="center"/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eastAsia="zh-CN"/>
              </w:rPr>
              <w:t>合计(㎡)</w:t>
            </w:r>
          </w:p>
        </w:tc>
        <w:tc>
          <w:tcPr>
            <w:tcW w:w="5823" w:type="dxa"/>
            <w:gridSpan w:val="8"/>
            <w:vAlign w:val="center"/>
          </w:tcPr>
          <w:p w14:paraId="18E1B17D">
            <w:pPr>
              <w:tabs>
                <w:tab w:val="left" w:pos="605"/>
              </w:tabs>
              <w:jc w:val="center"/>
              <w:rPr>
                <w:rFonts w:hint="default" w:ascii="Times New Roman" w:hAnsi="Times New Roman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4662</w:t>
            </w:r>
          </w:p>
        </w:tc>
      </w:tr>
    </w:tbl>
    <w:p w14:paraId="15B53327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</w:p>
    <w:p w14:paraId="3A4E2878">
      <w:pPr>
        <w:tabs>
          <w:tab w:val="left" w:pos="605"/>
        </w:tabs>
        <w:rPr>
          <w:rStyle w:val="7"/>
          <w:rFonts w:ascii="Times New Roman" w:hAnsi="Times New Roman"/>
          <w:sz w:val="28"/>
          <w:szCs w:val="28"/>
          <w:lang w:eastAsia="zh-CN"/>
        </w:rPr>
      </w:pPr>
      <w:r>
        <w:rPr>
          <w:rStyle w:val="7"/>
          <w:rFonts w:ascii="Times New Roman" w:hAnsi="Times New Roman"/>
          <w:sz w:val="28"/>
          <w:szCs w:val="28"/>
          <w:lang w:eastAsia="zh-CN"/>
        </w:rPr>
        <w:t>2.3.灵活隔断的面积比例</w:t>
      </w:r>
    </w:p>
    <w:p w14:paraId="6CA3D093">
      <w:pPr>
        <w:tabs>
          <w:tab w:val="left" w:pos="605"/>
        </w:tabs>
        <w:rPr>
          <w:rStyle w:val="7"/>
          <w:rFonts w:hint="eastAsia" w:ascii="Times New Roman" w:hAnsi="Times New Roman"/>
          <w:sz w:val="28"/>
          <w:szCs w:val="28"/>
          <w:lang w:eastAsia="zh-CN"/>
        </w:rPr>
      </w:pPr>
    </w:p>
    <w:p w14:paraId="47B2C07C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灵活隔断的面积比例=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4662</w:t>
      </w:r>
      <w:r>
        <w:rPr>
          <w:rFonts w:ascii="Times New Roman" w:hAnsi="Times New Roman" w:cs="宋体"/>
          <w:sz w:val="21"/>
          <w:szCs w:val="21"/>
          <w:lang w:eastAsia="zh-CN"/>
        </w:rPr>
        <w:t>/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7408</w:t>
      </w:r>
      <w:r>
        <w:rPr>
          <w:rFonts w:ascii="Times New Roman" w:hAnsi="Times New Roman" w:cs="宋体"/>
          <w:sz w:val="21"/>
          <w:szCs w:val="21"/>
          <w:lang w:eastAsia="zh-CN"/>
        </w:rPr>
        <w:t>×100%=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62.9</w:t>
      </w:r>
      <w:r>
        <w:rPr>
          <w:rFonts w:ascii="Times New Roman" w:hAnsi="Times New Roman" w:cs="宋体"/>
          <w:sz w:val="21"/>
          <w:szCs w:val="21"/>
          <w:lang w:eastAsia="zh-CN"/>
        </w:rPr>
        <w:t>%；</w:t>
      </w:r>
    </w:p>
    <w:p w14:paraId="71658B50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非灵活隔断的面积比例=1-6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2.9</w:t>
      </w:r>
      <w:r>
        <w:rPr>
          <w:rFonts w:ascii="Times New Roman" w:hAnsi="Times New Roman" w:cs="宋体"/>
          <w:sz w:val="21"/>
          <w:szCs w:val="21"/>
          <w:lang w:eastAsia="zh-CN"/>
        </w:rPr>
        <w:t>%=</w:t>
      </w:r>
      <w:r>
        <w:rPr>
          <w:rFonts w:hint="eastAsia" w:ascii="Times New Roman" w:hAnsi="Times New Roman" w:cs="宋体"/>
          <w:sz w:val="21"/>
          <w:szCs w:val="21"/>
          <w:lang w:val="en-US" w:eastAsia="zh-CN"/>
        </w:rPr>
        <w:t>37.1</w:t>
      </w:r>
      <w:bookmarkStart w:id="0" w:name="_GoBack"/>
      <w:bookmarkEnd w:id="0"/>
      <w:r>
        <w:rPr>
          <w:rFonts w:ascii="Times New Roman" w:hAnsi="Times New Roman" w:cs="宋体"/>
          <w:sz w:val="21"/>
          <w:szCs w:val="21"/>
          <w:lang w:eastAsia="zh-CN"/>
        </w:rPr>
        <w:t>%。</w:t>
      </w:r>
    </w:p>
    <w:p w14:paraId="220800FB">
      <w:pPr>
        <w:tabs>
          <w:tab w:val="left" w:pos="605"/>
        </w:tabs>
        <w:spacing w:line="360" w:lineRule="auto"/>
        <w:ind w:firstLine="420" w:firstLineChars="200"/>
        <w:rPr>
          <w:rFonts w:ascii="Times New Roman" w:hAnsi="Times New Roman" w:cs="宋体"/>
          <w:sz w:val="21"/>
          <w:szCs w:val="21"/>
          <w:lang w:eastAsia="zh-CN"/>
        </w:rPr>
      </w:pPr>
    </w:p>
    <w:p w14:paraId="62982A45">
      <w:pPr>
        <w:pStyle w:val="2"/>
        <w:rPr>
          <w:rFonts w:ascii="Times New Roman" w:hAnsi="Times New Roman" w:cs="Times New Roman" w:eastAsiaTheme="minorEastAsia"/>
          <w:sz w:val="32"/>
          <w:szCs w:val="32"/>
          <w:lang w:eastAsia="zh-CN"/>
        </w:rPr>
      </w:pPr>
      <w:r>
        <w:rPr>
          <w:rFonts w:ascii="Times New Roman" w:hAnsi="Times New Roman" w:cs="Times New Roman"/>
          <w:sz w:val="32"/>
          <w:szCs w:val="32"/>
          <w:lang w:eastAsia="zh-CN"/>
        </w:rPr>
        <w:t>3.结论</w:t>
      </w:r>
    </w:p>
    <w:p w14:paraId="16820A25">
      <w:pPr>
        <w:pStyle w:val="2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p w14:paraId="42A9804C">
      <w:pPr>
        <w:tabs>
          <w:tab w:val="left" w:pos="605"/>
        </w:tabs>
        <w:spacing w:line="360" w:lineRule="auto"/>
        <w:ind w:firstLine="420" w:firstLineChars="200"/>
        <w:rPr>
          <w:rFonts w:hint="eastAsia"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sz w:val="21"/>
          <w:szCs w:val="21"/>
          <w:lang w:eastAsia="zh-CN"/>
        </w:rPr>
        <w:t>针对《绿色建筑评价标准》GB50378-2019的第4.2.6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条</w:t>
      </w:r>
      <w:r>
        <w:rPr>
          <w:rFonts w:ascii="Times New Roman" w:hAnsi="Times New Roman" w:cs="宋体"/>
          <w:sz w:val="21"/>
          <w:szCs w:val="21"/>
          <w:lang w:eastAsia="zh-CN"/>
        </w:rPr>
        <w:t>“采取提升建筑适变性的措施，评价总分值为18分”</w:t>
      </w:r>
      <w:r>
        <w:rPr>
          <w:rFonts w:hint="eastAsia" w:ascii="Times New Roman" w:hAnsi="Times New Roman" w:cs="宋体"/>
          <w:sz w:val="21"/>
          <w:szCs w:val="21"/>
          <w:lang w:eastAsia="zh-CN"/>
        </w:rPr>
        <w:t>，</w:t>
      </w:r>
      <w:r>
        <w:rPr>
          <w:rFonts w:ascii="Times New Roman" w:hAnsi="Times New Roman" w:cs="宋体"/>
          <w:sz w:val="21"/>
          <w:szCs w:val="21"/>
          <w:lang w:eastAsia="zh-CN"/>
        </w:rPr>
        <w:t>满足第一点“采取通用开放、灵活可变的使用空间设计，或采取建筑使用功能可变措施，得7分”。该评分项可得7分。</w:t>
      </w:r>
    </w:p>
    <w:sectPr>
      <w:pgSz w:w="11910" w:h="16850"/>
      <w:pgMar w:top="14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40C34"/>
    <w:rsid w:val="00022519"/>
    <w:rsid w:val="00897ADE"/>
    <w:rsid w:val="00900B4A"/>
    <w:rsid w:val="00E40C34"/>
    <w:rsid w:val="3155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7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outlineLvl w:val="0"/>
    </w:pPr>
    <w:rPr>
      <w:rFonts w:ascii="Microsoft JhengHei" w:hAnsi="Microsoft JhengHei" w:eastAsia="Microsoft JhengHe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"/>
      <w:ind w:left="120"/>
    </w:pPr>
    <w:rPr>
      <w:rFonts w:ascii="宋体" w:hAnsi="宋体" w:eastAsia="宋体"/>
      <w:sz w:val="23"/>
      <w:szCs w:val="23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BC3A2E-A9D9-4CEE-89E0-DF0EBB613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811</Words>
  <Characters>1046</Characters>
  <Lines>8</Lines>
  <Paragraphs>2</Paragraphs>
  <TotalTime>10</TotalTime>
  <ScaleCrop>false</ScaleCrop>
  <LinksUpToDate>false</LinksUpToDate>
  <CharactersWithSpaces>1046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2020-01-09T09:42:00Z</dcterms:created>
  <dc:creator>金晶</dc:creator>
  <cp:lastModifiedBy>陈科旭</cp:lastModifiedBy>
  <dcterms:modified xsi:type="dcterms:W3CDTF">2026-03-24T12:02:20Z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  <property fmtid="{D5CDD505-2E9C-101B-9397-08002B2CF9AE}" pid="4" name="KSOTemplateDocerSaveRecord">
    <vt:lpwstr>eyJoZGlkIjoiNjlkZTRiODlhYTVhN2ZmYzFjYTc4YjNmOGVjNmYxODMiLCJ1c2VySWQiOiIxNTIxNDM1MjMzIn0=</vt:lpwstr>
  </property>
  <property fmtid="{D5CDD505-2E9C-101B-9397-08002B2CF9AE}" pid="5" name="KSOProductBuildVer">
    <vt:lpwstr>2052-12.1.0.19302</vt:lpwstr>
  </property>
  <property fmtid="{D5CDD505-2E9C-101B-9397-08002B2CF9AE}" pid="6" name="ICV">
    <vt:lpwstr>47662C8CD0B94763B944C1E33868FB48_12</vt:lpwstr>
  </property>
</Properties>
</file>