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99F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8AE451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627998E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72D5D4E3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3BB762C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9F13A6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53F8CFE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658788C3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554F2444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3378DDFD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4B44AF79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3F18A769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282E1AD6">
      <w:pPr>
        <w:pStyle w:val="4"/>
        <w:ind w:left="338"/>
        <w:rPr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val="en-US" w:eastAsia="zh-CN"/>
        </w:rPr>
        <w:t>绿屿叠院-立体森林人居新地标</w:t>
      </w:r>
      <w:r>
        <w:rPr>
          <w:u w:val="single"/>
          <w:lang w:eastAsia="zh-CN"/>
        </w:rPr>
        <w:t xml:space="preserve"> </w:t>
      </w:r>
    </w:p>
    <w:p w14:paraId="3EF0C2D6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4BCBDDE3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35E910C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DA8E348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66B09D5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06DCDE4D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26FBE412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787AD013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6868EEC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2A18FB9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0348013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7D0C05A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79EF8CE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634585B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76ADB107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7785B2F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E089ED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55DF0B8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3DDC6DE7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22CEDD13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35A6E346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70B651E8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6805540B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CA03AB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E099BED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DFE72B9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3807E534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>长春市的“洋浦大街—吉林大路”交叉口，位于长春经开区与二道区交界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27936</w:t>
      </w:r>
      <w:r>
        <w:rPr>
          <w:spacing w:val="4"/>
          <w:lang w:eastAsia="zh-CN"/>
        </w:rPr>
        <w:t>平方米，建筑面积为</w:t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40295</w:t>
      </w:r>
      <w:r>
        <w:rPr>
          <w:spacing w:val="-1"/>
          <w:lang w:eastAsia="zh-CN"/>
        </w:rPr>
        <w:t>平方米，总户数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119户</w:t>
      </w:r>
      <w:r>
        <w:rPr>
          <w:lang w:eastAsia="zh-CN"/>
        </w:rPr>
        <w:t>，总人数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357</w:t>
      </w:r>
      <w:r>
        <w:rPr>
          <w:u w:val="single" w:color="000000"/>
          <w:lang w:eastAsia="zh-CN"/>
        </w:rPr>
        <w:t>人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17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/>
          <w:lang w:eastAsia="zh-CN"/>
        </w:rPr>
        <w:t>40227.84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/>
          <w:lang w:eastAsia="zh-CN"/>
        </w:rPr>
        <w:t>67.16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18ED6E02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1B78AD5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0315731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982266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C70A71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D7661A8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hint="eastAsia" w:cs="宋体"/>
          <w:b/>
          <w:bCs/>
          <w:u w:val="single"/>
          <w:lang w:val="en-US" w:eastAsia="zh-CN"/>
        </w:rPr>
        <w:t>98</w:t>
      </w:r>
      <w:r>
        <w:rPr>
          <w:rFonts w:hint="eastAsia" w:cs="宋体"/>
          <w:bCs/>
          <w:u w:val="single"/>
          <w:lang w:eastAsia="zh-CN"/>
        </w:rPr>
        <w:t>米</w:t>
      </w:r>
    </w:p>
    <w:p w14:paraId="1C39054C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hint="eastAsia" w:cs="宋体"/>
          <w:b/>
          <w:bCs/>
          <w:u w:val="single"/>
          <w:lang w:val="en-US" w:eastAsia="zh-CN"/>
        </w:rPr>
        <w:t>161</w:t>
      </w:r>
      <w:r>
        <w:rPr>
          <w:rFonts w:hint="eastAsia" w:cs="宋体"/>
          <w:bCs/>
          <w:u w:val="single"/>
          <w:lang w:eastAsia="zh-CN"/>
        </w:rPr>
        <w:t>米</w:t>
      </w:r>
    </w:p>
    <w:p w14:paraId="6E7C4449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6171EA23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7A5DECE8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rFonts w:hint="eastAsia"/>
          <w:w w:val="95"/>
          <w:u w:val="single"/>
          <w:lang w:val="en-US" w:eastAsia="zh-CN"/>
        </w:rPr>
        <w:t>万豪SOHO-花半里观影精品酒店</w:t>
      </w:r>
      <w:r>
        <w:rPr>
          <w:b w:val="0"/>
          <w:w w:val="95"/>
          <w:u w:val="single"/>
          <w:lang w:eastAsia="zh-CN"/>
        </w:rPr>
        <w:t xml:space="preserve">                  </w:t>
      </w:r>
    </w:p>
    <w:p w14:paraId="2A0607BE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rFonts w:hint="eastAsia"/>
          <w:w w:val="95"/>
          <w:u w:val="single"/>
          <w:lang w:val="en-US" w:eastAsia="zh-CN"/>
        </w:rPr>
        <w:t>花半里观影精品酒店-中国广电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07DC6FF7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137FBD91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CBAF50D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4848225" cy="5057775"/>
            <wp:effectExtent l="0" t="0" r="1333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B733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3E9DDAE1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5EBC09D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hint="eastAsia" w:cs="宋体"/>
          <w:b/>
          <w:bCs/>
          <w:u w:val="single"/>
          <w:lang w:val="en-US" w:eastAsia="zh-CN"/>
        </w:rPr>
        <w:t>297</w:t>
      </w:r>
      <w:r>
        <w:rPr>
          <w:rFonts w:hint="eastAsia" w:cs="宋体"/>
          <w:bCs/>
          <w:u w:val="single"/>
          <w:lang w:eastAsia="zh-CN"/>
        </w:rPr>
        <w:t>米</w:t>
      </w:r>
    </w:p>
    <w:p w14:paraId="56BEA882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hint="eastAsia" w:cs="宋体"/>
          <w:b/>
          <w:bCs/>
          <w:u w:val="single"/>
          <w:lang w:val="en-US" w:eastAsia="zh-CN"/>
        </w:rPr>
        <w:t>671</w:t>
      </w:r>
      <w:r>
        <w:rPr>
          <w:rFonts w:hint="eastAsia" w:cs="宋体"/>
          <w:bCs/>
          <w:u w:val="single"/>
          <w:lang w:eastAsia="zh-CN"/>
        </w:rPr>
        <w:t>米</w:t>
      </w:r>
    </w:p>
    <w:p w14:paraId="04D0A435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46901253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0AFAE444"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ED7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39625D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431410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77078FB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D12044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367E58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3985C2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E8BC94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8A75A7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345B64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D40BE8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11E80E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1EA9579C">
      <w:pPr>
        <w:pStyle w:val="4"/>
        <w:ind w:left="0"/>
        <w:rPr>
          <w:rFonts w:hint="eastAsia"/>
          <w:lang w:eastAsia="zh-CN"/>
        </w:rPr>
      </w:pPr>
    </w:p>
    <w:p w14:paraId="671DB950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 xml:space="preserve">6.1.2 </w:t>
      </w:r>
      <w:r>
        <w:rPr>
          <w:rFonts w:hint="eastAsia"/>
          <w:lang w:eastAsia="zh-CN"/>
        </w:rPr>
        <w:t>场地人行出入口500m内应设有公共交通站点或配备联系公共交通站点的专用接驳车</w:t>
      </w:r>
      <w:r>
        <w:rPr>
          <w:lang w:eastAsia="zh-CN"/>
        </w:rPr>
        <w:t>条要求，</w:t>
      </w:r>
      <w:r>
        <w:rPr>
          <w:rFonts w:hint="eastAsia"/>
          <w:lang w:val="en-US" w:eastAsia="zh-CN"/>
        </w:rPr>
        <w:t>6.2.1</w:t>
      </w:r>
      <w:r>
        <w:rPr>
          <w:rFonts w:hint="eastAsia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场地出入口到达公共交通站点的步行距离不超过500m，或到达轨道交通站的步行距离不大于800m，得2分；场地出入口到达公共交通站点的步行距离不超过300m，或到达轨道交通站的步行距离不大于500m2   场地出入口步行距离800m范围内设有不少于2条线路的公共交通站点。</w:t>
      </w:r>
      <w:bookmarkStart w:id="0" w:name="_GoBack"/>
      <w:bookmarkEnd w:id="0"/>
      <w:r>
        <w:rPr>
          <w:lang w:eastAsia="zh-CN"/>
        </w:rPr>
        <w:t>可得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分。</w:t>
      </w:r>
    </w:p>
    <w:p w14:paraId="3FBD536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72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40</TotalTime>
  <ScaleCrop>false</ScaleCrop>
  <LinksUpToDate>false</LinksUpToDate>
  <CharactersWithSpaces>1366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陈科旭</cp:lastModifiedBy>
  <dcterms:modified xsi:type="dcterms:W3CDTF">2026-03-20T13:56:34Z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eyJoZGlkIjoiNjlkZTRiODlhYTVhN2ZmYzFjYTc4YjNmOGVjNmYxODMiLCJ1c2VySWQiOiIxNTIxNDM1MjMzIn0=</vt:lpwstr>
  </property>
  <property fmtid="{D5CDD505-2E9C-101B-9397-08002B2CF9AE}" pid="5" name="KSOProductBuildVer">
    <vt:lpwstr>2052-12.1.0.19302</vt:lpwstr>
  </property>
  <property fmtid="{D5CDD505-2E9C-101B-9397-08002B2CF9AE}" pid="6" name="ICV">
    <vt:lpwstr>026EC96F34F74F9F8942262F14502437_12</vt:lpwstr>
  </property>
</Properties>
</file>