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7B2B2B">
      <w:pPr>
        <w:jc w:val="center"/>
        <w:rPr>
          <w:rFonts w:hint="eastAsia"/>
          <w:b/>
          <w:bCs/>
          <w:sz w:val="44"/>
          <w:szCs w:val="40"/>
        </w:rPr>
      </w:pPr>
      <w:r>
        <w:rPr>
          <w:rFonts w:hint="eastAsia"/>
          <w:b/>
          <w:bCs/>
          <w:sz w:val="44"/>
          <w:szCs w:val="40"/>
        </w:rPr>
        <w:t>绿色技术应用说明研究报告</w:t>
      </w:r>
    </w:p>
    <w:p w14:paraId="519840AC">
      <w:pPr>
        <w:jc w:val="center"/>
        <w:rPr>
          <w:rFonts w:hint="eastAsia"/>
          <w:b/>
          <w:bCs/>
          <w:sz w:val="32"/>
          <w:szCs w:val="28"/>
        </w:rPr>
      </w:pPr>
      <w:r>
        <w:rPr>
          <w:rFonts w:hint="eastAsia"/>
          <w:b/>
          <w:bCs/>
          <w:sz w:val="32"/>
          <w:szCs w:val="28"/>
        </w:rPr>
        <w:t>——自适应光伏绿化复合立面技术（大理滨水建筑项目）</w:t>
      </w:r>
    </w:p>
    <w:p w14:paraId="17BA8DCD"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 </w:t>
      </w:r>
    </w:p>
    <w:p w14:paraId="41BD55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一、技术选型及核心优势</w:t>
      </w:r>
    </w:p>
    <w:p w14:paraId="1747A8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sz w:val="24"/>
          <w:szCs w:val="24"/>
        </w:rPr>
        <w:t>选取自适应光伏绿化复合立面技术作为核心绿色技术，该技术是将自适应遮阳调节系统、高原型光伏组件（BIPV）与滇西本土垂直绿化深度集成的新型建筑围护技术。针对云南大理低纬高原季风气候（年日照2300h以上、紫外线强、干湿季分明、主导西南风）的地域特征，通过“光伏发电+动态遮阳+生态绿化+自然通风”的四维协同，实现建筑能耗降低与地域生态美学的融合。其核心优势如下：</w:t>
      </w:r>
    </w:p>
    <w:p w14:paraId="4D59D6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技术创新性：突破传统立面单一围护功能，结合大理高原光照与风环境特征，实现“光伏产能-动态遮阳-生态降温”的功能耦合，属于适配高原地域的绿色建筑前沿技术；</w:t>
      </w:r>
    </w:p>
    <w:p w14:paraId="5C2687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地域适配性：针对大理强紫外线、夏季高温的气候问题，通过光伏组件遮挡紫外线、垂直绿化降温，同时利用自适应机构适配季风风向调节通风；</w:t>
      </w:r>
    </w:p>
    <w:p w14:paraId="1B4899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多效益协同：年发电量可满足建筑立面照明与设备用电的60%，垂直绿化使立面表面温度降低5~8℃，自适应遮阳可将室内采光均匀度提升至0.7以上，兼具能源、生态与光环境优化效益。</w:t>
      </w:r>
    </w:p>
    <w:p w14:paraId="76B150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1262B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二、技术可行性与多专业适配性分析</w:t>
      </w:r>
    </w:p>
    <w:p w14:paraId="3D026D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（一）技术可行性</w:t>
      </w:r>
    </w:p>
    <w:p w14:paraId="78CA4C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1.气候适配：选用抗紫外线HJT光伏组件（耐紫外老化等级UV3），适配大理强紫外线环境；垂直绿化选取云南黄素馨、常春藤等滇西本土常绿藤本，耐旱性强，适配大理干湿季分明的气候，植物存活率≥95%；</w:t>
      </w:r>
    </w:p>
    <w:p w14:paraId="65FBA4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2.结构安全：自适应立面采用铝合金轻量化龙骨（单模块重量≤20kg/㎡），满足大理7度抗震设防与0.6kN/㎡的风荷载要求（依据《建筑结构荷载规范》GB 50009-2012）；</w:t>
      </w:r>
    </w:p>
    <w:p w14:paraId="48DF37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3.施工落地：模块化预制生产（工厂预制率85%），现场采用卡扣式安装，与建筑主体施工工序无冲突，施工周期较传统立面缩短35%；</w:t>
      </w:r>
    </w:p>
    <w:p w14:paraId="4B02B5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4.维护便捷：光伏组件每半年清洁一次，自适应调节机构设远程监测模块，垂直绿化采用滴灌系统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海绵蓄水池，年维护成本仅为传统立面的20%。</w:t>
      </w:r>
    </w:p>
    <w:p w14:paraId="4B8BC9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20CF1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（二）艺术与多专业适配性</w:t>
      </w:r>
    </w:p>
    <w:p w14:paraId="676905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1.艺术适配性：</w:t>
      </w:r>
    </w:p>
    <w:p w14:paraId="69CBED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合大理白族民居“三坊一照壁”的肌理特征，光伏组件以横向渐变排列模拟白族扎染的蓝白纹理，垂直绿化选取滇西本土观花藤本（云南黄素馨）形成“四季有花”的立面层次，自适应遮阳板的旋转角度与大理苍山的轮廓线呼应，实现“技术+地域美学”的融合；</w:t>
      </w:r>
    </w:p>
    <w:p w14:paraId="133F8B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2.多专业协同：</w:t>
      </w:r>
    </w:p>
    <w:p w14:paraId="06D98A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sz w:val="24"/>
          <w:szCs w:val="24"/>
        </w:rPr>
        <w:t>建筑专业：与建筑退台、中庭空间结合，自适应立面的通风缝隙与建筑自然通风系统联动，满足《民用建筑热工设计规范》GB 50176-2016中高原地区自然通风要求；</w:t>
      </w:r>
    </w:p>
    <w:p w14:paraId="37DE84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sz w:val="24"/>
          <w:szCs w:val="24"/>
        </w:rPr>
        <w:t>结构专业：铝合金龙骨采用6063-T5材质，经SAP2000计算，在风荷载与地震作用下，龙骨最大应力≤180MPa（小于屈服强度240MPa）；</w:t>
      </w:r>
    </w:p>
    <w:p w14:paraId="6FC1BA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sz w:val="24"/>
          <w:szCs w:val="24"/>
        </w:rPr>
        <w:t>机电专业：光伏组件通过逆变器与建筑微电网并网，适配大理“光伏扶贫+分布式能源”的政策导向，余电可接入区域电网；</w:t>
      </w:r>
    </w:p>
    <w:p w14:paraId="4EAD46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（4）</w:t>
      </w:r>
      <w:r>
        <w:rPr>
          <w:rFonts w:hint="eastAsia" w:ascii="宋体" w:hAnsi="宋体" w:eastAsia="宋体" w:cs="宋体"/>
          <w:sz w:val="24"/>
          <w:szCs w:val="24"/>
        </w:rPr>
        <w:t>生态专业：垂直绿化构建滇西本土植物群落，结合项目海绵系统的蓄水池实现雨水灌溉，与大理“洱海保护”的生态要求契合；</w:t>
      </w:r>
    </w:p>
    <w:p w14:paraId="605E5C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（5）</w:t>
      </w:r>
      <w:r>
        <w:rPr>
          <w:rFonts w:hint="eastAsia" w:ascii="宋体" w:hAnsi="宋体" w:eastAsia="宋体" w:cs="宋体"/>
          <w:sz w:val="24"/>
          <w:szCs w:val="24"/>
        </w:rPr>
        <w:t>声学专业：立面集成木质吸声格栅（大理本地松木），降噪系数NRC≥0.4，解决大理旅游区的噪声干扰问题。</w:t>
      </w:r>
    </w:p>
    <w:p w14:paraId="790592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03E1B9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三、建筑节点针对性应用——南立面中庭自适应光伏绿化复合立面节点</w:t>
      </w:r>
    </w:p>
    <w:p w14:paraId="4B704A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（一）节点功能定位</w:t>
      </w:r>
    </w:p>
    <w:p w14:paraId="55C120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选取建筑南立面中庭立面节点（宽15m×高12m）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的幕墙</w:t>
      </w:r>
      <w:r>
        <w:rPr>
          <w:rFonts w:hint="eastAsia" w:ascii="宋体" w:hAnsi="宋体" w:eastAsia="宋体" w:cs="宋体"/>
          <w:sz w:val="24"/>
          <w:szCs w:val="24"/>
        </w:rPr>
        <w:t>作为核心应用节点，该节点为建筑核心景观面，直面洱海与苍山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EA9F2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需同时满足：①高原强紫外线遮挡与自然采光协调；②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水域</w:t>
      </w:r>
      <w:r>
        <w:rPr>
          <w:rFonts w:hint="eastAsia" w:ascii="宋体" w:hAnsi="宋体" w:eastAsia="宋体" w:cs="宋体"/>
          <w:sz w:val="24"/>
          <w:szCs w:val="24"/>
        </w:rPr>
        <w:t>景观视野通透性；③光伏产能与生态降温；④地域美学展示四大核心需求。</w:t>
      </w:r>
    </w:p>
    <w:p w14:paraId="639C38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17056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（二）技术融入措施</w:t>
      </w:r>
    </w:p>
    <w:p w14:paraId="7A2FE5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1.节点构造设计（从外到内分层）</w:t>
      </w:r>
    </w:p>
    <w:p w14:paraId="68128F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外层：自适应光伏绿化层</w:t>
      </w:r>
    </w:p>
    <w:p w14:paraId="1026DA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光伏组件：采用300mm×1200mm高原型HJT双玻光伏组件（透光率35%），通过电动旋转铰链与龙骨连接，旋转角度0°~90°（可根据日照角度自动调节，由光照传感器联动控制）；组件间预留200mm间隙，植入云南黄素馨与常春藤的模块化种植盒（500mm×500mm）；</w:t>
      </w:r>
    </w:p>
    <w:p w14:paraId="324859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种植盒：采用食品级PP材质，内置轻质基质（腐殖土:珍珠岩:椰糠=4:3:3，适配大理酸性土壤），盒底设排水孔与导水层，接入项目蓄水池滴灌系统；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3060700"/>
            <wp:effectExtent l="0" t="0" r="2540" b="6350"/>
            <wp:docPr id="3" name="图片 3" descr="606ff2b78c72de85e771f3c1629c0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6ff2b78c72de85e771f3c1629c0f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F4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A311C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中层：声学与通风层</w:t>
      </w:r>
    </w:p>
    <w:p w14:paraId="581E21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木质吸声格栅：采用大理本地松木（经防腐防蛀处理），格栅间距150mm，厚度50mm，内置离心玻璃棉（吸声系数≥0.5），既降低洱海旅游区的噪声，又作为光伏绿化层的通风腔体（腔体宽度100mm）；</w:t>
      </w:r>
    </w:p>
    <w:p w14:paraId="2E7940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内层：建筑围护层</w:t>
      </w:r>
    </w:p>
    <w:p w14:paraId="5F5A18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中空Low-E玻璃（6mm+12A+6mm）：选用低辐射镀膜适配大理强紫外线，传热系数K≤2.5W/(㎡·K)，可见光透射比≥70%；玻璃内侧设50mm厚岩棉保温层，满足大理冬季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保温要求；</w:t>
      </w:r>
    </w:p>
    <w:p w14:paraId="0393E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35560</wp:posOffset>
            </wp:positionV>
            <wp:extent cx="2809875" cy="1783080"/>
            <wp:effectExtent l="0" t="0" r="0" b="7620"/>
            <wp:wrapTopAndBottom/>
            <wp:docPr id="4" name="图片 4" descr="d13be5f86a308ac49130c86ca3c9c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3be5f86a308ac49130c86ca3c9c0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支撑结构</w:t>
      </w:r>
    </w:p>
    <w:p w14:paraId="5F9183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铝合金龙骨：立柱100×80×3mm，横梁80×60×2.5mm，表面氟碳喷涂（抗盐雾腐蚀，适配大理滨海环境），通过预埋件与建筑主体结构连接，预埋件采用Q235B钢材，锚固深度≥200mm。</w:t>
      </w:r>
    </w:p>
    <w:p w14:paraId="35E9C0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D3ED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170180</wp:posOffset>
            </wp:positionV>
            <wp:extent cx="2466975" cy="933450"/>
            <wp:effectExtent l="0" t="0" r="0" b="0"/>
            <wp:wrapSquare wrapText="bothSides"/>
            <wp:docPr id="6" name="图片 6" descr="e3e8456d023217b7e24337fc4a6cb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e8456d023217b7e24337fc4a6cb78e"/>
                    <pic:cNvPicPr>
                      <a:picLocks noChangeAspect="1"/>
                    </pic:cNvPicPr>
                  </pic:nvPicPr>
                  <pic:blipFill>
                    <a:blip r:embed="rId6"/>
                    <a:srcRect l="13185" t="48517" r="52537" b="3314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84730" cy="1365250"/>
            <wp:effectExtent l="0" t="0" r="1270" b="6350"/>
            <wp:docPr id="5" name="图片 5" descr="e3e8456d023217b7e24337fc4a6cb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e8456d023217b7e24337fc4a6cb78e"/>
                    <pic:cNvPicPr>
                      <a:picLocks noChangeAspect="1"/>
                    </pic:cNvPicPr>
                  </pic:nvPicPr>
                  <pic:blipFill>
                    <a:blip r:embed="rId6"/>
                    <a:srcRect l="12161" t="6288" r="53742" b="64911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4E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12700</wp:posOffset>
            </wp:positionV>
            <wp:extent cx="2673985" cy="909320"/>
            <wp:effectExtent l="0" t="0" r="2540" b="5080"/>
            <wp:wrapTopAndBottom/>
            <wp:docPr id="7" name="图片 7" descr="e3e8456d023217b7e24337fc4a6cb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e8456d023217b7e24337fc4a6cb78e"/>
                    <pic:cNvPicPr>
                      <a:picLocks noChangeAspect="1"/>
                    </pic:cNvPicPr>
                  </pic:nvPicPr>
                  <pic:blipFill>
                    <a:blip r:embed="rId6"/>
                    <a:srcRect l="5255" t="69649" r="43991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2.施工工艺流程</w:t>
      </w:r>
    </w:p>
    <w:p w14:paraId="1C0B1F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) </w:t>
      </w:r>
      <w:r>
        <w:rPr>
          <w:rFonts w:hint="eastAsia" w:ascii="宋体" w:hAnsi="宋体" w:eastAsia="宋体" w:cs="宋体"/>
          <w:sz w:val="24"/>
          <w:szCs w:val="24"/>
        </w:rPr>
        <w:t>现场放线→预埋件安装（与建筑主体结构同步施工）→龙骨焊接与防腐处理；</w:t>
      </w:r>
    </w:p>
    <w:p w14:paraId="2EDEBE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) </w:t>
      </w:r>
      <w:r>
        <w:rPr>
          <w:rFonts w:hint="eastAsia" w:ascii="宋体" w:hAnsi="宋体" w:eastAsia="宋体" w:cs="宋体"/>
          <w:sz w:val="24"/>
          <w:szCs w:val="24"/>
        </w:rPr>
        <w:t>光伏组件旋转机构安装→组件接线与光照传感器调试；</w:t>
      </w:r>
    </w:p>
    <w:p w14:paraId="1D9DA0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) </w:t>
      </w:r>
      <w:r>
        <w:rPr>
          <w:rFonts w:hint="eastAsia" w:ascii="宋体" w:hAnsi="宋体" w:eastAsia="宋体" w:cs="宋体"/>
          <w:sz w:val="24"/>
          <w:szCs w:val="24"/>
        </w:rPr>
        <w:t>木质吸声格栅拼装→通风腔体密封处理；</w:t>
      </w:r>
    </w:p>
    <w:p w14:paraId="633A8D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) </w:t>
      </w:r>
      <w:r>
        <w:rPr>
          <w:rFonts w:hint="eastAsia" w:ascii="宋体" w:hAnsi="宋体" w:eastAsia="宋体" w:cs="宋体"/>
          <w:sz w:val="24"/>
          <w:szCs w:val="24"/>
        </w:rPr>
        <w:t>种植盒模块化吊装→基质填充与本土植物移栽→滴灌系统对接蓄水池；</w:t>
      </w:r>
    </w:p>
    <w:p w14:paraId="7912F5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) </w:t>
      </w:r>
      <w:r>
        <w:rPr>
          <w:rFonts w:hint="eastAsia" w:ascii="宋体" w:hAnsi="宋体" w:eastAsia="宋体" w:cs="宋体"/>
          <w:sz w:val="24"/>
          <w:szCs w:val="24"/>
        </w:rPr>
        <w:t>围护层Low-E玻璃安装→整体性能检测（光伏发电、遮阳调节、通风降噪）。</w:t>
      </w:r>
    </w:p>
    <w:p w14:paraId="4BFE55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B159D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3.维护方案</w:t>
      </w:r>
    </w:p>
    <w:p w14:paraId="63759E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光伏与自适应系统：每季度检测旋转铰链与传感器，每年清洁光伏组件（采用软水冲洗，避免高原硬水结垢），每3年更换逆变器；</w:t>
      </w:r>
    </w:p>
    <w:p w14:paraId="4CE655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垂直绿化：旱季（11月~次年4月）每日滴灌2次（每次30分钟），雨季（5~10月）减少至1次，每月修剪植物，每2年更换栽培基质；</w:t>
      </w:r>
    </w:p>
    <w:p w14:paraId="6E640D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结构与声学：每年检查龙骨连接节点与木质格栅的防腐层，老化部位及时补涂防腐漆。</w:t>
      </w:r>
    </w:p>
    <w:p w14:paraId="7C0D66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6B6709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四、技术模型与工程资料</w:t>
      </w:r>
    </w:p>
    <w:p w14:paraId="7328E2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（一）技术模型与节点大样图</w:t>
      </w:r>
    </w:p>
    <w:p w14:paraId="520AD0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1.技术模型</w:t>
      </w:r>
    </w:p>
    <w:p w14:paraId="4B9497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采用SketchUp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等软件</w:t>
      </w:r>
      <w:r>
        <w:rPr>
          <w:rFonts w:hint="eastAsia" w:ascii="宋体" w:hAnsi="宋体" w:eastAsia="宋体" w:cs="宋体"/>
          <w:sz w:val="24"/>
          <w:szCs w:val="24"/>
        </w:rPr>
        <w:t>建立三维模型，模型包含光伏组件、自适应调节机构、种植盒、龙骨等全构件，结合Lumion完成地域美学可视化（匹配苍山洱海的景观背景）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604FA5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4163060" cy="1917065"/>
            <wp:effectExtent l="0" t="0" r="2540" b="635"/>
            <wp:docPr id="17" name="图片 17" descr="模型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模型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D8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2.节点大样图</w:t>
      </w:r>
    </w:p>
    <w:p w14:paraId="6DF370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核心内容：光伏组件旋转铰链连接节点、种植盒与龙骨的卡扣构造、木质吸声格栅的安装方式、预埋件锚固节点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结合大理抗震要求优化；</w:t>
      </w:r>
    </w:p>
    <w:p w14:paraId="0A347F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1600835</wp:posOffset>
            </wp:positionV>
            <wp:extent cx="4128770" cy="2054225"/>
            <wp:effectExtent l="0" t="0" r="3175" b="5080"/>
            <wp:wrapTight wrapText="bothSides">
              <wp:wrapPolygon>
                <wp:start x="21600" y="7"/>
                <wp:lineTo x="73" y="7"/>
                <wp:lineTo x="73" y="21540"/>
                <wp:lineTo x="21600" y="21540"/>
                <wp:lineTo x="21600" y="7"/>
              </wp:wrapPolygon>
            </wp:wrapTight>
            <wp:docPr id="10" name="图片 10" descr="5e5d44c86441bf579b511ad19bb0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e5d44c86441bf579b511ad19bb014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877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1202055</wp:posOffset>
            </wp:positionV>
            <wp:extent cx="4229735" cy="2829560"/>
            <wp:effectExtent l="0" t="0" r="8890" b="8890"/>
            <wp:wrapTopAndBottom/>
            <wp:docPr id="8" name="图片 8" descr="50e80aa63904479feb2c7c5ffb6d2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e80aa63904479feb2c7c5ffb6d23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973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工程参考：借鉴“大理洱海生态廊道示范建筑”的光伏立面节点，优化高原光伏组件与本土绿化的集成设计。</w:t>
      </w:r>
    </w:p>
    <w:p w14:paraId="381681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31365" cy="4862830"/>
            <wp:effectExtent l="0" t="0" r="4445" b="6985"/>
            <wp:docPr id="9" name="图片 9" descr="8309c13a3b60ac915c46732d6effb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09c13a3b60ac915c46732d6effbd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136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C5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347345</wp:posOffset>
            </wp:positionV>
            <wp:extent cx="5360035" cy="6616700"/>
            <wp:effectExtent l="0" t="0" r="1206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（二）材料参数表</w:t>
      </w:r>
    </w:p>
    <w:p w14:paraId="3E7876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五、性能仿真验证数据</w:t>
      </w:r>
    </w:p>
    <w:p w14:paraId="0FEBAA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采用专业软件，结合大理地理参数（北纬25.7°，东经100.2°，海拔1976m）完成模拟，核心指标如下：</w:t>
      </w:r>
    </w:p>
    <w:p w14:paraId="6A79D8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1.热工性能</w:t>
      </w:r>
    </w:p>
    <w:p w14:paraId="581577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夏季（7月）：自适应立面关闭时，节点传热系数K=2.2W/(㎡·K)，较传统玻璃立面降低40%；垂直绿化使立面表面温度从52℃降至38℃，室内空调能耗减少32%；</w:t>
      </w:r>
    </w:p>
    <w:p w14:paraId="4DFC0F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冬季（1月）：自适应立面打开（角度90°），利用高原阳光直射，室内平均温度提升3℃，采暖能耗降低25%。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3375660"/>
            <wp:effectExtent l="0" t="0" r="5080" b="5715"/>
            <wp:docPr id="12" name="图片 12" descr="54d5a09c87bae20a396e251c52d7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d5a09c87bae20a396e251c52d768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F6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154940</wp:posOffset>
            </wp:positionV>
            <wp:extent cx="5273040" cy="2880360"/>
            <wp:effectExtent l="0" t="0" r="3810" b="5715"/>
            <wp:wrapSquare wrapText="bothSides"/>
            <wp:docPr id="13" name="图片 13" descr="539bd8ee7b55a1e5ea283066231ad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9bd8ee7b55a1e5ea283066231ad4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2.光环境性能</w:t>
      </w:r>
    </w:p>
    <w:p w14:paraId="3452F7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室内天然光照度：中庭区域日间光照度2000~3500lx（符合《建筑采光设计标准》GB 50033-2013），自适应遮阳使采光均匀度从0.4提升至0.75；</w:t>
      </w:r>
    </w:p>
    <w:p w14:paraId="1469F8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紫外线阻隔：光伏组件+Low-E玻璃的紫外线阻隔率≥95%，避免大理强紫外线对室内的辐射伤害。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1295400"/>
            <wp:effectExtent l="0" t="0" r="8255" b="0"/>
            <wp:docPr id="11" name="图片 11" descr="ab4429218b06ad5efab3967ecf0fe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4429218b06ad5efab3967ecf0febb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37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2A113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3.结构响应</w:t>
      </w:r>
    </w:p>
    <w:p w14:paraId="5DF13A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风荷载作用（0.6kN/㎡）：龙骨最大应力165MPa，最大挠度9mm（满足规范限值L/600）；</w:t>
      </w:r>
    </w:p>
    <w:p w14:paraId="41FEE2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地震作用（7度0.15g）：节点位移角≤1/500，预埋件锚固承载力≥50kN，结构稳定性达标。</w:t>
      </w:r>
    </w:p>
    <w:p w14:paraId="751E71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7620</wp:posOffset>
            </wp:positionV>
            <wp:extent cx="5272405" cy="1444625"/>
            <wp:effectExtent l="0" t="0" r="0" b="0"/>
            <wp:wrapTopAndBottom/>
            <wp:docPr id="16" name="图片 16" descr="4936265c7bda3347dcecfddeb9ec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936265c7bda3347dcecfddeb9ecf83a"/>
                    <pic:cNvPicPr>
                      <a:picLocks noChangeAspect="1"/>
                    </pic:cNvPicPr>
                  </pic:nvPicPr>
                  <pic:blipFill>
                    <a:blip r:embed="rId15"/>
                    <a:srcRect t="123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FB9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4.光伏发电性能</w:t>
      </w:r>
    </w:p>
    <w:p w14:paraId="150EB3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年发电量：该节点光伏组件总面积32.4㎡，年发电量约6800kWh（大理年辐照量5800MJ/㎡），可满足中庭照明、电梯等设备的用电需求（占该区域年用电量的65%）；发电效率：夏季（辐照强）发电效率22%，冬季20%，年平均效率21%。</w:t>
      </w:r>
      <w:r>
        <w:drawing>
          <wp:inline distT="0" distB="0" distL="114300" distR="114300">
            <wp:extent cx="5268595" cy="3491865"/>
            <wp:effectExtent l="0" t="0" r="8255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1790065"/>
            <wp:effectExtent l="0" t="0" r="8255" b="635"/>
            <wp:docPr id="18" name="图片 18" descr="dfa068a24b4fce8577b291fd7c5a7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fa068a24b4fce8577b291fd7c5a7df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E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6049010"/>
            <wp:effectExtent l="0" t="0" r="6350" b="889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5.声学性能</w:t>
      </w:r>
    </w:p>
    <w:p w14:paraId="3C9862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昼间室内噪声值：45dB(A)（低于2类声环境功能区60dB(A)的限值）；</w:t>
      </w:r>
    </w:p>
    <w:p w14:paraId="1EBE39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木质格栅降噪量：12dB(A)，有效阻隔洱海旅游区的人群与交通噪声。</w:t>
      </w:r>
      <w:bookmarkStart w:id="0" w:name="_GoBack"/>
      <w:bookmarkEnd w:id="0"/>
    </w:p>
    <w:p w14:paraId="7AA6F5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1257935</wp:posOffset>
            </wp:positionV>
            <wp:extent cx="5268595" cy="1225550"/>
            <wp:effectExtent l="0" t="0" r="8255" b="3175"/>
            <wp:wrapTopAndBottom/>
            <wp:docPr id="15" name="图片 15" descr="59615df064245e1595a8f11149930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615df064245e1595a8f11149930d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50165</wp:posOffset>
            </wp:positionV>
            <wp:extent cx="5267960" cy="1021715"/>
            <wp:effectExtent l="0" t="0" r="8890" b="6985"/>
            <wp:wrapTopAndBottom/>
            <wp:docPr id="14" name="图片 14" descr="4f0f892496d391e2acf834fbcda04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f0f892496d391e2acf834fbcda04e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2FC50D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六、技术落地性验证</w:t>
      </w:r>
    </w:p>
    <w:p w14:paraId="6BBD22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1.技术逻辑：</w:t>
      </w:r>
    </w:p>
    <w:p w14:paraId="7C084C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该技术基于大理“高原光照+季风气候+洱海生态”的地域特征，通过“自适应调节适配光照、本土绿化适配气候、光伏产能适配能源政策”的逻辑，将建筑立面从单一围护转化为“能源生产-生态调节-美学展示”的复合载体，符合大理“绿色低碳+洱海保护”的城市发展定位。</w:t>
      </w:r>
    </w:p>
    <w:p w14:paraId="534FE4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2.落地可能性：</w:t>
      </w:r>
    </w:p>
    <w:p w14:paraId="62F802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政策适配：符合《云南省绿色建筑发展条例》与大理“分布式光伏试点”政策，可获得绿色建筑“可再生能源利用”与“生态绿化”双项加分；</w:t>
      </w:r>
    </w:p>
    <w:p w14:paraId="7C81C4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成本可控：该节点技术造价约1500元/㎡，较传统玻璃幕墙+光伏系统的组合造价降低12%，光伏年发电收益可覆盖20%的维护成本，投资回收期约9年；</w:t>
      </w:r>
    </w:p>
    <w:p w14:paraId="0DB8A1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工程案例参考：大理洱海生态廊道的光伏建筑项目已验证高原光伏组件的适配性，本项目的自适应与绿化集成设计进一步提升了技术的地域落地性，本土植物与松木格栅的选用也降低了材料运输与维护成本。</w:t>
      </w:r>
    </w:p>
    <w:p w14:paraId="1497CD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03CDEE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七、结论</w:t>
      </w:r>
    </w:p>
    <w:p w14:paraId="5C952D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适应光伏绿化复合立面技术通过“高原技术适配+地域美学融合+多专业协同”的设计逻辑，既解决了大理高原气候下建筑立面的遮阳、采光、能耗问题，又通过光伏组件与本土绿化的艺术化组合，实现了“技术赋能地域美学”的表达。以南立面中庭节点为核心的应用设计，针对性匹配了大理苍山洱海的景观特征与气候条件，且通过详细的构造设计、材料参数与多维度性能仿真数据，验证了技术方案的科学性与实操性，可为滇西高原地区的绿色建筑项目提供技术参考。</w:t>
      </w:r>
    </w:p>
    <w:p w14:paraId="50FAE569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B1314"/>
    <w:rsid w:val="0CCC323C"/>
    <w:rsid w:val="2D6A01DB"/>
    <w:rsid w:val="30626B58"/>
    <w:rsid w:val="411D0239"/>
    <w:rsid w:val="5E6E54B6"/>
    <w:rsid w:val="747F47E4"/>
    <w:rsid w:val="772A6735"/>
    <w:rsid w:val="78156341"/>
    <w:rsid w:val="7A9B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customStyle="1" w:styleId="6">
    <w:name w:val="样式2"/>
    <w:basedOn w:val="1"/>
    <w:qFormat/>
    <w:uiPriority w:val="0"/>
    <w:pPr>
      <w:tabs>
        <w:tab w:val="right" w:leader="dot" w:pos="8306"/>
      </w:tabs>
      <w:ind w:leftChars="200"/>
    </w:pPr>
    <w:rPr>
      <w:rFonts w:asciiTheme="minorAscii" w:hAnsiTheme="minorAscii"/>
      <w:sz w:val="24"/>
      <w:szCs w:val="20"/>
    </w:rPr>
  </w:style>
  <w:style w:type="paragraph" w:customStyle="1" w:styleId="7">
    <w:name w:val="样式3"/>
    <w:basedOn w:val="1"/>
    <w:qFormat/>
    <w:uiPriority w:val="0"/>
    <w:pPr>
      <w:tabs>
        <w:tab w:val="right" w:leader="dot" w:pos="8306"/>
      </w:tabs>
      <w:spacing w:line="720" w:lineRule="auto"/>
    </w:pPr>
    <w:rPr>
      <w:rFonts w:hint="default" w:asciiTheme="minorAscii" w:hAnsiTheme="minorAscii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3718</Words>
  <Characters>4198</Characters>
  <Lines>0</Lines>
  <Paragraphs>0</Paragraphs>
  <TotalTime>4</TotalTime>
  <ScaleCrop>false</ScaleCrop>
  <LinksUpToDate>false</LinksUpToDate>
  <CharactersWithSpaces>4243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2026-01-02T07:59:00Z</dcterms:created>
  <dc:creator>momo</dc:creator>
  <cp:lastModifiedBy>momo</cp:lastModifiedBy>
  <dcterms:modified xsi:type="dcterms:W3CDTF">2026-01-03T12:05:07Z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BD308BFEED424B3D85A34E0BFACC4715_13</vt:lpwstr>
  </property>
  <property fmtid="{D5CDD505-2E9C-101B-9397-08002B2CF9AE}" pid="4" name="KSOTemplateDocerSaveRecord">
    <vt:lpwstr>eyJoZGlkIjoiZWU2MWYxOWYyNzM1NDVmZDk1MGZmMDIwMTJiODc0NmEiLCJ1c2VySWQiOiI5MzE3NjIzODQifQ==</vt:lpwstr>
  </property>
</Properties>
</file>