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C944B">
      <w:pPr>
        <w:pStyle w:val="46"/>
      </w:pPr>
    </w:p>
    <w:p w14:paraId="6BD6AA22">
      <w:pPr>
        <w:pStyle w:val="46"/>
      </w:pPr>
    </w:p>
    <w:p w14:paraId="3C5BB7C4">
      <w:pPr>
        <w:pStyle w:val="46"/>
        <w:jc w:val="distribute"/>
        <w:rPr>
          <w:b/>
          <w:sz w:val="72"/>
          <w:szCs w:val="72"/>
        </w:rPr>
      </w:pPr>
      <w:r>
        <w:rPr>
          <w:rFonts w:hint="eastAsia"/>
          <w:b/>
          <w:sz w:val="72"/>
          <w:szCs w:val="72"/>
        </w:rPr>
        <w:t>室外风环境模拟分析报告</w:t>
      </w:r>
    </w:p>
    <w:p w14:paraId="155CF461">
      <w:pPr>
        <w:pStyle w:val="50"/>
        <w:spacing w:line="400" w:lineRule="exact"/>
      </w:pPr>
    </w:p>
    <w:p w14:paraId="5C3D9650">
      <w:pPr>
        <w:pStyle w:val="50"/>
        <w:rPr>
          <w:b/>
        </w:rPr>
      </w:pPr>
      <w:bookmarkStart w:id="0" w:name="项目名称"/>
    </w:p>
    <w:p w14:paraId="40493DE6">
      <w:pPr>
        <w:pStyle w:val="50"/>
        <w:rPr>
          <w:b/>
        </w:rPr>
      </w:pPr>
      <w:r>
        <w:rPr>
          <w:rFonts w:hint="eastAsia"/>
          <w:b/>
        </w:rPr>
        <w:t>设计编号：</w:t>
      </w:r>
      <w:bookmarkStart w:id="1" w:name="设计编号"/>
    </w:p>
    <w:p w14:paraId="1E0901A7">
      <w:pPr>
        <w:pStyle w:val="50"/>
        <w:rPr>
          <w:b/>
        </w:rPr>
      </w:pPr>
    </w:p>
    <w:p w14:paraId="185D6C98">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0E23DC98">
      <w:pPr>
        <w:pStyle w:val="46"/>
        <w:jc w:val="center"/>
      </w:pPr>
    </w:p>
    <w:p w14:paraId="07ECA5F0">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D76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EE1BB4">
            <w:pPr>
              <w:pStyle w:val="46"/>
              <w:spacing w:line="240" w:lineRule="auto"/>
              <w:jc w:val="distribute"/>
            </w:pPr>
            <w:r>
              <w:rPr>
                <w:rFonts w:hint="eastAsia"/>
              </w:rPr>
              <w:t>工程地点</w:t>
            </w:r>
          </w:p>
        </w:tc>
        <w:tc>
          <w:tcPr>
            <w:tcW w:w="475" w:type="dxa"/>
            <w:vAlign w:val="center"/>
          </w:tcPr>
          <w:p w14:paraId="46802CA0">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5C936111">
            <w:pPr>
              <w:pStyle w:val="46"/>
              <w:spacing w:line="240" w:lineRule="auto"/>
              <w:jc w:val="center"/>
            </w:pPr>
            <w:bookmarkStart w:id="3" w:name="项目地点"/>
            <w:bookmarkStart w:id="4" w:name="工程地点"/>
            <w:r>
              <w:t>南宁</w:t>
            </w:r>
            <w:bookmarkEnd w:id="3"/>
          </w:p>
        </w:tc>
      </w:tr>
      <w:tr w14:paraId="7244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770E7A">
            <w:pPr>
              <w:pStyle w:val="46"/>
              <w:spacing w:line="240" w:lineRule="auto"/>
              <w:jc w:val="distribute"/>
            </w:pPr>
            <w:r>
              <w:rPr>
                <w:rFonts w:hint="eastAsia"/>
              </w:rPr>
              <w:t>建设单位</w:t>
            </w:r>
          </w:p>
        </w:tc>
        <w:tc>
          <w:tcPr>
            <w:tcW w:w="475" w:type="dxa"/>
            <w:vAlign w:val="center"/>
          </w:tcPr>
          <w:p w14:paraId="7961C1B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342CFA6">
            <w:pPr>
              <w:pStyle w:val="46"/>
              <w:spacing w:line="240" w:lineRule="auto"/>
              <w:jc w:val="center"/>
            </w:pPr>
            <w:bookmarkStart w:id="5" w:name="建设单位"/>
            <w:bookmarkEnd w:id="5"/>
          </w:p>
        </w:tc>
      </w:tr>
      <w:tr w14:paraId="492D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3613B0">
            <w:pPr>
              <w:pStyle w:val="46"/>
              <w:spacing w:line="240" w:lineRule="auto"/>
              <w:jc w:val="distribute"/>
            </w:pPr>
            <w:r>
              <w:rPr>
                <w:rFonts w:hint="eastAsia"/>
              </w:rPr>
              <w:t>设计单位</w:t>
            </w:r>
          </w:p>
        </w:tc>
        <w:tc>
          <w:tcPr>
            <w:tcW w:w="475" w:type="dxa"/>
            <w:vAlign w:val="center"/>
          </w:tcPr>
          <w:p w14:paraId="677212A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2ECCCE3">
            <w:pPr>
              <w:pStyle w:val="46"/>
              <w:spacing w:line="240" w:lineRule="auto"/>
              <w:jc w:val="center"/>
            </w:pPr>
            <w:bookmarkStart w:id="6" w:name="设计单位"/>
            <w:bookmarkEnd w:id="6"/>
          </w:p>
        </w:tc>
      </w:tr>
      <w:tr w14:paraId="18DA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7260C5">
            <w:pPr>
              <w:pStyle w:val="46"/>
              <w:spacing w:line="240" w:lineRule="auto"/>
              <w:jc w:val="distribute"/>
            </w:pPr>
            <w:r>
              <w:rPr>
                <w:rFonts w:hint="eastAsia"/>
              </w:rPr>
              <w:t>设计人</w:t>
            </w:r>
          </w:p>
        </w:tc>
        <w:tc>
          <w:tcPr>
            <w:tcW w:w="475" w:type="dxa"/>
            <w:vAlign w:val="center"/>
          </w:tcPr>
          <w:p w14:paraId="48F9B6F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A71AE5D">
            <w:pPr>
              <w:pStyle w:val="46"/>
              <w:spacing w:line="240" w:lineRule="auto"/>
              <w:jc w:val="center"/>
            </w:pPr>
          </w:p>
        </w:tc>
      </w:tr>
      <w:tr w14:paraId="4327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D26F90">
            <w:pPr>
              <w:pStyle w:val="46"/>
              <w:spacing w:line="240" w:lineRule="auto"/>
              <w:jc w:val="distribute"/>
            </w:pPr>
            <w:r>
              <w:rPr>
                <w:rFonts w:hint="eastAsia"/>
              </w:rPr>
              <w:t>校对人</w:t>
            </w:r>
          </w:p>
        </w:tc>
        <w:tc>
          <w:tcPr>
            <w:tcW w:w="475" w:type="dxa"/>
            <w:vAlign w:val="center"/>
          </w:tcPr>
          <w:p w14:paraId="78B69EB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4742BD4">
            <w:pPr>
              <w:pStyle w:val="46"/>
              <w:spacing w:line="240" w:lineRule="auto"/>
              <w:jc w:val="center"/>
            </w:pPr>
          </w:p>
        </w:tc>
      </w:tr>
      <w:tr w14:paraId="78AB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6D1197">
            <w:pPr>
              <w:pStyle w:val="46"/>
              <w:spacing w:line="240" w:lineRule="auto"/>
              <w:jc w:val="distribute"/>
            </w:pPr>
            <w:r>
              <w:rPr>
                <w:rFonts w:hint="eastAsia"/>
              </w:rPr>
              <w:t>审定人</w:t>
            </w:r>
          </w:p>
        </w:tc>
        <w:tc>
          <w:tcPr>
            <w:tcW w:w="475" w:type="dxa"/>
            <w:vAlign w:val="center"/>
          </w:tcPr>
          <w:p w14:paraId="5F2DD58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100D0A7">
            <w:pPr>
              <w:pStyle w:val="46"/>
              <w:spacing w:line="240" w:lineRule="auto"/>
              <w:jc w:val="center"/>
            </w:pPr>
          </w:p>
        </w:tc>
      </w:tr>
      <w:tr w14:paraId="2AA2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1370B0">
            <w:pPr>
              <w:pStyle w:val="46"/>
              <w:spacing w:line="240" w:lineRule="auto"/>
              <w:jc w:val="distribute"/>
            </w:pPr>
            <w:r>
              <w:rPr>
                <w:rFonts w:hint="eastAsia"/>
              </w:rPr>
              <w:t>报告日期</w:t>
            </w:r>
          </w:p>
        </w:tc>
        <w:tc>
          <w:tcPr>
            <w:tcW w:w="475" w:type="dxa"/>
            <w:vAlign w:val="center"/>
          </w:tcPr>
          <w:p w14:paraId="35E763A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23D781B">
            <w:pPr>
              <w:pStyle w:val="46"/>
              <w:spacing w:line="240" w:lineRule="auto"/>
              <w:jc w:val="center"/>
            </w:pPr>
            <w:bookmarkStart w:id="7" w:name="报告日期"/>
            <w:r>
              <w:t>2025年12月25日</w:t>
            </w:r>
            <w:bookmarkEnd w:id="7"/>
          </w:p>
        </w:tc>
      </w:tr>
    </w:tbl>
    <w:p w14:paraId="29A25F14"/>
    <w:p w14:paraId="0710AA2D">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CE8A19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58236C3">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83FF89C">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604D906">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397975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1DEC2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0F99BD3">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EA37BDD">
            <w:pPr>
              <w:spacing w:line="360" w:lineRule="exact"/>
              <w:ind w:firstLine="360"/>
              <w:rPr>
                <w:sz w:val="18"/>
                <w:szCs w:val="18"/>
              </w:rPr>
            </w:pPr>
          </w:p>
        </w:tc>
      </w:tr>
      <w:tr w14:paraId="2858623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D2AC9C">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BF4F21F">
            <w:pPr>
              <w:pStyle w:val="48"/>
              <w:rPr>
                <w:szCs w:val="18"/>
              </w:rPr>
            </w:pPr>
            <w:r>
              <w:rPr>
                <w:rFonts w:hint="eastAsia"/>
                <w:szCs w:val="18"/>
              </w:rPr>
              <w:t xml:space="preserve">: </w:t>
            </w:r>
            <w:bookmarkStart w:id="10" w:name="加密锁号"/>
            <w:r>
              <w:rPr>
                <w:rFonts w:hint="eastAsia"/>
                <w:szCs w:val="18"/>
              </w:rPr>
              <w:t>T13517660625</w:t>
            </w:r>
            <w:bookmarkEnd w:id="10"/>
          </w:p>
        </w:tc>
        <w:tc>
          <w:tcPr>
            <w:tcW w:w="3958" w:type="dxa"/>
            <w:vMerge w:val="continue"/>
            <w:tcBorders>
              <w:top w:val="single" w:color="auto" w:sz="2" w:space="0"/>
              <w:left w:val="nil"/>
              <w:bottom w:val="nil"/>
              <w:right w:val="nil"/>
            </w:tcBorders>
            <w:vAlign w:val="center"/>
          </w:tcPr>
          <w:p w14:paraId="287D3D70">
            <w:pPr>
              <w:spacing w:line="360" w:lineRule="exact"/>
              <w:ind w:firstLine="360"/>
              <w:rPr>
                <w:sz w:val="18"/>
                <w:szCs w:val="18"/>
              </w:rPr>
            </w:pPr>
          </w:p>
        </w:tc>
      </w:tr>
      <w:tr w14:paraId="6C4E21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121D7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63BF477">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22A4BD">
            <w:pPr>
              <w:spacing w:line="360" w:lineRule="exact"/>
              <w:ind w:firstLine="360"/>
              <w:rPr>
                <w:sz w:val="18"/>
                <w:szCs w:val="18"/>
              </w:rPr>
            </w:pPr>
          </w:p>
        </w:tc>
      </w:tr>
    </w:tbl>
    <w:p w14:paraId="285B4AC8">
      <w:pPr>
        <w:jc w:val="center"/>
        <w:rPr>
          <w:b/>
          <w:bCs/>
          <w:sz w:val="32"/>
          <w:szCs w:val="32"/>
        </w:rPr>
      </w:pPr>
      <w:r>
        <w:rPr>
          <w:b/>
          <w:bCs/>
          <w:sz w:val="28"/>
          <w:szCs w:val="32"/>
        </w:rPr>
        <w:br w:type="page"/>
      </w:r>
      <w:r>
        <w:rPr>
          <w:rFonts w:hint="eastAsia"/>
          <w:b/>
          <w:bCs/>
          <w:sz w:val="28"/>
          <w:szCs w:val="32"/>
        </w:rPr>
        <w:t>目  录</w:t>
      </w:r>
    </w:p>
    <w:p w14:paraId="1102DC59">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_Toc28102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_Toc28102 \h </w:instrText>
      </w:r>
      <w:r>
        <w:fldChar w:fldCharType="separate"/>
      </w:r>
      <w:r>
        <w:t>3</w:t>
      </w:r>
      <w:r>
        <w:fldChar w:fldCharType="end"/>
      </w:r>
      <w:r>
        <w:rPr>
          <w:caps/>
        </w:rPr>
        <w:fldChar w:fldCharType="end"/>
      </w:r>
    </w:p>
    <w:p w14:paraId="783BF7BA">
      <w:pPr>
        <w:pStyle w:val="20"/>
        <w:tabs>
          <w:tab w:val="right" w:leader="dot" w:pos="8306"/>
          <w:tab w:val="clear" w:pos="540"/>
          <w:tab w:val="clear" w:pos="840"/>
          <w:tab w:val="clear" w:pos="8222"/>
          <w:tab w:val="clear" w:pos="8296"/>
        </w:tabs>
      </w:pPr>
      <w:r>
        <w:fldChar w:fldCharType="begin"/>
      </w:r>
      <w:r>
        <w:instrText xml:space="preserve"> HYPERLINK \l _Toc10120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_Toc10120 \h </w:instrText>
      </w:r>
      <w:r>
        <w:fldChar w:fldCharType="separate"/>
      </w:r>
      <w:r>
        <w:t>3</w:t>
      </w:r>
      <w:r>
        <w:fldChar w:fldCharType="end"/>
      </w:r>
      <w:r>
        <w:fldChar w:fldCharType="end"/>
      </w:r>
    </w:p>
    <w:p w14:paraId="76410ECF">
      <w:pPr>
        <w:pStyle w:val="20"/>
        <w:tabs>
          <w:tab w:val="right" w:leader="dot" w:pos="8306"/>
          <w:tab w:val="clear" w:pos="540"/>
          <w:tab w:val="clear" w:pos="840"/>
          <w:tab w:val="clear" w:pos="8222"/>
          <w:tab w:val="clear" w:pos="8296"/>
        </w:tabs>
      </w:pPr>
      <w:r>
        <w:fldChar w:fldCharType="begin"/>
      </w:r>
      <w:r>
        <w:instrText xml:space="preserve"> HYPERLINK \l _Toc5029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_Toc5029 \h </w:instrText>
      </w:r>
      <w:r>
        <w:fldChar w:fldCharType="separate"/>
      </w:r>
      <w:r>
        <w:t>3</w:t>
      </w:r>
      <w:r>
        <w:fldChar w:fldCharType="end"/>
      </w:r>
      <w:r>
        <w:fldChar w:fldCharType="end"/>
      </w:r>
    </w:p>
    <w:p w14:paraId="63F01922">
      <w:pPr>
        <w:pStyle w:val="19"/>
        <w:tabs>
          <w:tab w:val="right" w:leader="dot" w:pos="8306"/>
          <w:tab w:val="clear" w:pos="180"/>
          <w:tab w:val="clear" w:pos="420"/>
          <w:tab w:val="clear" w:pos="8222"/>
        </w:tabs>
      </w:pPr>
      <w:r>
        <w:fldChar w:fldCharType="begin"/>
      </w:r>
      <w:r>
        <w:instrText xml:space="preserve"> HYPERLINK \l _Toc30293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_Toc30293 \h </w:instrText>
      </w:r>
      <w:r>
        <w:fldChar w:fldCharType="separate"/>
      </w:r>
      <w:r>
        <w:t>4</w:t>
      </w:r>
      <w:r>
        <w:fldChar w:fldCharType="end"/>
      </w:r>
      <w:r>
        <w:fldChar w:fldCharType="end"/>
      </w:r>
    </w:p>
    <w:p w14:paraId="1C053BC4">
      <w:pPr>
        <w:pStyle w:val="19"/>
        <w:tabs>
          <w:tab w:val="right" w:leader="dot" w:pos="8306"/>
          <w:tab w:val="clear" w:pos="180"/>
          <w:tab w:val="clear" w:pos="420"/>
          <w:tab w:val="clear" w:pos="8222"/>
        </w:tabs>
      </w:pPr>
      <w:r>
        <w:fldChar w:fldCharType="begin"/>
      </w:r>
      <w:r>
        <w:instrText xml:space="preserve"> HYPERLINK \l _Toc16288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_Toc16288 \h </w:instrText>
      </w:r>
      <w:r>
        <w:fldChar w:fldCharType="separate"/>
      </w:r>
      <w:r>
        <w:t>5</w:t>
      </w:r>
      <w:r>
        <w:fldChar w:fldCharType="end"/>
      </w:r>
      <w:r>
        <w:fldChar w:fldCharType="end"/>
      </w:r>
    </w:p>
    <w:p w14:paraId="2FF2EF15">
      <w:pPr>
        <w:pStyle w:val="19"/>
        <w:tabs>
          <w:tab w:val="right" w:leader="dot" w:pos="8306"/>
          <w:tab w:val="clear" w:pos="180"/>
          <w:tab w:val="clear" w:pos="420"/>
          <w:tab w:val="clear" w:pos="8222"/>
        </w:tabs>
      </w:pPr>
      <w:r>
        <w:fldChar w:fldCharType="begin"/>
      </w:r>
      <w:r>
        <w:instrText xml:space="preserve"> HYPERLINK \l _Toc7259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_Toc7259 \h </w:instrText>
      </w:r>
      <w:r>
        <w:fldChar w:fldCharType="separate"/>
      </w:r>
      <w:r>
        <w:t>5</w:t>
      </w:r>
      <w:r>
        <w:fldChar w:fldCharType="end"/>
      </w:r>
      <w:r>
        <w:fldChar w:fldCharType="end"/>
      </w:r>
    </w:p>
    <w:p w14:paraId="7F72A02F">
      <w:pPr>
        <w:pStyle w:val="20"/>
        <w:tabs>
          <w:tab w:val="right" w:leader="dot" w:pos="8306"/>
          <w:tab w:val="clear" w:pos="540"/>
          <w:tab w:val="clear" w:pos="840"/>
          <w:tab w:val="clear" w:pos="8222"/>
          <w:tab w:val="clear" w:pos="8296"/>
        </w:tabs>
      </w:pPr>
      <w:r>
        <w:fldChar w:fldCharType="begin"/>
      </w:r>
      <w:r>
        <w:instrText xml:space="preserve"> HYPERLINK \l _Toc30274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_Toc30274 \h </w:instrText>
      </w:r>
      <w:r>
        <w:fldChar w:fldCharType="separate"/>
      </w:r>
      <w:r>
        <w:t>5</w:t>
      </w:r>
      <w:r>
        <w:fldChar w:fldCharType="end"/>
      </w:r>
      <w:r>
        <w:fldChar w:fldCharType="end"/>
      </w:r>
    </w:p>
    <w:p w14:paraId="7C8488F5">
      <w:pPr>
        <w:pStyle w:val="20"/>
        <w:tabs>
          <w:tab w:val="right" w:leader="dot" w:pos="8306"/>
          <w:tab w:val="clear" w:pos="540"/>
          <w:tab w:val="clear" w:pos="840"/>
          <w:tab w:val="clear" w:pos="8222"/>
          <w:tab w:val="clear" w:pos="8296"/>
        </w:tabs>
      </w:pPr>
      <w:r>
        <w:fldChar w:fldCharType="begin"/>
      </w:r>
      <w:r>
        <w:instrText xml:space="preserve"> HYPERLINK \l _Toc2681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_Toc2681 \h </w:instrText>
      </w:r>
      <w:r>
        <w:fldChar w:fldCharType="separate"/>
      </w:r>
      <w:r>
        <w:t>6</w:t>
      </w:r>
      <w:r>
        <w:fldChar w:fldCharType="end"/>
      </w:r>
      <w:r>
        <w:fldChar w:fldCharType="end"/>
      </w:r>
    </w:p>
    <w:p w14:paraId="588573DE">
      <w:pPr>
        <w:pStyle w:val="20"/>
        <w:tabs>
          <w:tab w:val="right" w:leader="dot" w:pos="8306"/>
          <w:tab w:val="clear" w:pos="540"/>
          <w:tab w:val="clear" w:pos="840"/>
          <w:tab w:val="clear" w:pos="8222"/>
          <w:tab w:val="clear" w:pos="8296"/>
        </w:tabs>
      </w:pPr>
      <w:r>
        <w:fldChar w:fldCharType="begin"/>
      </w:r>
      <w:r>
        <w:instrText xml:space="preserve"> HYPERLINK \l _Toc20865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_Toc20865 \h </w:instrText>
      </w:r>
      <w:r>
        <w:fldChar w:fldCharType="separate"/>
      </w:r>
      <w:r>
        <w:t>8</w:t>
      </w:r>
      <w:r>
        <w:fldChar w:fldCharType="end"/>
      </w:r>
      <w:r>
        <w:fldChar w:fldCharType="end"/>
      </w:r>
    </w:p>
    <w:p w14:paraId="07328719">
      <w:pPr>
        <w:pStyle w:val="20"/>
        <w:tabs>
          <w:tab w:val="right" w:leader="dot" w:pos="8306"/>
          <w:tab w:val="clear" w:pos="540"/>
          <w:tab w:val="clear" w:pos="840"/>
          <w:tab w:val="clear" w:pos="8222"/>
          <w:tab w:val="clear" w:pos="8296"/>
        </w:tabs>
      </w:pPr>
      <w:r>
        <w:fldChar w:fldCharType="begin"/>
      </w:r>
      <w:r>
        <w:instrText xml:space="preserve"> HYPERLINK \l _Toc29968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_Toc29968 \h </w:instrText>
      </w:r>
      <w:r>
        <w:fldChar w:fldCharType="separate"/>
      </w:r>
      <w:r>
        <w:t>10</w:t>
      </w:r>
      <w:r>
        <w:fldChar w:fldCharType="end"/>
      </w:r>
      <w:r>
        <w:fldChar w:fldCharType="end"/>
      </w:r>
    </w:p>
    <w:p w14:paraId="0BF5B1BE">
      <w:pPr>
        <w:pStyle w:val="20"/>
        <w:tabs>
          <w:tab w:val="right" w:leader="dot" w:pos="8306"/>
          <w:tab w:val="clear" w:pos="540"/>
          <w:tab w:val="clear" w:pos="840"/>
          <w:tab w:val="clear" w:pos="8222"/>
          <w:tab w:val="clear" w:pos="8296"/>
        </w:tabs>
      </w:pPr>
      <w:r>
        <w:fldChar w:fldCharType="begin"/>
      </w:r>
      <w:r>
        <w:instrText xml:space="preserve"> HYPERLINK \l _Toc21851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_Toc21851 \h </w:instrText>
      </w:r>
      <w:r>
        <w:fldChar w:fldCharType="separate"/>
      </w:r>
      <w:r>
        <w:t>10</w:t>
      </w:r>
      <w:r>
        <w:fldChar w:fldCharType="end"/>
      </w:r>
      <w:r>
        <w:fldChar w:fldCharType="end"/>
      </w:r>
    </w:p>
    <w:p w14:paraId="5B05F97E">
      <w:pPr>
        <w:pStyle w:val="20"/>
        <w:tabs>
          <w:tab w:val="right" w:leader="dot" w:pos="8306"/>
          <w:tab w:val="clear" w:pos="540"/>
          <w:tab w:val="clear" w:pos="840"/>
          <w:tab w:val="clear" w:pos="8222"/>
          <w:tab w:val="clear" w:pos="8296"/>
        </w:tabs>
      </w:pPr>
      <w:r>
        <w:fldChar w:fldCharType="begin"/>
      </w:r>
      <w:r>
        <w:instrText xml:space="preserve"> HYPERLINK \l _Toc29893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_Toc29893 \h </w:instrText>
      </w:r>
      <w:r>
        <w:fldChar w:fldCharType="separate"/>
      </w:r>
      <w:r>
        <w:t>11</w:t>
      </w:r>
      <w:r>
        <w:fldChar w:fldCharType="end"/>
      </w:r>
      <w:r>
        <w:fldChar w:fldCharType="end"/>
      </w:r>
    </w:p>
    <w:p w14:paraId="479383EF">
      <w:pPr>
        <w:pStyle w:val="19"/>
        <w:tabs>
          <w:tab w:val="right" w:leader="dot" w:pos="8306"/>
          <w:tab w:val="clear" w:pos="180"/>
          <w:tab w:val="clear" w:pos="420"/>
          <w:tab w:val="clear" w:pos="8222"/>
        </w:tabs>
      </w:pPr>
      <w:r>
        <w:fldChar w:fldCharType="begin"/>
      </w:r>
      <w:r>
        <w:instrText xml:space="preserve"> HYPERLINK \l _Toc12819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_Toc12819 \h </w:instrText>
      </w:r>
      <w:r>
        <w:fldChar w:fldCharType="separate"/>
      </w:r>
      <w:r>
        <w:t>12</w:t>
      </w:r>
      <w:r>
        <w:fldChar w:fldCharType="end"/>
      </w:r>
      <w:r>
        <w:fldChar w:fldCharType="end"/>
      </w:r>
    </w:p>
    <w:p w14:paraId="61B39DF5">
      <w:pPr>
        <w:pStyle w:val="20"/>
        <w:tabs>
          <w:tab w:val="right" w:leader="dot" w:pos="8306"/>
          <w:tab w:val="clear" w:pos="540"/>
          <w:tab w:val="clear" w:pos="840"/>
          <w:tab w:val="clear" w:pos="8222"/>
          <w:tab w:val="clear" w:pos="8296"/>
        </w:tabs>
      </w:pPr>
      <w:r>
        <w:fldChar w:fldCharType="begin"/>
      </w:r>
      <w:r>
        <w:instrText xml:space="preserve"> HYPERLINK \l _Toc21048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_Toc21048 \h </w:instrText>
      </w:r>
      <w:r>
        <w:fldChar w:fldCharType="separate"/>
      </w:r>
      <w:r>
        <w:t>12</w:t>
      </w:r>
      <w:r>
        <w:fldChar w:fldCharType="end"/>
      </w:r>
      <w:r>
        <w:fldChar w:fldCharType="end"/>
      </w:r>
    </w:p>
    <w:p w14:paraId="76967759">
      <w:pPr>
        <w:pStyle w:val="20"/>
        <w:tabs>
          <w:tab w:val="right" w:leader="dot" w:pos="8306"/>
          <w:tab w:val="clear" w:pos="540"/>
          <w:tab w:val="clear" w:pos="840"/>
          <w:tab w:val="clear" w:pos="8222"/>
          <w:tab w:val="clear" w:pos="8296"/>
        </w:tabs>
      </w:pPr>
      <w:r>
        <w:fldChar w:fldCharType="begin"/>
      </w:r>
      <w:r>
        <w:instrText xml:space="preserve"> HYPERLINK \l _Toc10634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_Toc10634 \h </w:instrText>
      </w:r>
      <w:r>
        <w:fldChar w:fldCharType="separate"/>
      </w:r>
      <w:r>
        <w:t>12</w:t>
      </w:r>
      <w:r>
        <w:fldChar w:fldCharType="end"/>
      </w:r>
      <w:r>
        <w:fldChar w:fldCharType="end"/>
      </w:r>
    </w:p>
    <w:p w14:paraId="4EE6E8A2">
      <w:pPr>
        <w:pStyle w:val="19"/>
        <w:tabs>
          <w:tab w:val="right" w:leader="dot" w:pos="8306"/>
          <w:tab w:val="clear" w:pos="180"/>
          <w:tab w:val="clear" w:pos="420"/>
          <w:tab w:val="clear" w:pos="8222"/>
        </w:tabs>
      </w:pPr>
      <w:r>
        <w:fldChar w:fldCharType="begin"/>
      </w:r>
      <w:r>
        <w:instrText xml:space="preserve"> HYPERLINK \l _Toc31870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_Toc31870 \h </w:instrText>
      </w:r>
      <w:r>
        <w:fldChar w:fldCharType="separate"/>
      </w:r>
      <w:r>
        <w:t>17</w:t>
      </w:r>
      <w:r>
        <w:fldChar w:fldCharType="end"/>
      </w:r>
      <w:r>
        <w:fldChar w:fldCharType="end"/>
      </w:r>
    </w:p>
    <w:p w14:paraId="69C3F203">
      <w:pPr>
        <w:pStyle w:val="20"/>
        <w:tabs>
          <w:tab w:val="right" w:leader="dot" w:pos="8306"/>
          <w:tab w:val="clear" w:pos="540"/>
          <w:tab w:val="clear" w:pos="840"/>
          <w:tab w:val="clear" w:pos="8222"/>
          <w:tab w:val="clear" w:pos="8296"/>
        </w:tabs>
      </w:pPr>
      <w:r>
        <w:fldChar w:fldCharType="begin"/>
      </w:r>
      <w:r>
        <w:instrText xml:space="preserve"> HYPERLINK \l _Toc14422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_Toc14422 \h </w:instrText>
      </w:r>
      <w:r>
        <w:fldChar w:fldCharType="separate"/>
      </w:r>
      <w:r>
        <w:t>17</w:t>
      </w:r>
      <w:r>
        <w:fldChar w:fldCharType="end"/>
      </w:r>
      <w:r>
        <w:fldChar w:fldCharType="end"/>
      </w:r>
    </w:p>
    <w:p w14:paraId="3E6DD533">
      <w:pPr>
        <w:pStyle w:val="19"/>
        <w:tabs>
          <w:tab w:val="right" w:leader="dot" w:pos="8306"/>
          <w:tab w:val="clear" w:pos="180"/>
          <w:tab w:val="clear" w:pos="420"/>
          <w:tab w:val="clear" w:pos="8222"/>
        </w:tabs>
      </w:pPr>
      <w:r>
        <w:fldChar w:fldCharType="begin"/>
      </w:r>
      <w:r>
        <w:instrText xml:space="preserve"> HYPERLINK \l _Toc26722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_Toc26722 \h </w:instrText>
      </w:r>
      <w:r>
        <w:fldChar w:fldCharType="separate"/>
      </w:r>
      <w:r>
        <w:t>18</w:t>
      </w:r>
      <w:r>
        <w:fldChar w:fldCharType="end"/>
      </w:r>
      <w:r>
        <w:fldChar w:fldCharType="end"/>
      </w:r>
    </w:p>
    <w:p w14:paraId="1FDD2D95">
      <w:pPr>
        <w:pStyle w:val="20"/>
        <w:tabs>
          <w:tab w:val="right" w:leader="dot" w:pos="8306"/>
          <w:tab w:val="clear" w:pos="540"/>
          <w:tab w:val="clear" w:pos="840"/>
          <w:tab w:val="clear" w:pos="8222"/>
          <w:tab w:val="clear" w:pos="8296"/>
        </w:tabs>
      </w:pPr>
      <w:r>
        <w:fldChar w:fldCharType="begin"/>
      </w:r>
      <w:r>
        <w:instrText xml:space="preserve"> HYPERLINK \l _Toc26744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_Toc26744 \h </w:instrText>
      </w:r>
      <w:r>
        <w:fldChar w:fldCharType="separate"/>
      </w:r>
      <w:r>
        <w:t>18</w:t>
      </w:r>
      <w:r>
        <w:fldChar w:fldCharType="end"/>
      </w:r>
      <w:r>
        <w:fldChar w:fldCharType="end"/>
      </w:r>
    </w:p>
    <w:p w14:paraId="2415D8DB">
      <w:pPr>
        <w:pStyle w:val="20"/>
        <w:tabs>
          <w:tab w:val="right" w:leader="dot" w:pos="8306"/>
          <w:tab w:val="clear" w:pos="540"/>
          <w:tab w:val="clear" w:pos="840"/>
          <w:tab w:val="clear" w:pos="8222"/>
          <w:tab w:val="clear" w:pos="8296"/>
        </w:tabs>
      </w:pPr>
      <w:r>
        <w:fldChar w:fldCharType="begin"/>
      </w:r>
      <w:r>
        <w:instrText xml:space="preserve"> HYPERLINK \l _Toc18102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_Toc18102 \h </w:instrText>
      </w:r>
      <w:r>
        <w:fldChar w:fldCharType="separate"/>
      </w:r>
      <w:r>
        <w:t>18</w:t>
      </w:r>
      <w:r>
        <w:fldChar w:fldCharType="end"/>
      </w:r>
      <w:r>
        <w:fldChar w:fldCharType="end"/>
      </w:r>
    </w:p>
    <w:p w14:paraId="01C10969">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477739A8">
      <w:pPr>
        <w:pStyle w:val="2"/>
        <w:rPr>
          <w:rFonts w:ascii="微软雅黑" w:hAnsi="微软雅黑"/>
        </w:rPr>
      </w:pPr>
      <w:bookmarkStart w:id="12" w:name="_Toc452108759"/>
      <w:bookmarkStart w:id="13" w:name="_Toc28102"/>
      <w:r>
        <w:rPr>
          <w:rFonts w:hint="eastAsia" w:ascii="微软雅黑" w:hAnsi="微软雅黑"/>
        </w:rPr>
        <w:t>项目概况</w:t>
      </w:r>
      <w:bookmarkEnd w:id="12"/>
      <w:bookmarkEnd w:id="13"/>
    </w:p>
    <w:p w14:paraId="1ECA2F66">
      <w:pPr>
        <w:ind w:firstLine="424" w:firstLineChars="202"/>
        <w:rPr>
          <w:lang w:val="en-US"/>
        </w:rPr>
      </w:pPr>
      <w:bookmarkStart w:id="14" w:name="项目概况"/>
      <w:bookmarkEnd w:id="14"/>
    </w:p>
    <w:p w14:paraId="1B93E81A">
      <w:pPr>
        <w:pStyle w:val="3"/>
        <w:ind w:firstLine="420"/>
        <w:rPr>
          <w:rFonts w:ascii="微软雅黑" w:hAnsi="微软雅黑" w:eastAsia="微软雅黑"/>
          <w:lang w:val="en-US"/>
        </w:rPr>
      </w:pPr>
    </w:p>
    <w:p w14:paraId="406702A0">
      <w:pPr>
        <w:pStyle w:val="4"/>
      </w:pPr>
      <w:bookmarkStart w:id="15" w:name="_Toc452108760"/>
      <w:bookmarkStart w:id="16" w:name="_Toc10120"/>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97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462BD35">
            <w:pPr>
              <w:pStyle w:val="3"/>
              <w:spacing w:line="240" w:lineRule="auto"/>
              <w:ind w:firstLine="0" w:firstLineChars="0"/>
              <w:jc w:val="center"/>
              <w:rPr>
                <w:rFonts w:ascii="微软雅黑" w:hAnsi="微软雅黑" w:eastAsia="微软雅黑"/>
                <w:lang w:val="en-US"/>
              </w:rPr>
            </w:pPr>
          </w:p>
        </w:tc>
        <w:tc>
          <w:tcPr>
            <w:tcW w:w="1185" w:type="dxa"/>
            <w:vAlign w:val="center"/>
          </w:tcPr>
          <w:p w14:paraId="6FB5C44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16301D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5D14E75">
            <w:pPr>
              <w:pStyle w:val="3"/>
              <w:spacing w:line="220" w:lineRule="exact"/>
              <w:ind w:firstLine="0" w:firstLineChars="0"/>
              <w:jc w:val="center"/>
              <w:rPr>
                <w:rFonts w:ascii="微软雅黑" w:hAnsi="微软雅黑" w:eastAsia="微软雅黑"/>
                <w:lang w:val="en-US"/>
              </w:rPr>
            </w:pPr>
          </w:p>
        </w:tc>
        <w:tc>
          <w:tcPr>
            <w:tcW w:w="1407" w:type="dxa"/>
            <w:vAlign w:val="center"/>
          </w:tcPr>
          <w:p w14:paraId="667C4BB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700EFA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516D7DB">
            <w:pPr>
              <w:pStyle w:val="3"/>
              <w:spacing w:line="240" w:lineRule="auto"/>
              <w:ind w:firstLine="0" w:firstLineChars="0"/>
              <w:jc w:val="center"/>
              <w:rPr>
                <w:rFonts w:ascii="微软雅黑" w:hAnsi="微软雅黑" w:eastAsia="微软雅黑"/>
                <w:lang w:val="en-US"/>
              </w:rPr>
            </w:pPr>
          </w:p>
        </w:tc>
        <w:tc>
          <w:tcPr>
            <w:tcW w:w="1408" w:type="dxa"/>
            <w:vAlign w:val="center"/>
          </w:tcPr>
          <w:p w14:paraId="2301749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DB1546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A406626">
            <w:pPr>
              <w:pStyle w:val="3"/>
              <w:spacing w:line="240" w:lineRule="auto"/>
              <w:ind w:firstLine="0" w:firstLineChars="0"/>
              <w:jc w:val="center"/>
              <w:rPr>
                <w:rFonts w:ascii="微软雅黑" w:hAnsi="微软雅黑" w:eastAsia="微软雅黑"/>
                <w:lang w:val="en-US"/>
              </w:rPr>
            </w:pPr>
          </w:p>
        </w:tc>
        <w:tc>
          <w:tcPr>
            <w:tcW w:w="1266" w:type="dxa"/>
            <w:vAlign w:val="center"/>
          </w:tcPr>
          <w:p w14:paraId="79994E2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B6CBB7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4A0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4327F40">
            <w:pPr>
              <w:pStyle w:val="3"/>
              <w:spacing w:line="240" w:lineRule="auto"/>
              <w:ind w:firstLine="0" w:firstLineChars="0"/>
              <w:jc w:val="center"/>
              <w:rPr>
                <w:rFonts w:ascii="微软雅黑" w:hAnsi="微软雅黑" w:eastAsia="微软雅黑"/>
                <w:lang w:val="en-US"/>
              </w:rPr>
            </w:pPr>
          </w:p>
        </w:tc>
        <w:tc>
          <w:tcPr>
            <w:tcW w:w="1185" w:type="dxa"/>
            <w:vAlign w:val="center"/>
          </w:tcPr>
          <w:p w14:paraId="5867624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B155F1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F24EE08">
            <w:pPr>
              <w:pStyle w:val="3"/>
              <w:spacing w:line="220" w:lineRule="exact"/>
              <w:ind w:firstLine="0" w:firstLineChars="0"/>
              <w:jc w:val="center"/>
              <w:rPr>
                <w:rFonts w:ascii="微软雅黑" w:hAnsi="微软雅黑" w:eastAsia="微软雅黑"/>
                <w:lang w:val="en-US"/>
              </w:rPr>
            </w:pPr>
          </w:p>
        </w:tc>
        <w:tc>
          <w:tcPr>
            <w:tcW w:w="1407" w:type="dxa"/>
            <w:vAlign w:val="center"/>
          </w:tcPr>
          <w:p w14:paraId="716B24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275191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05A1F2E">
            <w:pPr>
              <w:pStyle w:val="3"/>
              <w:spacing w:line="240" w:lineRule="auto"/>
              <w:ind w:firstLine="0" w:firstLineChars="0"/>
              <w:jc w:val="center"/>
              <w:rPr>
                <w:rFonts w:ascii="微软雅黑" w:hAnsi="微软雅黑" w:eastAsia="微软雅黑"/>
                <w:lang w:val="en-US"/>
              </w:rPr>
            </w:pPr>
          </w:p>
        </w:tc>
        <w:tc>
          <w:tcPr>
            <w:tcW w:w="1408" w:type="dxa"/>
            <w:vAlign w:val="center"/>
          </w:tcPr>
          <w:p w14:paraId="696115E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9D0DEB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A90B12F">
            <w:pPr>
              <w:pStyle w:val="3"/>
              <w:spacing w:line="240" w:lineRule="auto"/>
              <w:ind w:firstLine="0" w:firstLineChars="0"/>
              <w:jc w:val="center"/>
              <w:rPr>
                <w:rFonts w:ascii="微软雅黑" w:hAnsi="微软雅黑" w:eastAsia="微软雅黑"/>
                <w:lang w:val="en-US"/>
              </w:rPr>
            </w:pPr>
          </w:p>
        </w:tc>
        <w:tc>
          <w:tcPr>
            <w:tcW w:w="1266" w:type="dxa"/>
            <w:vAlign w:val="center"/>
          </w:tcPr>
          <w:p w14:paraId="1265BE5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3D0F683">
      <w:pPr>
        <w:pStyle w:val="3"/>
        <w:ind w:firstLine="0" w:firstLineChars="0"/>
        <w:jc w:val="center"/>
        <w:rPr>
          <w:rFonts w:ascii="微软雅黑" w:hAnsi="微软雅黑" w:eastAsia="微软雅黑"/>
          <w:lang w:val="en-US"/>
        </w:rPr>
      </w:pPr>
    </w:p>
    <w:p w14:paraId="50F29BE2">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4E0AEEB9">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583D4030">
      <w:pPr>
        <w:pStyle w:val="3"/>
        <w:ind w:firstLine="420"/>
        <w:rPr>
          <w:rFonts w:ascii="微软雅黑" w:hAnsi="微软雅黑" w:eastAsia="微软雅黑"/>
          <w:lang w:val="en-US"/>
        </w:rPr>
      </w:pPr>
    </w:p>
    <w:p w14:paraId="145FBD0B">
      <w:pPr>
        <w:pStyle w:val="4"/>
      </w:pPr>
      <w:bookmarkStart w:id="18" w:name="_Toc5029"/>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A4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761E927">
            <w:pPr>
              <w:pStyle w:val="3"/>
              <w:spacing w:line="240" w:lineRule="auto"/>
              <w:ind w:firstLine="0" w:firstLineChars="0"/>
              <w:jc w:val="center"/>
              <w:rPr>
                <w:rFonts w:ascii="微软雅黑" w:hAnsi="微软雅黑" w:eastAsia="微软雅黑"/>
                <w:lang w:val="en-US"/>
              </w:rPr>
            </w:pPr>
          </w:p>
        </w:tc>
        <w:tc>
          <w:tcPr>
            <w:tcW w:w="1185" w:type="dxa"/>
            <w:vAlign w:val="center"/>
          </w:tcPr>
          <w:p w14:paraId="3CC3EDC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822936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8300CFE">
            <w:pPr>
              <w:pStyle w:val="3"/>
              <w:spacing w:line="220" w:lineRule="exact"/>
              <w:ind w:firstLine="0" w:firstLineChars="0"/>
              <w:jc w:val="center"/>
              <w:rPr>
                <w:rFonts w:ascii="微软雅黑" w:hAnsi="微软雅黑" w:eastAsia="微软雅黑"/>
                <w:lang w:val="en-US"/>
              </w:rPr>
            </w:pPr>
          </w:p>
        </w:tc>
        <w:tc>
          <w:tcPr>
            <w:tcW w:w="1407" w:type="dxa"/>
            <w:vAlign w:val="center"/>
          </w:tcPr>
          <w:p w14:paraId="795AAFB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0425B9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8177BBE">
            <w:pPr>
              <w:pStyle w:val="3"/>
              <w:spacing w:line="240" w:lineRule="auto"/>
              <w:ind w:firstLine="0" w:firstLineChars="0"/>
              <w:jc w:val="center"/>
              <w:rPr>
                <w:rFonts w:ascii="微软雅黑" w:hAnsi="微软雅黑" w:eastAsia="微软雅黑"/>
                <w:lang w:val="en-US"/>
              </w:rPr>
            </w:pPr>
          </w:p>
        </w:tc>
        <w:tc>
          <w:tcPr>
            <w:tcW w:w="1408" w:type="dxa"/>
            <w:vAlign w:val="center"/>
          </w:tcPr>
          <w:p w14:paraId="2A8B3E8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8B34B5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FACEA82">
            <w:pPr>
              <w:pStyle w:val="3"/>
              <w:spacing w:line="240" w:lineRule="auto"/>
              <w:ind w:firstLine="0" w:firstLineChars="0"/>
              <w:jc w:val="center"/>
              <w:rPr>
                <w:rFonts w:ascii="微软雅黑" w:hAnsi="微软雅黑" w:eastAsia="微软雅黑"/>
                <w:lang w:val="en-US"/>
              </w:rPr>
            </w:pPr>
          </w:p>
        </w:tc>
        <w:tc>
          <w:tcPr>
            <w:tcW w:w="1266" w:type="dxa"/>
            <w:vAlign w:val="center"/>
          </w:tcPr>
          <w:p w14:paraId="03CC80B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DA2082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699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CFED071">
            <w:pPr>
              <w:pStyle w:val="3"/>
              <w:spacing w:line="240" w:lineRule="auto"/>
              <w:ind w:firstLine="0" w:firstLineChars="0"/>
              <w:jc w:val="center"/>
              <w:rPr>
                <w:rFonts w:ascii="微软雅黑" w:hAnsi="微软雅黑" w:eastAsia="微软雅黑"/>
                <w:lang w:val="en-US"/>
              </w:rPr>
            </w:pPr>
          </w:p>
        </w:tc>
        <w:tc>
          <w:tcPr>
            <w:tcW w:w="1185" w:type="dxa"/>
            <w:vAlign w:val="center"/>
          </w:tcPr>
          <w:p w14:paraId="174A9FA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CFBD63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5EA2BC8">
            <w:pPr>
              <w:pStyle w:val="3"/>
              <w:spacing w:line="220" w:lineRule="exact"/>
              <w:ind w:firstLine="0" w:firstLineChars="0"/>
              <w:jc w:val="center"/>
              <w:rPr>
                <w:rFonts w:ascii="微软雅黑" w:hAnsi="微软雅黑" w:eastAsia="微软雅黑"/>
                <w:lang w:val="en-US"/>
              </w:rPr>
            </w:pPr>
          </w:p>
        </w:tc>
        <w:tc>
          <w:tcPr>
            <w:tcW w:w="1407" w:type="dxa"/>
            <w:vAlign w:val="center"/>
          </w:tcPr>
          <w:p w14:paraId="5904591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1941C5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F0166B5">
            <w:pPr>
              <w:pStyle w:val="3"/>
              <w:spacing w:line="240" w:lineRule="auto"/>
              <w:ind w:firstLine="0" w:firstLineChars="0"/>
              <w:jc w:val="center"/>
              <w:rPr>
                <w:rFonts w:ascii="微软雅黑" w:hAnsi="微软雅黑" w:eastAsia="微软雅黑"/>
                <w:lang w:val="en-US"/>
              </w:rPr>
            </w:pPr>
          </w:p>
        </w:tc>
        <w:tc>
          <w:tcPr>
            <w:tcW w:w="1408" w:type="dxa"/>
            <w:vAlign w:val="center"/>
          </w:tcPr>
          <w:p w14:paraId="6575317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B55219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E645D3E">
            <w:pPr>
              <w:pStyle w:val="3"/>
              <w:spacing w:line="240" w:lineRule="auto"/>
              <w:ind w:firstLine="0" w:firstLineChars="0"/>
              <w:jc w:val="center"/>
              <w:rPr>
                <w:rFonts w:ascii="微软雅黑" w:hAnsi="微软雅黑" w:eastAsia="微软雅黑"/>
                <w:lang w:val="en-US"/>
              </w:rPr>
            </w:pPr>
          </w:p>
        </w:tc>
        <w:tc>
          <w:tcPr>
            <w:tcW w:w="1266" w:type="dxa"/>
            <w:vAlign w:val="center"/>
          </w:tcPr>
          <w:p w14:paraId="69B2AC0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1AB3772">
      <w:pPr>
        <w:pStyle w:val="3"/>
        <w:ind w:firstLine="0" w:firstLineChars="0"/>
        <w:jc w:val="center"/>
        <w:rPr>
          <w:rFonts w:ascii="微软雅黑" w:hAnsi="微软雅黑" w:eastAsia="微软雅黑"/>
          <w:lang w:val="en-US"/>
        </w:rPr>
      </w:pPr>
    </w:p>
    <w:p w14:paraId="0E8560A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596EF8D8">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6BCB12DA">
      <w:pPr>
        <w:pStyle w:val="3"/>
        <w:ind w:firstLine="0" w:firstLineChars="0"/>
        <w:rPr>
          <w:rFonts w:ascii="微软雅黑" w:hAnsi="微软雅黑" w:eastAsia="微软雅黑"/>
          <w:lang w:val="en-US"/>
        </w:rPr>
      </w:pPr>
    </w:p>
    <w:p w14:paraId="79D5C1D3">
      <w:pPr>
        <w:pStyle w:val="2"/>
        <w:rPr>
          <w:rFonts w:ascii="微软雅黑" w:hAnsi="微软雅黑"/>
        </w:rPr>
      </w:pPr>
      <w:bookmarkStart w:id="21" w:name="_Toc452108762"/>
      <w:bookmarkStart w:id="22" w:name="TitleFormat"/>
      <w:bookmarkStart w:id="23" w:name="_Toc30293"/>
      <w:r>
        <w:rPr>
          <w:rFonts w:hint="eastAsia" w:ascii="微软雅黑" w:hAnsi="微软雅黑"/>
        </w:rPr>
        <w:t>计算</w:t>
      </w:r>
      <w:r>
        <w:rPr>
          <w:rFonts w:ascii="微软雅黑" w:hAnsi="微软雅黑"/>
        </w:rPr>
        <w:t>依据</w:t>
      </w:r>
      <w:bookmarkEnd w:id="21"/>
      <w:bookmarkEnd w:id="22"/>
      <w:bookmarkEnd w:id="23"/>
    </w:p>
    <w:p w14:paraId="76806214">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A84FEC2">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4D8F44B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649793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3C0920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63CEE84">
      <w:pPr>
        <w:pStyle w:val="2"/>
        <w:rPr>
          <w:rFonts w:ascii="微软雅黑" w:hAnsi="微软雅黑"/>
        </w:rPr>
      </w:pPr>
      <w:bookmarkStart w:id="25" w:name="_Toc452108763"/>
      <w:bookmarkStart w:id="26" w:name="_Toc16288"/>
      <w:r>
        <w:rPr>
          <w:rFonts w:hint="eastAsia" w:ascii="微软雅黑" w:hAnsi="微软雅黑"/>
        </w:rPr>
        <w:t>参考</w:t>
      </w:r>
      <w:r>
        <w:rPr>
          <w:rFonts w:ascii="微软雅黑" w:hAnsi="微软雅黑"/>
        </w:rPr>
        <w:t>标准</w:t>
      </w:r>
      <w:bookmarkEnd w:id="25"/>
      <w:bookmarkEnd w:id="26"/>
    </w:p>
    <w:p w14:paraId="0887070B">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79F55B0E">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3F842241">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08044AEB">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1195604D">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05F4AA6A">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3D2C0A37">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4FDE2669">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43A0DC0F">
      <w:pPr>
        <w:pStyle w:val="2"/>
        <w:rPr>
          <w:rFonts w:ascii="微软雅黑" w:hAnsi="微软雅黑"/>
        </w:rPr>
      </w:pPr>
      <w:bookmarkStart w:id="35" w:name="_Toc7259"/>
      <w:r>
        <w:rPr>
          <w:rFonts w:hint="eastAsia" w:ascii="微软雅黑" w:hAnsi="微软雅黑"/>
        </w:rPr>
        <w:t>计算原理</w:t>
      </w:r>
      <w:bookmarkEnd w:id="28"/>
      <w:bookmarkEnd w:id="29"/>
      <w:bookmarkEnd w:id="35"/>
    </w:p>
    <w:p w14:paraId="2ACB42DC">
      <w:pPr>
        <w:pStyle w:val="4"/>
        <w:numPr>
          <w:ilvl w:val="1"/>
          <w:numId w:val="3"/>
        </w:numPr>
      </w:pPr>
      <w:bookmarkStart w:id="36" w:name="_Toc509844740"/>
      <w:bookmarkStart w:id="37" w:name="_Toc30274"/>
      <w:bookmarkStart w:id="38" w:name="_Toc452108765"/>
      <w:bookmarkStart w:id="39" w:name="_Toc451698937"/>
      <w:r>
        <w:rPr>
          <w:rFonts w:hint="eastAsia"/>
        </w:rPr>
        <w:t>风场计算域</w:t>
      </w:r>
      <w:bookmarkEnd w:id="36"/>
      <w:bookmarkEnd w:id="37"/>
    </w:p>
    <w:p w14:paraId="061AF720">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1CBFA2BF">
      <w:pPr>
        <w:pStyle w:val="5"/>
        <w:numPr>
          <w:ilvl w:val="2"/>
          <w:numId w:val="4"/>
        </w:numPr>
      </w:pPr>
      <w:bookmarkStart w:id="40" w:name="季节1"/>
      <w:r>
        <w:rPr>
          <w:rFonts w:hint="eastAsia"/>
        </w:rPr>
        <w:t>冬季</w:t>
      </w:r>
      <w:bookmarkEnd w:id="40"/>
      <w:r>
        <w:rPr>
          <w:rFonts w:hint="eastAsia"/>
        </w:rPr>
        <w:t>工况风场计算域</w:t>
      </w:r>
    </w:p>
    <w:p w14:paraId="0380E66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F07030A">
        <w:tblPrEx>
          <w:tblCellMar>
            <w:top w:w="0" w:type="dxa"/>
            <w:left w:w="108" w:type="dxa"/>
            <w:bottom w:w="0" w:type="dxa"/>
            <w:right w:w="108" w:type="dxa"/>
          </w:tblCellMar>
        </w:tblPrEx>
        <w:trPr>
          <w:jc w:val="center"/>
        </w:trPr>
        <w:tc>
          <w:tcPr>
            <w:tcW w:w="2765" w:type="dxa"/>
          </w:tcPr>
          <w:p w14:paraId="70F50EC2">
            <w:pPr>
              <w:jc w:val="center"/>
            </w:pPr>
            <w:r>
              <w:rPr>
                <w:rFonts w:hint="eastAsia"/>
              </w:rPr>
              <w:t>顺风方向尺寸（m）</w:t>
            </w:r>
          </w:p>
        </w:tc>
        <w:tc>
          <w:tcPr>
            <w:tcW w:w="2765" w:type="dxa"/>
          </w:tcPr>
          <w:p w14:paraId="60E21DD2">
            <w:pPr>
              <w:jc w:val="center"/>
            </w:pPr>
            <w:r>
              <w:rPr>
                <w:rFonts w:hint="eastAsia"/>
              </w:rPr>
              <w:t>宽度方向尺寸（m）</w:t>
            </w:r>
          </w:p>
        </w:tc>
        <w:tc>
          <w:tcPr>
            <w:tcW w:w="2766" w:type="dxa"/>
          </w:tcPr>
          <w:p w14:paraId="1A134E22">
            <w:pPr>
              <w:jc w:val="center"/>
            </w:pPr>
            <w:r>
              <w:rPr>
                <w:rFonts w:hint="eastAsia"/>
              </w:rPr>
              <w:t>高度方向尺寸（m）</w:t>
            </w:r>
          </w:p>
        </w:tc>
      </w:tr>
      <w:tr w14:paraId="3F9175DF">
        <w:tblPrEx>
          <w:tblCellMar>
            <w:top w:w="0" w:type="dxa"/>
            <w:left w:w="108" w:type="dxa"/>
            <w:bottom w:w="0" w:type="dxa"/>
            <w:right w:w="108" w:type="dxa"/>
          </w:tblCellMar>
        </w:tblPrEx>
        <w:trPr>
          <w:jc w:val="center"/>
        </w:trPr>
        <w:tc>
          <w:tcPr>
            <w:tcW w:w="2765" w:type="dxa"/>
          </w:tcPr>
          <w:p w14:paraId="791BA3F3">
            <w:pPr>
              <w:jc w:val="center"/>
            </w:pPr>
            <w:bookmarkStart w:id="42" w:name="冬季风场X尺寸"/>
            <w:r>
              <w:t>326</w:t>
            </w:r>
            <w:bookmarkEnd w:id="42"/>
          </w:p>
        </w:tc>
        <w:tc>
          <w:tcPr>
            <w:tcW w:w="2765" w:type="dxa"/>
          </w:tcPr>
          <w:p w14:paraId="08A9F9F1">
            <w:pPr>
              <w:jc w:val="center"/>
            </w:pPr>
            <w:bookmarkStart w:id="43" w:name="冬季风场Y尺寸"/>
            <w:r>
              <w:t>278</w:t>
            </w:r>
            <w:bookmarkEnd w:id="43"/>
          </w:p>
        </w:tc>
        <w:tc>
          <w:tcPr>
            <w:tcW w:w="2766" w:type="dxa"/>
          </w:tcPr>
          <w:p w14:paraId="27DFD609">
            <w:pPr>
              <w:jc w:val="center"/>
            </w:pPr>
            <w:bookmarkStart w:id="44" w:name="冬季风场Z尺寸"/>
            <w:r>
              <w:t>111</w:t>
            </w:r>
            <w:bookmarkEnd w:id="44"/>
          </w:p>
        </w:tc>
      </w:tr>
    </w:tbl>
    <w:p w14:paraId="608D5C6C">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78116551">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CC1DD49">
      <w:pPr>
        <w:pStyle w:val="3"/>
        <w:ind w:firstLine="315" w:firstLineChars="150"/>
        <w:rPr>
          <w:rFonts w:ascii="微软雅黑" w:hAnsi="微软雅黑" w:eastAsia="微软雅黑"/>
          <w:lang w:val="en-US"/>
        </w:rPr>
      </w:pPr>
      <w:bookmarkStart w:id="47" w:name="计算域"/>
      <w:bookmarkEnd w:id="47"/>
    </w:p>
    <w:p w14:paraId="3AC10143">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1EC90DF8">
      <w:pPr>
        <w:pStyle w:val="4"/>
      </w:pPr>
      <w:bookmarkStart w:id="48" w:name="_Toc509844741"/>
      <w:bookmarkStart w:id="49" w:name="_Toc2681"/>
      <w:r>
        <w:rPr>
          <w:rFonts w:hint="eastAsia"/>
        </w:rPr>
        <w:t>网格划分</w:t>
      </w:r>
      <w:bookmarkEnd w:id="48"/>
      <w:bookmarkEnd w:id="49"/>
    </w:p>
    <w:p w14:paraId="1E4E28EE">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2CB73A72">
      <w:pPr>
        <w:pStyle w:val="12"/>
        <w:spacing w:before="156"/>
        <w:ind w:left="426" w:firstLine="0"/>
        <w:rPr>
          <w:rFonts w:ascii="微软雅黑"/>
        </w:rPr>
      </w:pPr>
      <w:r>
        <w:rPr>
          <w:rFonts w:hint="eastAsia" w:ascii="微软雅黑"/>
        </w:rPr>
        <w:t>1）一般网格：指除靠近地面和建筑以外的网格，通常不需要特别加密处理</w:t>
      </w:r>
    </w:p>
    <w:p w14:paraId="6E365BA6">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6151F4B5">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4869ED8B">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4BA2D5B">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29CBBDC4">
      <w:pPr>
        <w:pStyle w:val="12"/>
        <w:spacing w:before="156"/>
        <w:ind w:left="0" w:firstLine="315" w:firstLineChars="150"/>
        <w:rPr>
          <w:rFonts w:ascii="微软雅黑"/>
        </w:rPr>
      </w:pPr>
      <w:r>
        <w:rPr>
          <w:rFonts w:hint="eastAsia" w:ascii="微软雅黑"/>
        </w:rPr>
        <w:t>2）地面网格</w:t>
      </w:r>
    </w:p>
    <w:p w14:paraId="3E81FAF6">
      <w:pPr>
        <w:pStyle w:val="12"/>
        <w:spacing w:before="156"/>
        <w:ind w:firstLine="315" w:firstLineChars="150"/>
        <w:rPr>
          <w:rFonts w:ascii="微软雅黑"/>
        </w:rPr>
      </w:pPr>
      <w:r>
        <w:rPr>
          <w:rFonts w:hint="eastAsia" w:ascii="微软雅黑"/>
        </w:rPr>
        <w:t>靠近建筑物的区域称为近场，远离建筑物的区域称为远场。</w:t>
      </w:r>
    </w:p>
    <w:p w14:paraId="3814C078">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2AF18548">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2ADB5601">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52877F4E">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57467A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E0C66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7BFF50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3FB40188">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795E3F84">
            <w:pPr>
              <w:spacing w:line="400" w:lineRule="exact"/>
              <w:jc w:val="center"/>
              <w:rPr>
                <w:rFonts w:ascii="微软雅黑" w:hAnsi="微软雅黑" w:eastAsia="微软雅黑"/>
                <w:sz w:val="18"/>
                <w:szCs w:val="18"/>
                <w:lang w:val="en-US"/>
              </w:rPr>
            </w:pPr>
            <w:bookmarkStart w:id="51" w:name="冬季网格总数"/>
            <w:r>
              <w:t>157486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A86A15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97263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00618E29">
            <w:pPr>
              <w:spacing w:line="400" w:lineRule="exact"/>
              <w:jc w:val="center"/>
              <w:rPr>
                <w:rFonts w:ascii="微软雅黑" w:hAnsi="微软雅黑" w:eastAsia="微软雅黑"/>
                <w:sz w:val="18"/>
                <w:szCs w:val="18"/>
                <w:lang w:val="en-US"/>
              </w:rPr>
            </w:pPr>
            <w:bookmarkStart w:id="52" w:name="冬季分弧精度"/>
            <w:r>
              <w:t>0.24</w:t>
            </w:r>
            <w:bookmarkEnd w:id="52"/>
          </w:p>
        </w:tc>
      </w:tr>
      <w:tr w14:paraId="42C24DC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39133D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C24471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E894D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1E8FC86">
            <w:pPr>
              <w:spacing w:line="400" w:lineRule="exact"/>
              <w:jc w:val="center"/>
              <w:rPr>
                <w:rFonts w:ascii="微软雅黑" w:hAnsi="微软雅黑" w:eastAsia="微软雅黑"/>
                <w:sz w:val="18"/>
                <w:szCs w:val="18"/>
                <w:lang w:val="en-US"/>
              </w:rPr>
            </w:pPr>
            <w:bookmarkStart w:id="53" w:name="最大网格尺寸"/>
            <w:r>
              <w:t>16.0</w:t>
            </w:r>
            <w:bookmarkEnd w:id="53"/>
          </w:p>
        </w:tc>
      </w:tr>
      <w:tr w14:paraId="760980C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0246153">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14FAB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FF0362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FDB5A61">
            <w:pPr>
              <w:spacing w:line="400" w:lineRule="exact"/>
              <w:jc w:val="center"/>
              <w:rPr>
                <w:rFonts w:ascii="微软雅黑" w:hAnsi="微软雅黑" w:eastAsia="微软雅黑"/>
                <w:sz w:val="18"/>
                <w:szCs w:val="18"/>
                <w:lang w:val="en-US"/>
              </w:rPr>
            </w:pPr>
            <w:bookmarkStart w:id="54" w:name="最小网格尺寸"/>
            <w:r>
              <w:t>4.0</w:t>
            </w:r>
            <w:bookmarkEnd w:id="54"/>
          </w:p>
        </w:tc>
      </w:tr>
      <w:tr w14:paraId="21B1D9A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6B7589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042D9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C8FC8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0A2C699">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1D5E356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A6E5E4F">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8EB36C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48DE4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1F42B15">
            <w:pPr>
              <w:spacing w:line="400" w:lineRule="exact"/>
              <w:jc w:val="center"/>
              <w:rPr>
                <w:rFonts w:ascii="微软雅黑" w:hAnsi="微软雅黑" w:eastAsia="微软雅黑"/>
                <w:sz w:val="18"/>
                <w:szCs w:val="18"/>
                <w:lang w:val="en-US"/>
              </w:rPr>
            </w:pPr>
            <w:bookmarkStart w:id="56" w:name="远场网格尺寸"/>
            <w:r>
              <w:t>8.0</w:t>
            </w:r>
            <w:bookmarkEnd w:id="56"/>
          </w:p>
        </w:tc>
      </w:tr>
      <w:tr w14:paraId="693030B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F8ED5C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98E40F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765F2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4D4AC67">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68D1DE79">
      <w:pPr>
        <w:rPr>
          <w:rFonts w:ascii="微软雅黑" w:hAnsi="微软雅黑" w:eastAsia="微软雅黑"/>
          <w:sz w:val="18"/>
          <w:szCs w:val="18"/>
          <w:lang w:val="en-US"/>
        </w:rPr>
      </w:pPr>
    </w:p>
    <w:p w14:paraId="0E048B2B">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3D18015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43F56704">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40D7D2AE">
      <w:pPr>
        <w:pStyle w:val="3"/>
        <w:ind w:firstLine="0" w:firstLineChars="0"/>
        <w:rPr>
          <w:rFonts w:ascii="微软雅黑" w:hAnsi="微软雅黑" w:eastAsia="微软雅黑"/>
          <w:szCs w:val="20"/>
          <w:lang w:val="en-US"/>
        </w:rPr>
      </w:pPr>
    </w:p>
    <w:p w14:paraId="7FBD5461">
      <w:pPr>
        <w:pStyle w:val="4"/>
        <w:numPr>
          <w:ilvl w:val="1"/>
          <w:numId w:val="3"/>
        </w:numPr>
      </w:pPr>
      <w:bookmarkStart w:id="61" w:name="_Toc509844742"/>
      <w:bookmarkStart w:id="62" w:name="_Toc20865"/>
      <w:r>
        <w:rPr>
          <w:rFonts w:hint="eastAsia"/>
        </w:rPr>
        <w:t>边界条件</w:t>
      </w:r>
      <w:bookmarkEnd w:id="61"/>
      <w:bookmarkEnd w:id="62"/>
    </w:p>
    <w:p w14:paraId="33389754">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5C1D01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6B8EB6D">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279C685">
      <w:pPr>
        <w:pStyle w:val="5"/>
      </w:pPr>
      <w:bookmarkStart w:id="63" w:name="_Toc509844743"/>
      <w:r>
        <w:rPr>
          <w:rFonts w:hint="eastAsia"/>
        </w:rPr>
        <w:t>入口与出口边界条件</w:t>
      </w:r>
      <w:bookmarkEnd w:id="63"/>
    </w:p>
    <w:p w14:paraId="27BEADD8">
      <w:r>
        <w:rPr>
          <w:rFonts w:hint="eastAsia"/>
        </w:rPr>
        <w:t>1）入口风速梯度</w:t>
      </w:r>
    </w:p>
    <w:p w14:paraId="304D27E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C7A36AD">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77D9EC51">
      <w:pPr>
        <w:pStyle w:val="3"/>
        <w:ind w:firstLine="420"/>
        <w:rPr>
          <w:rFonts w:ascii="微软雅黑" w:hAnsi="微软雅黑" w:eastAsia="微软雅黑"/>
          <w:lang w:val="en-US"/>
        </w:rPr>
      </w:pPr>
      <w:r>
        <w:rPr>
          <w:rFonts w:hint="eastAsia" w:ascii="微软雅黑" w:hAnsi="微软雅黑" w:eastAsia="微软雅黑"/>
          <w:lang w:val="en-US"/>
        </w:rPr>
        <w:t>式中：</w:t>
      </w:r>
    </w:p>
    <w:p w14:paraId="071A350F">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8CAC9A7">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E951A43">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27D499A9">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46552FB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7EBE45BB">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333D1115">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207663D1">
            <w:pPr>
              <w:jc w:val="center"/>
              <w:rPr>
                <w:rFonts w:cs="宋体"/>
                <w:b/>
                <w:bCs/>
                <w:sz w:val="18"/>
                <w:szCs w:val="18"/>
              </w:rPr>
            </w:pPr>
            <w:r>
              <w:rPr>
                <w:rFonts w:hint="eastAsia" w:cs="宋体"/>
                <w:b/>
                <w:bCs/>
                <w:sz w:val="18"/>
                <w:szCs w:val="18"/>
              </w:rPr>
              <w:t>地面粗糙度指数</w:t>
            </w:r>
          </w:p>
        </w:tc>
      </w:tr>
      <w:tr w14:paraId="5641BE8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0FD62B9">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5E0B9005">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30C21FD5">
            <w:pPr>
              <w:jc w:val="center"/>
              <w:rPr>
                <w:rFonts w:cs="宋体"/>
                <w:sz w:val="18"/>
                <w:szCs w:val="18"/>
              </w:rPr>
            </w:pPr>
            <w:r>
              <w:rPr>
                <w:rFonts w:hint="eastAsia" w:cs="宋体"/>
                <w:sz w:val="18"/>
                <w:szCs w:val="18"/>
              </w:rPr>
              <w:t>0.14</w:t>
            </w:r>
          </w:p>
        </w:tc>
      </w:tr>
      <w:tr w14:paraId="0424BFB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ED7C103">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273EA138">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3B763F26">
            <w:pPr>
              <w:jc w:val="center"/>
              <w:rPr>
                <w:rFonts w:cs="宋体"/>
                <w:sz w:val="18"/>
                <w:szCs w:val="18"/>
              </w:rPr>
            </w:pPr>
            <w:r>
              <w:rPr>
                <w:rFonts w:hint="eastAsia" w:cs="宋体"/>
                <w:sz w:val="18"/>
                <w:szCs w:val="18"/>
              </w:rPr>
              <w:t>0.22</w:t>
            </w:r>
          </w:p>
        </w:tc>
      </w:tr>
      <w:tr w14:paraId="3EF17964">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5B2EEF7E">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CA79F24">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0D3F9E76">
            <w:pPr>
              <w:jc w:val="center"/>
              <w:rPr>
                <w:rFonts w:cs="宋体"/>
                <w:sz w:val="18"/>
                <w:szCs w:val="18"/>
              </w:rPr>
            </w:pPr>
            <w:r>
              <w:rPr>
                <w:rFonts w:hint="eastAsia" w:cs="宋体"/>
                <w:sz w:val="18"/>
                <w:szCs w:val="18"/>
              </w:rPr>
              <w:t>0.28</w:t>
            </w:r>
          </w:p>
        </w:tc>
      </w:tr>
    </w:tbl>
    <w:p w14:paraId="7E348C5A">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75EF270">
      <w:pPr>
        <w:spacing w:before="156" w:beforeLines="50"/>
      </w:pPr>
      <w:r>
        <w:t>2）出口边界</w:t>
      </w:r>
      <w:r>
        <w:rPr>
          <w:rFonts w:hint="eastAsia"/>
        </w:rPr>
        <w:t>条件</w:t>
      </w:r>
    </w:p>
    <w:p w14:paraId="3A77E576">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66C882C4">
      <w:pPr>
        <w:pStyle w:val="5"/>
      </w:pPr>
      <w:bookmarkStart w:id="65" w:name="_Toc509844744"/>
      <w:r>
        <w:rPr>
          <w:rFonts w:hint="eastAsia"/>
        </w:rPr>
        <w:t>壁面边界条件</w:t>
      </w:r>
      <w:bookmarkEnd w:id="65"/>
    </w:p>
    <w:p w14:paraId="535FFFEA">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BB1872A">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9DF262D">
      <w:pPr>
        <w:pStyle w:val="4"/>
        <w:numPr>
          <w:ilvl w:val="1"/>
          <w:numId w:val="3"/>
        </w:numPr>
      </w:pPr>
      <w:bookmarkStart w:id="66" w:name="_Toc29968"/>
      <w:r>
        <w:rPr>
          <w:rFonts w:hint="eastAsia"/>
        </w:rPr>
        <w:t>湍流模型</w:t>
      </w:r>
      <w:bookmarkEnd w:id="38"/>
      <w:bookmarkEnd w:id="39"/>
      <w:bookmarkEnd w:id="66"/>
    </w:p>
    <w:p w14:paraId="736EB422">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54D8184C">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263ADDC7">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4690FF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621F4258">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6B59E365">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691DFDE9">
            <w:pPr>
              <w:jc w:val="center"/>
              <w:rPr>
                <w:rFonts w:cs="宋体"/>
                <w:b/>
                <w:bCs/>
                <w:sz w:val="18"/>
                <w:szCs w:val="18"/>
              </w:rPr>
            </w:pPr>
            <w:r>
              <w:rPr>
                <w:rFonts w:hint="eastAsia" w:cs="宋体"/>
                <w:b/>
                <w:bCs/>
                <w:sz w:val="18"/>
                <w:szCs w:val="18"/>
              </w:rPr>
              <w:t>特点和适用工况</w:t>
            </w:r>
          </w:p>
        </w:tc>
      </w:tr>
      <w:tr w14:paraId="13E6178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48D601B">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D5E3171">
            <w:pPr>
              <w:rPr>
                <w:rFonts w:cs="宋体"/>
                <w:sz w:val="18"/>
                <w:szCs w:val="18"/>
              </w:rPr>
            </w:pPr>
            <w:r>
              <w:rPr>
                <w:rFonts w:hint="eastAsia" w:cs="宋体"/>
                <w:sz w:val="18"/>
                <w:szCs w:val="18"/>
              </w:rPr>
              <w:t>简单的工业流场和热交换模拟，无较大压力梯度、分离、强曲率流，适用于初始的参数研究</w:t>
            </w:r>
          </w:p>
        </w:tc>
      </w:tr>
      <w:tr w14:paraId="5B43797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992071C">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3F0CBBE">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43D02FE7">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8483BF3">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498AFFD">
            <w:pPr>
              <w:rPr>
                <w:rFonts w:cs="宋体"/>
                <w:sz w:val="18"/>
                <w:szCs w:val="18"/>
              </w:rPr>
            </w:pPr>
            <w:r>
              <w:rPr>
                <w:rFonts w:hint="eastAsia" w:cs="宋体"/>
                <w:sz w:val="18"/>
                <w:szCs w:val="18"/>
              </w:rPr>
              <w:t>旋转流动、强逆压梯度的边界层流动、流动分离和二次流，类似于RNG</w:t>
            </w:r>
          </w:p>
        </w:tc>
      </w:tr>
    </w:tbl>
    <w:p w14:paraId="3844BF29">
      <w:pPr>
        <w:pStyle w:val="4"/>
        <w:numPr>
          <w:ilvl w:val="1"/>
          <w:numId w:val="3"/>
        </w:numPr>
      </w:pPr>
      <w:bookmarkStart w:id="67" w:name="_Toc452108767"/>
      <w:bookmarkStart w:id="68" w:name="_Toc451698939"/>
      <w:bookmarkStart w:id="69" w:name="_Toc21851"/>
      <w:r>
        <w:rPr>
          <w:rFonts w:hint="eastAsia"/>
        </w:rPr>
        <w:t>求解计算</w:t>
      </w:r>
      <w:bookmarkEnd w:id="67"/>
      <w:bookmarkEnd w:id="68"/>
      <w:bookmarkEnd w:id="69"/>
    </w:p>
    <w:p w14:paraId="75328EC3">
      <w:pPr>
        <w:pStyle w:val="5"/>
      </w:pPr>
      <w:r>
        <w:rPr>
          <w:rFonts w:hint="eastAsia"/>
        </w:rPr>
        <w:t>数学模型</w:t>
      </w:r>
    </w:p>
    <w:p w14:paraId="5A51DDA5">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ADC74F8">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4CC122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CB37C7D">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99CC0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757AB5E">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6EB1185">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552817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31AF14F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2953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3D190C">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B479F83">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F9E6E18">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D283EA0">
            <w:pPr>
              <w:widowControl w:val="0"/>
              <w:jc w:val="both"/>
              <w:rPr>
                <w:rFonts w:cs="Calibri"/>
                <w:kern w:val="2"/>
                <w:sz w:val="18"/>
                <w:szCs w:val="18"/>
              </w:rPr>
            </w:pPr>
            <w:r>
              <w:rPr>
                <w:sz w:val="18"/>
                <w:szCs w:val="18"/>
              </w:rPr>
              <w:t>0</w:t>
            </w:r>
          </w:p>
        </w:tc>
      </w:tr>
      <w:tr w14:paraId="52E38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1252FB">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81FB67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57C776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5C11BB2">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209C6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EB71DA">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1F1931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314AC6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AA7F64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DB3E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EA1BC1">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FE0CE6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3DAA8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36F2A4F">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287B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016F0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783032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00DC8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3AAE40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219FD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FB0CA2">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14CE38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3A047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C886F1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F68E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C80B9A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0692A7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8DC2D9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927143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5B566B2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82D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981294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23DEF1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12F002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415835F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755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0A7799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C0734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5849FAE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8719AC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6F9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4849D6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80C32E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069B4539">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0BF5A37">
            <w:pPr>
              <w:pStyle w:val="3"/>
              <w:spacing w:line="240" w:lineRule="atLeast"/>
              <w:ind w:firstLine="0" w:firstLineChars="0"/>
              <w:jc w:val="left"/>
              <w:rPr>
                <w:rFonts w:ascii="微软雅黑" w:hAnsi="微软雅黑" w:eastAsia="微软雅黑"/>
                <w:sz w:val="18"/>
                <w:szCs w:val="18"/>
                <w:lang w:val="en-US"/>
              </w:rPr>
            </w:pPr>
          </w:p>
        </w:tc>
      </w:tr>
      <w:tr w14:paraId="3B7E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3EEA24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92F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9085BCA">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826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C373E5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ED409C3">
      <w:pPr>
        <w:pStyle w:val="3"/>
        <w:ind w:firstLine="525" w:firstLineChars="250"/>
        <w:rPr>
          <w:rFonts w:ascii="微软雅黑" w:hAnsi="微软雅黑" w:eastAsia="微软雅黑"/>
        </w:rPr>
      </w:pPr>
    </w:p>
    <w:p w14:paraId="0C52BF4B">
      <w:pPr>
        <w:pStyle w:val="5"/>
      </w:pPr>
      <w:r>
        <w:rPr>
          <w:rFonts w:hint="eastAsia"/>
        </w:rPr>
        <w:t>算法说明</w:t>
      </w:r>
    </w:p>
    <w:p w14:paraId="6F26E8C3">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4DF38DAB">
      <w:pPr>
        <w:pStyle w:val="4"/>
      </w:pPr>
      <w:bookmarkStart w:id="72" w:name="_Toc509844747"/>
      <w:bookmarkStart w:id="73" w:name="_Toc29893"/>
      <w:r>
        <w:rPr>
          <w:rFonts w:hint="eastAsia"/>
        </w:rPr>
        <w:t>风速放大系数计算</w:t>
      </w:r>
      <w:bookmarkEnd w:id="72"/>
      <w:bookmarkEnd w:id="73"/>
    </w:p>
    <w:p w14:paraId="0D909A48">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5C1F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FA56F3A">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D98802D">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B1B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B62C55F">
            <w:pPr>
              <w:spacing w:line="360" w:lineRule="exact"/>
              <w:rPr>
                <w:lang w:val="en-US"/>
              </w:rPr>
            </w:pPr>
          </w:p>
        </w:tc>
        <w:tc>
          <w:tcPr>
            <w:tcW w:w="1832" w:type="dxa"/>
            <w:vAlign w:val="center"/>
          </w:tcPr>
          <w:p w14:paraId="38CEB6D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37127B2">
      <w:pPr>
        <w:pStyle w:val="3"/>
        <w:ind w:firstLine="420"/>
        <w:rPr>
          <w:rFonts w:ascii="微软雅黑" w:hAnsi="微软雅黑" w:eastAsia="微软雅黑"/>
          <w:lang w:val="en-US"/>
        </w:rPr>
      </w:pPr>
      <w:r>
        <w:rPr>
          <w:rFonts w:hint="eastAsia" w:ascii="微软雅黑" w:hAnsi="微软雅黑" w:eastAsia="微软雅黑"/>
          <w:lang w:val="en-US"/>
        </w:rPr>
        <w:t>其中：</w:t>
      </w:r>
    </w:p>
    <w:p w14:paraId="39D74D10">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1C40BD14">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5C5B682">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60AD7E7C">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7283A747">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3F626651">
      <w:pPr>
        <w:pStyle w:val="2"/>
        <w:rPr>
          <w:rFonts w:ascii="微软雅黑" w:hAnsi="微软雅黑"/>
        </w:rPr>
      </w:pPr>
      <w:bookmarkStart w:id="75" w:name="_Toc452108768"/>
      <w:bookmarkStart w:id="76" w:name="_Toc12819"/>
      <w:r>
        <w:rPr>
          <w:rFonts w:hint="eastAsia" w:ascii="微软雅黑" w:hAnsi="微软雅黑"/>
        </w:rPr>
        <w:t>结果</w:t>
      </w:r>
      <w:r>
        <w:rPr>
          <w:rFonts w:ascii="微软雅黑" w:hAnsi="微软雅黑"/>
        </w:rPr>
        <w:t>分析</w:t>
      </w:r>
      <w:bookmarkEnd w:id="75"/>
      <w:bookmarkEnd w:id="76"/>
    </w:p>
    <w:p w14:paraId="469CC06B">
      <w:pPr>
        <w:pStyle w:val="4"/>
        <w:rPr>
          <w:szCs w:val="21"/>
        </w:rPr>
      </w:pPr>
      <w:bookmarkStart w:id="77" w:name="_Toc21048"/>
      <w:r>
        <w:rPr>
          <w:rFonts w:hint="eastAsia"/>
          <w:szCs w:val="21"/>
        </w:rPr>
        <w:t>工况</w:t>
      </w:r>
      <w:r>
        <w:rPr>
          <w:szCs w:val="21"/>
        </w:rPr>
        <w:t>表</w:t>
      </w:r>
      <w:bookmarkEnd w:id="77"/>
    </w:p>
    <w:p w14:paraId="5B4DFF91">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527A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470C2AAD">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049E4CE9">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596782E">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66812721">
            <w:pPr>
              <w:spacing w:line="400" w:lineRule="exact"/>
              <w:jc w:val="center"/>
              <w:rPr>
                <w:sz w:val="18"/>
                <w:szCs w:val="18"/>
              </w:rPr>
            </w:pPr>
            <w:r>
              <w:rPr>
                <w:rFonts w:hint="eastAsia"/>
                <w:sz w:val="18"/>
                <w:szCs w:val="18"/>
              </w:rPr>
              <w:t>风向</w:t>
            </w:r>
          </w:p>
        </w:tc>
        <w:tc>
          <w:tcPr>
            <w:tcW w:w="994" w:type="pct"/>
            <w:shd w:val="clear" w:color="auto" w:fill="E6E6E6"/>
          </w:tcPr>
          <w:p w14:paraId="23469356">
            <w:pPr>
              <w:spacing w:line="400" w:lineRule="exact"/>
              <w:jc w:val="center"/>
              <w:rPr>
                <w:sz w:val="18"/>
                <w:szCs w:val="18"/>
              </w:rPr>
            </w:pPr>
            <w:r>
              <w:rPr>
                <w:rFonts w:hint="eastAsia"/>
                <w:sz w:val="18"/>
                <w:szCs w:val="18"/>
              </w:rPr>
              <w:t>风向（°</w:t>
            </w:r>
            <w:r>
              <w:rPr>
                <w:sz w:val="18"/>
                <w:szCs w:val="18"/>
              </w:rPr>
              <w:t>）</w:t>
            </w:r>
          </w:p>
        </w:tc>
      </w:tr>
      <w:tr w14:paraId="0967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3440BF2E">
            <w:pPr>
              <w:spacing w:line="400" w:lineRule="exact"/>
              <w:jc w:val="center"/>
              <w:rPr>
                <w:sz w:val="18"/>
                <w:szCs w:val="18"/>
              </w:rPr>
            </w:pPr>
            <w:r>
              <w:rPr>
                <w:sz w:val="18"/>
                <w:szCs w:val="18"/>
              </w:rPr>
              <w:t>1</w:t>
            </w:r>
          </w:p>
        </w:tc>
        <w:tc>
          <w:tcPr>
            <w:tcW w:w="1166" w:type="pct"/>
            <w:vAlign w:val="center"/>
          </w:tcPr>
          <w:p w14:paraId="1E5171B1">
            <w:pPr>
              <w:spacing w:line="400" w:lineRule="exact"/>
              <w:jc w:val="center"/>
              <w:rPr>
                <w:sz w:val="18"/>
                <w:szCs w:val="18"/>
              </w:rPr>
            </w:pPr>
            <w:r>
              <w:rPr>
                <w:sz w:val="18"/>
                <w:szCs w:val="18"/>
              </w:rPr>
              <w:t>冬季</w:t>
            </w:r>
          </w:p>
        </w:tc>
        <w:tc>
          <w:tcPr>
            <w:tcW w:w="1187" w:type="pct"/>
            <w:vAlign w:val="center"/>
          </w:tcPr>
          <w:p w14:paraId="71B04071">
            <w:pPr>
              <w:spacing w:line="400" w:lineRule="exact"/>
              <w:jc w:val="center"/>
              <w:rPr>
                <w:sz w:val="18"/>
                <w:szCs w:val="18"/>
              </w:rPr>
            </w:pPr>
            <w:r>
              <w:rPr>
                <w:sz w:val="18"/>
                <w:szCs w:val="18"/>
              </w:rPr>
              <w:t>1.20</w:t>
            </w:r>
          </w:p>
        </w:tc>
        <w:tc>
          <w:tcPr>
            <w:tcW w:w="994" w:type="pct"/>
          </w:tcPr>
          <w:p w14:paraId="69A1CD52">
            <w:pPr>
              <w:spacing w:line="400" w:lineRule="exact"/>
              <w:jc w:val="center"/>
              <w:rPr>
                <w:sz w:val="18"/>
                <w:szCs w:val="18"/>
              </w:rPr>
            </w:pPr>
            <w:r>
              <w:rPr>
                <w:sz w:val="18"/>
                <w:szCs w:val="18"/>
              </w:rPr>
              <w:t>N</w:t>
            </w:r>
          </w:p>
        </w:tc>
        <w:tc>
          <w:tcPr>
            <w:tcW w:w="994" w:type="pct"/>
          </w:tcPr>
          <w:p w14:paraId="68E001F0">
            <w:pPr>
              <w:spacing w:line="400" w:lineRule="exact"/>
              <w:jc w:val="center"/>
              <w:rPr>
                <w:sz w:val="18"/>
                <w:szCs w:val="18"/>
              </w:rPr>
            </w:pPr>
            <w:r>
              <w:rPr>
                <w:sz w:val="18"/>
                <w:szCs w:val="18"/>
              </w:rPr>
              <w:t>90.0</w:t>
            </w:r>
          </w:p>
        </w:tc>
      </w:tr>
      <w:bookmarkEnd w:id="78"/>
    </w:tbl>
    <w:p w14:paraId="5FCF3F29">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B938984">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22C6FF11">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2E09DDE">
      <w:pPr>
        <w:pStyle w:val="4"/>
      </w:pPr>
      <w:bookmarkStart w:id="79" w:name="_Toc509844750"/>
      <w:bookmarkStart w:id="80" w:name="_Toc10634"/>
      <w:r>
        <w:rPr>
          <w:rFonts w:hint="eastAsia"/>
        </w:rPr>
        <w:t>冬季工况</w:t>
      </w:r>
      <w:bookmarkEnd w:id="79"/>
      <w:bookmarkEnd w:id="80"/>
    </w:p>
    <w:p w14:paraId="66518396">
      <w:pPr>
        <w:ind w:firstLine="420" w:firstLineChars="200"/>
        <w:jc w:val="both"/>
      </w:pPr>
      <w:r>
        <w:rPr>
          <w:rFonts w:hint="eastAsia"/>
          <w:lang w:val="en-US"/>
        </w:rPr>
        <w:t>本项目冬季工况的入口边界风速为</w:t>
      </w:r>
      <w:bookmarkStart w:id="81" w:name="冬季入口边界风速"/>
      <w:r>
        <w:rPr>
          <w:rFonts w:hint="eastAsia"/>
        </w:rPr>
        <w:t>1.20</w:t>
      </w:r>
      <w:bookmarkEnd w:id="81"/>
      <w:r>
        <w:t>m/s</w:t>
      </w:r>
      <w:r>
        <w:rPr>
          <w:rFonts w:hint="eastAsia"/>
        </w:rPr>
        <w:t>，风向为</w:t>
      </w:r>
      <w:bookmarkStart w:id="82" w:name="冬季入口边界风向"/>
      <w:r>
        <w:t>N</w:t>
      </w:r>
      <w:bookmarkEnd w:id="82"/>
      <w:r>
        <w:rPr>
          <w:rFonts w:hint="eastAsia"/>
        </w:rPr>
        <w:t>。</w:t>
      </w:r>
    </w:p>
    <w:p w14:paraId="08528DC3">
      <w:pPr>
        <w:pStyle w:val="5"/>
      </w:pPr>
      <w:bookmarkStart w:id="83" w:name="_Toc509844751"/>
      <w:r>
        <w:rPr>
          <w:rFonts w:hint="eastAsia"/>
        </w:rPr>
        <w:t>风速达标分析</w:t>
      </w:r>
      <w:bookmarkEnd w:id="83"/>
      <w:r>
        <w:rPr>
          <w:rFonts w:hint="eastAsia"/>
        </w:rPr>
        <w:t xml:space="preserve"> </w:t>
      </w:r>
    </w:p>
    <w:p w14:paraId="636CBF1D">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6FA6F89F">
      <w:pPr>
        <w:pStyle w:val="30"/>
      </w:pPr>
      <w:r>
        <w:rPr>
          <w:rFonts w:hint="eastAsia"/>
        </w:rPr>
        <w:t>分析下列图数据，</w:t>
      </w:r>
      <w:bookmarkStart w:id="84" w:name="冬季工况人行区风速分析结论"/>
      <w:bookmarkEnd w:id="84"/>
      <w:r>
        <w:t>未标示出超标区域，可知人行区域风速为最大值为0.72m/s，小于5m/s，</w:t>
      </w:r>
      <w:r>
        <w:rPr>
          <w:color w:val="0000FF"/>
        </w:rPr>
        <w:t>满足</w:t>
      </w:r>
      <w:r>
        <w:t>绿标要求。</w:t>
      </w:r>
    </w:p>
    <w:p w14:paraId="1A7F2D0D">
      <w:pPr>
        <w:pStyle w:val="30"/>
      </w:pPr>
      <w:bookmarkStart w:id="85" w:name="冬季工况人行区风速云图"/>
      <w:bookmarkEnd w:id="85"/>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63B3E79D">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69D72FB8">
      <w:pPr>
        <w:pStyle w:val="3"/>
        <w:ind w:firstLine="420"/>
        <w:rPr>
          <w:rFonts w:ascii="微软雅黑" w:hAnsi="微软雅黑" w:eastAsia="微软雅黑"/>
          <w:lang w:val="en-US"/>
        </w:rPr>
      </w:pPr>
    </w:p>
    <w:p w14:paraId="417DC9BE">
      <w:pPr>
        <w:pStyle w:val="5"/>
      </w:pPr>
      <w:bookmarkStart w:id="86" w:name="_Toc509844752"/>
      <w:r>
        <w:rPr>
          <w:rFonts w:hint="eastAsia"/>
        </w:rPr>
        <w:t>风速放大系数达标分析</w:t>
      </w:r>
      <w:bookmarkEnd w:id="86"/>
    </w:p>
    <w:p w14:paraId="43D17DB2">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图中未标示出风速放大系数超标区域，因此可知人行区域风速放大系数最大值为1.02，小于2，</w:t>
      </w:r>
      <w:r>
        <w:rPr>
          <w:rFonts w:ascii="微软雅黑" w:hAnsi="微软雅黑" w:eastAsia="微软雅黑"/>
          <w:color w:val="0000FF"/>
          <w:lang w:val="en-US"/>
        </w:rPr>
        <w:t>满足</w:t>
      </w:r>
      <w:r>
        <w:rPr>
          <w:rFonts w:ascii="微软雅黑" w:hAnsi="微软雅黑" w:eastAsia="微软雅黑"/>
          <w:lang w:val="en-US"/>
        </w:rPr>
        <w:t>绿标要求。</w:t>
      </w:r>
    </w:p>
    <w:p w14:paraId="20D0AF3C">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434C7232">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6FADF7FA">
      <w:pPr>
        <w:pStyle w:val="3"/>
        <w:ind w:firstLine="420"/>
        <w:rPr>
          <w:rFonts w:ascii="微软雅黑" w:hAnsi="微软雅黑" w:eastAsia="微软雅黑"/>
          <w:lang w:val="en-US"/>
        </w:rPr>
      </w:pPr>
    </w:p>
    <w:p w14:paraId="47C5B291">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127B8702">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3FC0FFB8">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5"/>
      <w:bookmarkEnd w:id="89"/>
      <w:bookmarkStart w:id="90" w:name="_Toc509844754"/>
      <w:bookmarkEnd w:id="90"/>
      <w:bookmarkStart w:id="91" w:name="_Toc509844756"/>
      <w:bookmarkEnd w:id="91"/>
      <w:bookmarkStart w:id="92" w:name="_Toc509844757"/>
      <w:bookmarkEnd w:id="92"/>
    </w:p>
    <w:p w14:paraId="56C47F74">
      <w:pPr>
        <w:pStyle w:val="3"/>
        <w:ind w:firstLine="420"/>
        <w:rPr>
          <w:rFonts w:ascii="微软雅黑" w:hAnsi="微软雅黑" w:eastAsia="微软雅黑"/>
          <w:lang w:val="en-US"/>
        </w:rPr>
      </w:pPr>
    </w:p>
    <w:p w14:paraId="6DAAD219">
      <w:pPr>
        <w:pStyle w:val="5"/>
      </w:pPr>
      <w:bookmarkStart w:id="93" w:name="_Toc509844753"/>
      <w:r>
        <w:rPr>
          <w:rFonts w:hint="eastAsia"/>
        </w:rPr>
        <w:t>冬季工况风速/风速放大系数达标</w:t>
      </w:r>
      <w:bookmarkEnd w:id="93"/>
      <w:r>
        <w:rPr>
          <w:rFonts w:hint="eastAsia"/>
        </w:rPr>
        <w:t>结果汇总</w:t>
      </w:r>
    </w:p>
    <w:p w14:paraId="36B86F37">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4C9D27B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6A0D4CB9">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3EA1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CBB814B">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E4CB6A0">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65B4609">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694272ED">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288961AE">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71546E14">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3F60B261">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1D803E4D">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40CE7FCA">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4C4AD">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AED09CA">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CD49092">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D0A7B31">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771B1C18">
      <w:pPr>
        <w:rPr>
          <w:rFonts w:ascii="微软雅黑" w:hAnsi="微软雅黑" w:eastAsia="微软雅黑"/>
        </w:rPr>
      </w:pPr>
    </w:p>
    <w:p w14:paraId="06A5C853">
      <w:pPr>
        <w:pStyle w:val="5"/>
      </w:pPr>
      <w:r>
        <w:rPr>
          <w:rFonts w:hint="eastAsia"/>
        </w:rPr>
        <w:t>建筑迎风面和背风面风压分析</w:t>
      </w:r>
    </w:p>
    <w:p w14:paraId="624F7144">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2F56C6E4">
      <w:pPr>
        <w:pStyle w:val="6"/>
        <w:rPr>
          <w:lang w:val="en-US"/>
        </w:rPr>
      </w:pPr>
      <w:r>
        <w:rPr>
          <w:rFonts w:hint="eastAsia"/>
          <w:lang w:val="en-US"/>
        </w:rPr>
        <w:t>建筑迎风面和背风面风压差计算方法</w:t>
      </w:r>
    </w:p>
    <w:p w14:paraId="4DD4BC5E">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5A578D36">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032C4E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4AB4D4A8">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2AF82154">
        <w:tblPrEx>
          <w:tblCellMar>
            <w:top w:w="0" w:type="dxa"/>
            <w:left w:w="108" w:type="dxa"/>
            <w:bottom w:w="0" w:type="dxa"/>
            <w:right w:w="108" w:type="dxa"/>
          </w:tblCellMar>
        </w:tblPrEx>
        <w:tc>
          <w:tcPr>
            <w:tcW w:w="5524" w:type="dxa"/>
            <w:shd w:val="clear" w:color="auto" w:fill="auto"/>
          </w:tcPr>
          <w:p w14:paraId="47ABA34E">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2D5D1488">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577F7F35">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3E230F1">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CAA5E5F">
      <w:pPr>
        <w:pStyle w:val="6"/>
      </w:pPr>
      <w:r>
        <w:rPr>
          <w:rFonts w:hint="eastAsia"/>
        </w:rPr>
        <w:t>建筑迎风面和背风面风压云图</w:t>
      </w:r>
    </w:p>
    <w:p w14:paraId="685ACACA">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52800"/>
                    </a:xfrm>
                    <a:prstGeom prst="rect">
                      <a:avLst/>
                    </a:prstGeom>
                  </pic:spPr>
                </pic:pic>
              </a:graphicData>
            </a:graphic>
          </wp:inline>
        </w:drawing>
      </w:r>
    </w:p>
    <w:p w14:paraId="14B1E7C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A05F1BC">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362325"/>
                    </a:xfrm>
                    <a:prstGeom prst="rect">
                      <a:avLst/>
                    </a:prstGeom>
                  </pic:spPr>
                </pic:pic>
              </a:graphicData>
            </a:graphic>
          </wp:inline>
        </w:drawing>
      </w:r>
    </w:p>
    <w:p w14:paraId="34857AB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511470A2">
      <w:pPr>
        <w:pStyle w:val="6"/>
      </w:pPr>
      <w:bookmarkStart w:id="100" w:name="建筑迎风面和背风面风压差计算结果"/>
      <w:r>
        <w:rPr>
          <w:rFonts w:hint="eastAsia"/>
        </w:rPr>
        <w:t>建筑迎风面和背风面风压差计算结果</w:t>
      </w:r>
    </w:p>
    <w:p w14:paraId="23F873E8">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71CA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1A0F5C86">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514ADB3C">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45B8AF56">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1E17E393">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5980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38EC870">
            <w:pPr>
              <w:spacing w:line="400" w:lineRule="exact"/>
              <w:jc w:val="center"/>
              <w:rPr>
                <w:sz w:val="18"/>
                <w:szCs w:val="18"/>
                <w:lang w:val="en-US"/>
              </w:rPr>
            </w:pPr>
            <w:r>
              <w:rPr>
                <w:rFonts w:hint="eastAsia"/>
                <w:sz w:val="18"/>
                <w:szCs w:val="18"/>
                <w:lang w:val="en-US"/>
              </w:rPr>
              <w:t>1层</w:t>
            </w:r>
          </w:p>
        </w:tc>
        <w:tc>
          <w:tcPr>
            <w:tcW w:w="2142" w:type="dxa"/>
            <w:vAlign w:val="center"/>
          </w:tcPr>
          <w:p w14:paraId="5C0441E4">
            <w:pPr>
              <w:spacing w:line="400" w:lineRule="exact"/>
              <w:jc w:val="center"/>
              <w:rPr>
                <w:sz w:val="18"/>
                <w:szCs w:val="18"/>
                <w:lang w:val="en-US"/>
              </w:rPr>
            </w:pPr>
            <w:r>
              <w:rPr>
                <w:sz w:val="18"/>
                <w:szCs w:val="18"/>
                <w:lang w:val="en-US"/>
              </w:rPr>
              <w:t>0.07</w:t>
            </w:r>
          </w:p>
        </w:tc>
        <w:tc>
          <w:tcPr>
            <w:tcW w:w="2268" w:type="dxa"/>
            <w:vAlign w:val="center"/>
          </w:tcPr>
          <w:p w14:paraId="5D86A606">
            <w:pPr>
              <w:spacing w:line="400" w:lineRule="exact"/>
              <w:jc w:val="center"/>
              <w:rPr>
                <w:sz w:val="18"/>
                <w:szCs w:val="18"/>
                <w:lang w:val="en-US"/>
              </w:rPr>
            </w:pPr>
            <w:r>
              <w:rPr>
                <w:sz w:val="18"/>
                <w:szCs w:val="18"/>
                <w:lang w:val="en-US"/>
              </w:rPr>
              <w:t>-0.17</w:t>
            </w:r>
          </w:p>
        </w:tc>
        <w:tc>
          <w:tcPr>
            <w:tcW w:w="2551" w:type="dxa"/>
            <w:vAlign w:val="center"/>
          </w:tcPr>
          <w:p w14:paraId="3E8A8B81">
            <w:pPr>
              <w:spacing w:line="400" w:lineRule="exact"/>
              <w:jc w:val="center"/>
              <w:rPr>
                <w:sz w:val="18"/>
                <w:szCs w:val="18"/>
                <w:lang w:val="en-US"/>
              </w:rPr>
            </w:pPr>
            <w:r>
              <w:rPr>
                <w:sz w:val="18"/>
                <w:szCs w:val="18"/>
                <w:lang w:val="en-US"/>
              </w:rPr>
              <w:t>0.24</w:t>
            </w:r>
          </w:p>
        </w:tc>
      </w:tr>
      <w:tr w14:paraId="59E20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BEC449A">
            <w:pPr>
              <w:spacing w:line="400" w:lineRule="exact"/>
              <w:jc w:val="center"/>
              <w:rPr>
                <w:sz w:val="18"/>
                <w:szCs w:val="18"/>
                <w:lang w:val="en-US"/>
              </w:rPr>
            </w:pPr>
            <w:r>
              <w:rPr>
                <w:sz w:val="18"/>
                <w:szCs w:val="18"/>
                <w:lang w:val="en-US"/>
              </w:rPr>
              <w:t>2层</w:t>
            </w:r>
          </w:p>
        </w:tc>
        <w:tc>
          <w:tcPr>
            <w:tcW w:w="2142" w:type="dxa"/>
            <w:vAlign w:val="center"/>
          </w:tcPr>
          <w:p w14:paraId="01DF2973">
            <w:pPr>
              <w:spacing w:line="400" w:lineRule="exact"/>
              <w:jc w:val="center"/>
              <w:rPr>
                <w:sz w:val="18"/>
                <w:szCs w:val="18"/>
                <w:lang w:val="en-US"/>
              </w:rPr>
            </w:pPr>
            <w:r>
              <w:rPr>
                <w:sz w:val="18"/>
                <w:szCs w:val="18"/>
                <w:lang w:val="en-US"/>
              </w:rPr>
              <w:t>0.05</w:t>
            </w:r>
          </w:p>
        </w:tc>
        <w:tc>
          <w:tcPr>
            <w:tcW w:w="2268" w:type="dxa"/>
            <w:vAlign w:val="center"/>
          </w:tcPr>
          <w:p w14:paraId="10E3B2D0">
            <w:pPr>
              <w:spacing w:line="400" w:lineRule="exact"/>
              <w:jc w:val="center"/>
              <w:rPr>
                <w:sz w:val="18"/>
                <w:szCs w:val="18"/>
                <w:lang w:val="en-US"/>
              </w:rPr>
            </w:pPr>
            <w:r>
              <w:rPr>
                <w:sz w:val="18"/>
                <w:szCs w:val="18"/>
                <w:lang w:val="en-US"/>
              </w:rPr>
              <w:t>-0.20</w:t>
            </w:r>
          </w:p>
        </w:tc>
        <w:tc>
          <w:tcPr>
            <w:tcW w:w="2551" w:type="dxa"/>
            <w:vAlign w:val="center"/>
          </w:tcPr>
          <w:p w14:paraId="2063183E">
            <w:pPr>
              <w:spacing w:line="400" w:lineRule="exact"/>
              <w:jc w:val="center"/>
              <w:rPr>
                <w:sz w:val="18"/>
                <w:szCs w:val="18"/>
                <w:lang w:val="en-US"/>
              </w:rPr>
            </w:pPr>
            <w:r>
              <w:rPr>
                <w:sz w:val="18"/>
                <w:szCs w:val="18"/>
                <w:lang w:val="en-US"/>
              </w:rPr>
              <w:t>0.25</w:t>
            </w:r>
          </w:p>
        </w:tc>
      </w:tr>
      <w:tr w14:paraId="3617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93718F4">
            <w:pPr>
              <w:spacing w:line="400" w:lineRule="exact"/>
              <w:jc w:val="center"/>
              <w:rPr>
                <w:sz w:val="18"/>
                <w:szCs w:val="18"/>
                <w:lang w:val="en-US"/>
              </w:rPr>
            </w:pPr>
            <w:r>
              <w:rPr>
                <w:rFonts w:hint="eastAsia"/>
                <w:sz w:val="18"/>
                <w:szCs w:val="18"/>
                <w:lang w:val="en-US"/>
              </w:rPr>
              <w:t>3层</w:t>
            </w:r>
          </w:p>
        </w:tc>
        <w:tc>
          <w:tcPr>
            <w:tcW w:w="2142" w:type="dxa"/>
            <w:vAlign w:val="center"/>
          </w:tcPr>
          <w:p w14:paraId="19C3DC81">
            <w:pPr>
              <w:spacing w:line="400" w:lineRule="exact"/>
              <w:jc w:val="center"/>
              <w:rPr>
                <w:sz w:val="18"/>
                <w:szCs w:val="18"/>
                <w:lang w:val="en-US"/>
              </w:rPr>
            </w:pPr>
            <w:r>
              <w:rPr>
                <w:sz w:val="18"/>
                <w:szCs w:val="18"/>
                <w:lang w:val="en-US"/>
              </w:rPr>
              <w:t>0.04</w:t>
            </w:r>
          </w:p>
        </w:tc>
        <w:tc>
          <w:tcPr>
            <w:tcW w:w="2268" w:type="dxa"/>
            <w:vAlign w:val="center"/>
          </w:tcPr>
          <w:p w14:paraId="26806DBE">
            <w:pPr>
              <w:spacing w:line="400" w:lineRule="exact"/>
              <w:jc w:val="center"/>
              <w:rPr>
                <w:sz w:val="18"/>
                <w:szCs w:val="18"/>
                <w:lang w:val="en-US"/>
              </w:rPr>
            </w:pPr>
            <w:r>
              <w:rPr>
                <w:sz w:val="18"/>
                <w:szCs w:val="18"/>
                <w:lang w:val="en-US"/>
              </w:rPr>
              <w:t>-0.22</w:t>
            </w:r>
          </w:p>
        </w:tc>
        <w:tc>
          <w:tcPr>
            <w:tcW w:w="2551" w:type="dxa"/>
            <w:vAlign w:val="center"/>
          </w:tcPr>
          <w:p w14:paraId="6F426FC2">
            <w:pPr>
              <w:spacing w:line="400" w:lineRule="exact"/>
              <w:jc w:val="center"/>
              <w:rPr>
                <w:sz w:val="18"/>
                <w:szCs w:val="18"/>
                <w:lang w:val="en-US"/>
              </w:rPr>
            </w:pPr>
            <w:r>
              <w:rPr>
                <w:sz w:val="18"/>
                <w:szCs w:val="18"/>
                <w:lang w:val="en-US"/>
              </w:rPr>
              <w:t>0.26</w:t>
            </w:r>
          </w:p>
        </w:tc>
      </w:tr>
      <w:tr w14:paraId="431BD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07D8DCA">
            <w:pPr>
              <w:spacing w:line="400" w:lineRule="exact"/>
              <w:jc w:val="center"/>
              <w:rPr>
                <w:sz w:val="18"/>
                <w:szCs w:val="18"/>
                <w:lang w:val="en-US"/>
              </w:rPr>
            </w:pPr>
            <w:r>
              <w:rPr>
                <w:rFonts w:hint="eastAsia"/>
                <w:sz w:val="18"/>
                <w:szCs w:val="18"/>
                <w:lang w:val="en-US"/>
              </w:rPr>
              <w:t>整楼</w:t>
            </w:r>
          </w:p>
        </w:tc>
        <w:tc>
          <w:tcPr>
            <w:tcW w:w="2142" w:type="dxa"/>
            <w:vAlign w:val="center"/>
          </w:tcPr>
          <w:p w14:paraId="0E5B4F08">
            <w:pPr>
              <w:spacing w:line="400" w:lineRule="exact"/>
              <w:jc w:val="center"/>
              <w:rPr>
                <w:sz w:val="18"/>
                <w:szCs w:val="18"/>
                <w:lang w:val="en-US"/>
              </w:rPr>
            </w:pPr>
            <w:r>
              <w:rPr>
                <w:sz w:val="18"/>
                <w:szCs w:val="18"/>
                <w:lang w:val="en-US"/>
              </w:rPr>
              <w:t>0.05</w:t>
            </w:r>
          </w:p>
        </w:tc>
        <w:tc>
          <w:tcPr>
            <w:tcW w:w="2268" w:type="dxa"/>
            <w:vAlign w:val="center"/>
          </w:tcPr>
          <w:p w14:paraId="28C40694">
            <w:pPr>
              <w:spacing w:line="400" w:lineRule="exact"/>
              <w:jc w:val="center"/>
              <w:rPr>
                <w:sz w:val="18"/>
                <w:szCs w:val="18"/>
                <w:lang w:val="en-US"/>
              </w:rPr>
            </w:pPr>
            <w:r>
              <w:rPr>
                <w:sz w:val="18"/>
                <w:szCs w:val="18"/>
                <w:lang w:val="en-US"/>
              </w:rPr>
              <w:t>-0.20</w:t>
            </w:r>
          </w:p>
        </w:tc>
        <w:tc>
          <w:tcPr>
            <w:tcW w:w="2551" w:type="dxa"/>
            <w:vAlign w:val="center"/>
          </w:tcPr>
          <w:p w14:paraId="7D292F8D">
            <w:pPr>
              <w:spacing w:line="400" w:lineRule="exact"/>
              <w:jc w:val="center"/>
              <w:rPr>
                <w:sz w:val="18"/>
                <w:szCs w:val="18"/>
                <w:lang w:val="en-US"/>
              </w:rPr>
            </w:pPr>
            <w:r>
              <w:rPr>
                <w:sz w:val="18"/>
                <w:szCs w:val="18"/>
                <w:lang w:val="en-US"/>
              </w:rPr>
              <w:t>0.25</w:t>
            </w:r>
          </w:p>
        </w:tc>
      </w:tr>
      <w:bookmarkEnd w:id="101"/>
    </w:tbl>
    <w:p w14:paraId="38D189CB">
      <w:bookmarkStart w:id="103" w:name="结论"/>
      <w:bookmarkEnd w:id="103"/>
      <w:r>
        <w:t>结论：迎风第一排建筑，</w:t>
      </w:r>
      <w:r>
        <w:rPr>
          <w:b/>
          <w:color w:val="00FF00"/>
        </w:rPr>
        <w:t>标准未做要求</w:t>
      </w:r>
      <w:r>
        <w:t>。</w:t>
      </w:r>
    </w:p>
    <w:bookmarkEnd w:id="100"/>
    <w:p w14:paraId="575933A5">
      <w:pPr>
        <w:jc w:val="center"/>
        <w:rPr>
          <w:sz w:val="20"/>
        </w:rPr>
      </w:pPr>
      <w:bookmarkStart w:id="104" w:name="建筑迎背风面风压差表_新增"/>
      <w:bookmarkEnd w:id="104"/>
    </w:p>
    <w:bookmarkEnd w:id="19"/>
    <w:p w14:paraId="680A83D1">
      <w:pPr>
        <w:pStyle w:val="6"/>
      </w:pPr>
      <w:r>
        <w:rPr>
          <w:rFonts w:hint="eastAsia"/>
        </w:rPr>
        <w:t>建筑迎风和背风面风压差结论汇总</w:t>
      </w:r>
    </w:p>
    <w:p w14:paraId="0DFA9DC9">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14A1E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41E72F3A">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381E401D">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25F35F3B">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2DC073DE">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7BA22FB9">
            <w:pPr>
              <w:jc w:val="center"/>
              <w:rPr>
                <w:sz w:val="18"/>
                <w:szCs w:val="18"/>
                <w:lang w:val="en-US"/>
              </w:rPr>
            </w:pPr>
            <w:r>
              <w:rPr>
                <w:rFonts w:hint="eastAsia"/>
                <w:sz w:val="18"/>
                <w:szCs w:val="18"/>
                <w:lang w:val="en-US"/>
              </w:rPr>
              <w:t>是否达标</w:t>
            </w:r>
          </w:p>
        </w:tc>
      </w:tr>
      <w:tr w14:paraId="1AF9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538E15E">
            <w:pPr>
              <w:jc w:val="center"/>
              <w:rPr>
                <w:sz w:val="18"/>
                <w:szCs w:val="18"/>
                <w:lang w:val="en-US"/>
              </w:rPr>
            </w:pPr>
            <w:r>
              <w:rPr>
                <w:sz w:val="18"/>
                <w:szCs w:val="18"/>
                <w:lang w:val="en-US"/>
              </w:rPr>
              <w:t>单体</w:t>
            </w:r>
          </w:p>
        </w:tc>
        <w:tc>
          <w:tcPr>
            <w:tcW w:w="1697" w:type="dxa"/>
            <w:shd w:val="clear" w:color="auto" w:fill="auto"/>
            <w:vAlign w:val="center"/>
          </w:tcPr>
          <w:p w14:paraId="6B798155">
            <w:pPr>
              <w:jc w:val="center"/>
              <w:rPr>
                <w:sz w:val="18"/>
                <w:szCs w:val="18"/>
                <w:lang w:val="en-US"/>
              </w:rPr>
            </w:pPr>
            <w:r>
              <w:rPr>
                <w:sz w:val="18"/>
                <w:szCs w:val="18"/>
                <w:lang w:val="en-US"/>
              </w:rPr>
              <w:t>0.05</w:t>
            </w:r>
          </w:p>
        </w:tc>
        <w:tc>
          <w:tcPr>
            <w:tcW w:w="1697" w:type="dxa"/>
            <w:shd w:val="clear" w:color="auto" w:fill="auto"/>
            <w:vAlign w:val="center"/>
          </w:tcPr>
          <w:p w14:paraId="3FDE5920">
            <w:pPr>
              <w:jc w:val="center"/>
              <w:rPr>
                <w:sz w:val="18"/>
                <w:szCs w:val="18"/>
                <w:lang w:val="en-US"/>
              </w:rPr>
            </w:pPr>
            <w:r>
              <w:rPr>
                <w:sz w:val="18"/>
                <w:szCs w:val="18"/>
                <w:lang w:val="en-US"/>
              </w:rPr>
              <w:t>-0.20</w:t>
            </w:r>
          </w:p>
        </w:tc>
        <w:tc>
          <w:tcPr>
            <w:tcW w:w="2401" w:type="dxa"/>
            <w:shd w:val="clear" w:color="auto" w:fill="auto"/>
            <w:vAlign w:val="center"/>
          </w:tcPr>
          <w:p w14:paraId="62AD7EDA">
            <w:pPr>
              <w:jc w:val="center"/>
              <w:rPr>
                <w:sz w:val="18"/>
                <w:szCs w:val="18"/>
                <w:lang w:val="en-US"/>
              </w:rPr>
            </w:pPr>
            <w:r>
              <w:rPr>
                <w:sz w:val="18"/>
                <w:szCs w:val="18"/>
                <w:lang w:val="en-US"/>
              </w:rPr>
              <w:t>0.25</w:t>
            </w:r>
          </w:p>
        </w:tc>
        <w:tc>
          <w:tcPr>
            <w:tcW w:w="1151" w:type="dxa"/>
            <w:shd w:val="clear" w:color="auto" w:fill="auto"/>
            <w:vAlign w:val="center"/>
          </w:tcPr>
          <w:p w14:paraId="6F64AA26">
            <w:pPr>
              <w:jc w:val="center"/>
              <w:rPr>
                <w:sz w:val="18"/>
                <w:szCs w:val="18"/>
                <w:lang w:val="en-US"/>
              </w:rPr>
            </w:pPr>
            <w:r>
              <w:rPr>
                <w:sz w:val="18"/>
                <w:szCs w:val="18"/>
                <w:lang w:val="en-US"/>
              </w:rPr>
              <w:t>不参评</w:t>
            </w:r>
          </w:p>
        </w:tc>
      </w:tr>
      <w:bookmarkEnd w:id="105"/>
    </w:tbl>
    <w:p w14:paraId="699B1362">
      <w:pPr>
        <w:rPr>
          <w:lang w:val="en-US"/>
        </w:rPr>
      </w:pPr>
      <w:bookmarkStart w:id="106" w:name="建筑迎风和背风面风压差结论汇总结论"/>
      <w:bookmarkEnd w:id="106"/>
      <w:r>
        <w:rPr>
          <w:lang w:val="en-US"/>
        </w:rPr>
        <w:t>结论：本项目中参评建筑</w:t>
      </w:r>
      <w:r>
        <w:rPr>
          <w:b/>
          <w:color w:val="0000FF"/>
          <w:lang w:val="en-US"/>
        </w:rPr>
        <w:t>满足</w:t>
      </w:r>
      <w:r>
        <w:rPr>
          <w:lang w:val="en-US"/>
        </w:rPr>
        <w:t>“除迎风第一排建筑外，建筑迎风面与背风面表面风压差不超过5Pa”的要求。</w:t>
      </w:r>
    </w:p>
    <w:p w14:paraId="31E2EED5">
      <w:pPr>
        <w:rPr>
          <w:lang w:val="en-US"/>
        </w:rPr>
      </w:pPr>
      <w:r>
        <w:rPr>
          <w:b/>
          <w:color w:val="000000"/>
          <w:lang w:val="en-US"/>
        </w:rPr>
        <w:t>说明：所有单体建筑各层迎风和背风面风压差信息详见附录。</w:t>
      </w:r>
    </w:p>
    <w:p w14:paraId="652B9C2B">
      <w:pPr>
        <w:rPr>
          <w:lang w:val="en-US"/>
        </w:rPr>
      </w:pPr>
      <w:bookmarkStart w:id="107" w:name="冬季工况"/>
      <w:bookmarkEnd w:id="107"/>
      <w:r>
        <w:rPr>
          <w:rFonts w:hint="eastAsia"/>
          <w:lang w:val="en-US"/>
        </w:rPr>
        <w:t xml:space="preserve"> </w:t>
      </w:r>
    </w:p>
    <w:p w14:paraId="7CC95CDC">
      <w:pPr>
        <w:rPr>
          <w:lang w:val="en-US"/>
        </w:rPr>
      </w:pPr>
      <w:bookmarkStart w:id="108" w:name="其他工况"/>
      <w:bookmarkEnd w:id="108"/>
      <w:r>
        <w:rPr>
          <w:rFonts w:hint="eastAsia"/>
          <w:lang w:val="en-US"/>
        </w:rPr>
        <w:t xml:space="preserve"> </w:t>
      </w:r>
    </w:p>
    <w:p w14:paraId="274F5A53">
      <w:pPr>
        <w:pStyle w:val="2"/>
      </w:pPr>
      <w:bookmarkStart w:id="109" w:name="_Toc509844764"/>
      <w:bookmarkStart w:id="110" w:name="_Toc31870"/>
      <w:r>
        <w:rPr>
          <w:rFonts w:hint="eastAsia"/>
        </w:rPr>
        <w:t>结论</w:t>
      </w:r>
      <w:bookmarkEnd w:id="109"/>
      <w:bookmarkEnd w:id="110"/>
    </w:p>
    <w:p w14:paraId="3E9FA558">
      <w:pPr>
        <w:pStyle w:val="4"/>
      </w:pPr>
      <w:bookmarkStart w:id="111" w:name="_Toc509844765"/>
      <w:bookmarkStart w:id="112" w:name="_Toc14422"/>
      <w:bookmarkStart w:id="132" w:name="_GoBack"/>
      <w:bookmarkEnd w:id="132"/>
      <w:r>
        <w:rPr>
          <w:rFonts w:hint="eastAsia"/>
        </w:rPr>
        <w:t>冬季工况达标判断</w:t>
      </w:r>
      <w:bookmarkEnd w:id="111"/>
      <w:bookmarkEnd w:id="112"/>
      <w:bookmarkStart w:id="113" w:name="_Toc509844766"/>
      <w:bookmarkEnd w:id="113"/>
    </w:p>
    <w:p w14:paraId="48CDD42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0BA5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1C8AE5C8">
            <w:pPr>
              <w:jc w:val="center"/>
              <w:rPr>
                <w:b/>
                <w:sz w:val="18"/>
                <w:szCs w:val="18"/>
                <w:lang w:val="en-US"/>
              </w:rPr>
            </w:pPr>
            <w:r>
              <w:rPr>
                <w:rFonts w:hint="eastAsia"/>
                <w:b/>
                <w:sz w:val="18"/>
                <w:szCs w:val="18"/>
                <w:lang w:val="en-US"/>
              </w:rPr>
              <w:t>评价项目</w:t>
            </w:r>
          </w:p>
        </w:tc>
        <w:tc>
          <w:tcPr>
            <w:tcW w:w="2977" w:type="dxa"/>
            <w:shd w:val="clear" w:color="auto" w:fill="E6E6E6"/>
          </w:tcPr>
          <w:p w14:paraId="107E2A1F">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4C273966">
            <w:pPr>
              <w:jc w:val="center"/>
              <w:rPr>
                <w:b/>
                <w:sz w:val="18"/>
                <w:szCs w:val="18"/>
                <w:lang w:val="en-US"/>
              </w:rPr>
            </w:pPr>
            <w:r>
              <w:rPr>
                <w:rFonts w:hint="eastAsia"/>
                <w:b/>
                <w:sz w:val="18"/>
                <w:szCs w:val="18"/>
                <w:lang w:val="en-US"/>
              </w:rPr>
              <w:t>项目计算结果</w:t>
            </w:r>
          </w:p>
        </w:tc>
        <w:tc>
          <w:tcPr>
            <w:tcW w:w="1133" w:type="dxa"/>
            <w:shd w:val="clear" w:color="auto" w:fill="E6E6E6"/>
          </w:tcPr>
          <w:p w14:paraId="60F328AA">
            <w:pPr>
              <w:jc w:val="center"/>
              <w:rPr>
                <w:b/>
                <w:sz w:val="18"/>
                <w:szCs w:val="18"/>
                <w:lang w:val="en-US"/>
              </w:rPr>
            </w:pPr>
            <w:r>
              <w:rPr>
                <w:rFonts w:hint="eastAsia"/>
                <w:b/>
                <w:sz w:val="18"/>
                <w:szCs w:val="18"/>
                <w:lang w:val="en-US"/>
              </w:rPr>
              <w:t>达标判定</w:t>
            </w:r>
          </w:p>
        </w:tc>
        <w:tc>
          <w:tcPr>
            <w:tcW w:w="850" w:type="dxa"/>
            <w:shd w:val="clear" w:color="auto" w:fill="E6E6E6"/>
          </w:tcPr>
          <w:p w14:paraId="73C90AC1">
            <w:pPr>
              <w:jc w:val="center"/>
              <w:rPr>
                <w:b/>
                <w:sz w:val="18"/>
                <w:szCs w:val="18"/>
                <w:lang w:val="en-US"/>
              </w:rPr>
            </w:pPr>
            <w:r>
              <w:rPr>
                <w:rFonts w:hint="eastAsia"/>
                <w:b/>
                <w:sz w:val="18"/>
                <w:szCs w:val="18"/>
                <w:lang w:val="en-US"/>
              </w:rPr>
              <w:t>得分</w:t>
            </w:r>
          </w:p>
        </w:tc>
      </w:tr>
      <w:tr w14:paraId="479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2595577">
            <w:pPr>
              <w:jc w:val="center"/>
              <w:rPr>
                <w:sz w:val="18"/>
                <w:szCs w:val="18"/>
                <w:lang w:val="en-US"/>
              </w:rPr>
            </w:pPr>
            <w:r>
              <w:rPr>
                <w:rFonts w:hint="eastAsia"/>
                <w:sz w:val="18"/>
                <w:szCs w:val="18"/>
                <w:lang w:val="en-US"/>
              </w:rPr>
              <w:t>风速</w:t>
            </w:r>
          </w:p>
        </w:tc>
        <w:tc>
          <w:tcPr>
            <w:tcW w:w="2977" w:type="dxa"/>
            <w:vMerge w:val="restart"/>
            <w:shd w:val="clear" w:color="auto" w:fill="auto"/>
          </w:tcPr>
          <w:p w14:paraId="1232AC05">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4" w:name="标准要求冬季风速得分"/>
            <w:r>
              <w:rPr>
                <w:rFonts w:hint="eastAsia"/>
                <w:sz w:val="18"/>
                <w:szCs w:val="18"/>
                <w:lang w:val="en-US"/>
              </w:rPr>
              <w:t>3</w:t>
            </w:r>
            <w:bookmarkEnd w:id="114"/>
            <w:r>
              <w:rPr>
                <w:rFonts w:hint="eastAsia"/>
                <w:sz w:val="18"/>
                <w:szCs w:val="18"/>
                <w:lang w:val="en-US"/>
              </w:rPr>
              <w:t>分；</w:t>
            </w:r>
          </w:p>
        </w:tc>
        <w:tc>
          <w:tcPr>
            <w:tcW w:w="1985" w:type="dxa"/>
            <w:shd w:val="clear" w:color="auto" w:fill="auto"/>
            <w:vAlign w:val="center"/>
          </w:tcPr>
          <w:p w14:paraId="3223E502">
            <w:pPr>
              <w:jc w:val="center"/>
              <w:rPr>
                <w:sz w:val="18"/>
                <w:szCs w:val="18"/>
                <w:lang w:val="en-US"/>
              </w:rPr>
            </w:pPr>
            <w:r>
              <w:rPr>
                <w:rFonts w:hint="eastAsia"/>
                <w:sz w:val="18"/>
                <w:szCs w:val="18"/>
                <w:lang w:val="en-US"/>
              </w:rPr>
              <w:t>计算域</w:t>
            </w:r>
            <w:bookmarkStart w:id="115" w:name="冬季风速结果计算域"/>
            <w:r>
              <w:t>没有出现</w:t>
            </w:r>
            <w:bookmarkEnd w:id="115"/>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279FA7C7">
            <w:pPr>
              <w:jc w:val="center"/>
              <w:rPr>
                <w:b/>
                <w:sz w:val="18"/>
                <w:szCs w:val="18"/>
                <w:lang w:val="en-US"/>
              </w:rPr>
            </w:pPr>
            <w:bookmarkStart w:id="116" w:name="冬季风速达标判定"/>
            <w:r>
              <w:rPr>
                <w:rFonts w:hint="eastAsia"/>
                <w:b/>
                <w:sz w:val="18"/>
                <w:szCs w:val="18"/>
                <w:lang w:val="en-US"/>
              </w:rPr>
              <w:t>达标</w:t>
            </w:r>
            <w:bookmarkEnd w:id="116"/>
          </w:p>
        </w:tc>
        <w:tc>
          <w:tcPr>
            <w:tcW w:w="850" w:type="dxa"/>
            <w:vMerge w:val="restart"/>
            <w:shd w:val="clear" w:color="auto" w:fill="auto"/>
            <w:vAlign w:val="center"/>
          </w:tcPr>
          <w:p w14:paraId="40061D04">
            <w:pPr>
              <w:jc w:val="center"/>
              <w:rPr>
                <w:sz w:val="18"/>
                <w:szCs w:val="18"/>
                <w:lang w:val="en-US"/>
              </w:rPr>
            </w:pPr>
            <w:bookmarkStart w:id="117" w:name="冬季风速得分"/>
            <w:r>
              <w:rPr>
                <w:rFonts w:hint="eastAsia"/>
                <w:sz w:val="18"/>
                <w:szCs w:val="18"/>
                <w:lang w:val="en-US"/>
              </w:rPr>
              <w:t>3</w:t>
            </w:r>
            <w:bookmarkEnd w:id="117"/>
            <w:r>
              <w:rPr>
                <w:rFonts w:hint="eastAsia"/>
                <w:sz w:val="18"/>
                <w:szCs w:val="18"/>
                <w:lang w:val="en-US"/>
              </w:rPr>
              <w:t>分</w:t>
            </w:r>
          </w:p>
        </w:tc>
      </w:tr>
      <w:tr w14:paraId="692C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F1EBF57">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240F17EA">
            <w:pPr>
              <w:jc w:val="center"/>
              <w:rPr>
                <w:sz w:val="18"/>
                <w:szCs w:val="18"/>
                <w:lang w:val="en-US"/>
              </w:rPr>
            </w:pPr>
          </w:p>
        </w:tc>
        <w:tc>
          <w:tcPr>
            <w:tcW w:w="1985" w:type="dxa"/>
            <w:shd w:val="clear" w:color="auto" w:fill="auto"/>
            <w:vAlign w:val="center"/>
          </w:tcPr>
          <w:p w14:paraId="4AB38476">
            <w:pPr>
              <w:jc w:val="center"/>
              <w:rPr>
                <w:sz w:val="18"/>
                <w:szCs w:val="18"/>
                <w:lang w:val="en-US"/>
              </w:rPr>
            </w:pPr>
            <w:r>
              <w:rPr>
                <w:rFonts w:hint="eastAsia"/>
                <w:sz w:val="18"/>
                <w:szCs w:val="18"/>
                <w:lang w:val="en-US"/>
              </w:rPr>
              <w:t>计算域</w:t>
            </w:r>
            <w:bookmarkStart w:id="118" w:name="冬季风速放大系数结果计算域"/>
            <w:r>
              <w:t>没有出现</w:t>
            </w:r>
            <w:bookmarkEnd w:id="118"/>
            <w:r>
              <w:rPr>
                <w:rFonts w:hint="eastAsia"/>
                <w:sz w:val="18"/>
                <w:szCs w:val="18"/>
                <w:lang w:val="en-US"/>
              </w:rPr>
              <w:t>风速放大系数大于等于2的区域</w:t>
            </w:r>
          </w:p>
        </w:tc>
        <w:tc>
          <w:tcPr>
            <w:tcW w:w="1133" w:type="dxa"/>
            <w:vMerge w:val="continue"/>
            <w:shd w:val="clear" w:color="auto" w:fill="auto"/>
          </w:tcPr>
          <w:p w14:paraId="5E7EB40A">
            <w:pPr>
              <w:jc w:val="center"/>
              <w:rPr>
                <w:sz w:val="18"/>
                <w:szCs w:val="18"/>
                <w:lang w:val="en-US"/>
              </w:rPr>
            </w:pPr>
          </w:p>
        </w:tc>
        <w:tc>
          <w:tcPr>
            <w:tcW w:w="850" w:type="dxa"/>
            <w:vMerge w:val="continue"/>
            <w:shd w:val="clear" w:color="auto" w:fill="auto"/>
          </w:tcPr>
          <w:p w14:paraId="1E2CA1CF">
            <w:pPr>
              <w:jc w:val="center"/>
              <w:rPr>
                <w:sz w:val="18"/>
                <w:szCs w:val="18"/>
                <w:lang w:val="en-US"/>
              </w:rPr>
            </w:pPr>
          </w:p>
        </w:tc>
      </w:tr>
      <w:tr w14:paraId="6066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1CCFC7B5">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0360CCE7">
            <w:pPr>
              <w:jc w:val="center"/>
              <w:rPr>
                <w:sz w:val="18"/>
                <w:szCs w:val="18"/>
                <w:lang w:val="en-US"/>
              </w:rPr>
            </w:pPr>
            <w:r>
              <w:rPr>
                <w:rFonts w:hint="eastAsia"/>
                <w:sz w:val="18"/>
                <w:szCs w:val="18"/>
                <w:lang w:val="en-US"/>
              </w:rPr>
              <w:t>除迎风第一排建筑外，建筑迎风面与背风面表面风压差不超过5Pa，得</w:t>
            </w:r>
            <w:bookmarkStart w:id="119" w:name="标准要求冬季风压得分"/>
            <w:r>
              <w:rPr>
                <w:rFonts w:hint="eastAsia"/>
                <w:sz w:val="18"/>
                <w:szCs w:val="18"/>
                <w:lang w:val="en-US"/>
              </w:rPr>
              <w:t>2</w:t>
            </w:r>
            <w:bookmarkEnd w:id="119"/>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0901DF81">
            <w:pPr>
              <w:jc w:val="center"/>
              <w:rPr>
                <w:sz w:val="18"/>
                <w:szCs w:val="18"/>
                <w:lang w:val="en-US"/>
              </w:rPr>
            </w:pPr>
            <w:r>
              <w:rPr>
                <w:rFonts w:hint="eastAsia"/>
                <w:sz w:val="18"/>
                <w:szCs w:val="18"/>
                <w:lang w:val="en-US"/>
              </w:rPr>
              <w:t>本项目</w:t>
            </w:r>
            <w:bookmarkStart w:id="120" w:name="冬季迎背风面结果"/>
            <w:r>
              <w:t>没有出现</w:t>
            </w:r>
            <w:bookmarkEnd w:id="120"/>
            <w:r>
              <w:rPr>
                <w:rFonts w:hint="eastAsia"/>
                <w:sz w:val="18"/>
                <w:szCs w:val="18"/>
                <w:lang w:val="en-US"/>
              </w:rPr>
              <w:t>建筑迎风面与背风面表面风压差大于5Pa的建筑</w:t>
            </w:r>
          </w:p>
        </w:tc>
        <w:tc>
          <w:tcPr>
            <w:tcW w:w="1133" w:type="dxa"/>
            <w:shd w:val="clear" w:color="auto" w:fill="auto"/>
            <w:vAlign w:val="center"/>
          </w:tcPr>
          <w:p w14:paraId="5FFE61B2">
            <w:pPr>
              <w:jc w:val="center"/>
              <w:rPr>
                <w:sz w:val="18"/>
                <w:szCs w:val="18"/>
                <w:lang w:val="en-US"/>
              </w:rPr>
            </w:pPr>
            <w:bookmarkStart w:id="121" w:name="冬季迎背风面达标判定"/>
            <w:r>
              <w:rPr>
                <w:rFonts w:hint="eastAsia"/>
                <w:b/>
                <w:sz w:val="18"/>
                <w:szCs w:val="18"/>
                <w:lang w:val="en-US"/>
              </w:rPr>
              <w:t>达标</w:t>
            </w:r>
            <w:bookmarkEnd w:id="121"/>
          </w:p>
        </w:tc>
        <w:tc>
          <w:tcPr>
            <w:tcW w:w="850" w:type="dxa"/>
            <w:shd w:val="clear" w:color="auto" w:fill="auto"/>
            <w:vAlign w:val="center"/>
          </w:tcPr>
          <w:p w14:paraId="3FBB5C39">
            <w:pPr>
              <w:jc w:val="center"/>
              <w:rPr>
                <w:sz w:val="18"/>
                <w:szCs w:val="18"/>
                <w:lang w:val="en-US"/>
              </w:rPr>
            </w:pPr>
            <w:bookmarkStart w:id="122" w:name="冬季迎背风面得分"/>
            <w:r>
              <w:rPr>
                <w:rFonts w:hint="eastAsia"/>
                <w:sz w:val="18"/>
                <w:szCs w:val="18"/>
                <w:lang w:val="en-US"/>
              </w:rPr>
              <w:t>2</w:t>
            </w:r>
            <w:bookmarkEnd w:id="122"/>
            <w:r>
              <w:rPr>
                <w:rFonts w:hint="eastAsia"/>
                <w:sz w:val="18"/>
                <w:szCs w:val="18"/>
                <w:lang w:val="en-US"/>
              </w:rPr>
              <w:t>分</w:t>
            </w:r>
          </w:p>
        </w:tc>
      </w:tr>
    </w:tbl>
    <w:p w14:paraId="0C55C1D9">
      <w:pPr>
        <w:rPr>
          <w:lang w:val="en-US"/>
        </w:rPr>
      </w:pPr>
      <w:bookmarkStart w:id="123" w:name="_Toc509844768"/>
      <w:bookmarkEnd w:id="123"/>
      <w:bookmarkStart w:id="124" w:name="_Toc509844767"/>
      <w:bookmarkEnd w:id="124"/>
    </w:p>
    <w:p w14:paraId="53BDA4CB">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334C7493">
      <w:pPr>
        <w:pStyle w:val="2"/>
      </w:pPr>
      <w:bookmarkStart w:id="126" w:name="_Toc26722"/>
      <w:bookmarkStart w:id="127" w:name="附录"/>
      <w:r>
        <w:rPr>
          <w:rFonts w:hint="eastAsia"/>
        </w:rPr>
        <w:t>附录</w:t>
      </w:r>
      <w:bookmarkEnd w:id="126"/>
    </w:p>
    <w:p w14:paraId="1F2B7931">
      <w:pPr>
        <w:pStyle w:val="4"/>
      </w:pPr>
      <w:bookmarkStart w:id="128" w:name="_Toc26744"/>
      <w:r>
        <w:rPr>
          <w:rFonts w:hint="eastAsia"/>
        </w:rPr>
        <w:t>参评建筑迎背风面窗平均风压差表</w:t>
      </w:r>
      <w:bookmarkEnd w:id="128"/>
    </w:p>
    <w:p w14:paraId="7AA62EE5">
      <w:pPr>
        <w:pStyle w:val="3"/>
        <w:ind w:firstLine="420"/>
        <w:rPr>
          <w:rFonts w:ascii="微软雅黑" w:hAnsi="微软雅黑" w:eastAsia="微软雅黑"/>
          <w:lang w:val="en-US"/>
        </w:rPr>
      </w:pPr>
      <w:bookmarkStart w:id="129" w:name="迎风建筑信息参评"/>
      <w:bookmarkEnd w:id="129"/>
    </w:p>
    <w:p w14:paraId="2B426F21">
      <w:pPr>
        <w:pStyle w:val="4"/>
      </w:pPr>
      <w:bookmarkStart w:id="130" w:name="_Toc18102"/>
      <w:r>
        <w:rPr>
          <w:rFonts w:hint="eastAsia"/>
        </w:rPr>
        <w:t>不参评建筑迎背风面窗平均风压差表</w:t>
      </w:r>
      <w:bookmarkEnd w:id="130"/>
    </w:p>
    <w:p w14:paraId="7E4979F9">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173F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261" w:type="dxa"/>
            <w:shd w:val="clear" w:color="auto" w:fill="E6E6E6"/>
            <w:vAlign w:val="center"/>
          </w:tcPr>
          <w:p w14:paraId="18184684">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23755A09">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2924F9B6">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2BC2BE8F">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030B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177C56B">
            <w:pPr>
              <w:spacing w:line="400" w:lineRule="exact"/>
              <w:jc w:val="center"/>
              <w:rPr>
                <w:sz w:val="18"/>
                <w:szCs w:val="18"/>
                <w:lang w:val="en-US"/>
              </w:rPr>
            </w:pPr>
            <w:r>
              <w:rPr>
                <w:rFonts w:hint="eastAsia"/>
                <w:sz w:val="18"/>
                <w:szCs w:val="18"/>
                <w:lang w:val="en-US"/>
              </w:rPr>
              <w:t>1层</w:t>
            </w:r>
          </w:p>
        </w:tc>
        <w:tc>
          <w:tcPr>
            <w:tcW w:w="2142" w:type="dxa"/>
            <w:vAlign w:val="center"/>
          </w:tcPr>
          <w:p w14:paraId="7C090DD4">
            <w:pPr>
              <w:spacing w:line="400" w:lineRule="exact"/>
              <w:jc w:val="center"/>
              <w:rPr>
                <w:sz w:val="18"/>
                <w:szCs w:val="18"/>
                <w:lang w:val="en-US"/>
              </w:rPr>
            </w:pPr>
            <w:r>
              <w:rPr>
                <w:sz w:val="18"/>
                <w:szCs w:val="18"/>
                <w:lang w:val="en-US"/>
              </w:rPr>
              <w:t>0.07</w:t>
            </w:r>
          </w:p>
        </w:tc>
        <w:tc>
          <w:tcPr>
            <w:tcW w:w="2268" w:type="dxa"/>
            <w:vAlign w:val="center"/>
          </w:tcPr>
          <w:p w14:paraId="45D30D51">
            <w:pPr>
              <w:spacing w:line="400" w:lineRule="exact"/>
              <w:jc w:val="center"/>
              <w:rPr>
                <w:sz w:val="18"/>
                <w:szCs w:val="18"/>
                <w:lang w:val="en-US"/>
              </w:rPr>
            </w:pPr>
            <w:r>
              <w:rPr>
                <w:sz w:val="18"/>
                <w:szCs w:val="18"/>
                <w:lang w:val="en-US"/>
              </w:rPr>
              <w:t>-0.17</w:t>
            </w:r>
          </w:p>
        </w:tc>
        <w:tc>
          <w:tcPr>
            <w:tcW w:w="2551" w:type="dxa"/>
            <w:vAlign w:val="center"/>
          </w:tcPr>
          <w:p w14:paraId="1726C2D0">
            <w:pPr>
              <w:spacing w:line="400" w:lineRule="exact"/>
              <w:jc w:val="center"/>
              <w:rPr>
                <w:sz w:val="18"/>
                <w:szCs w:val="18"/>
                <w:lang w:val="en-US"/>
              </w:rPr>
            </w:pPr>
            <w:r>
              <w:rPr>
                <w:sz w:val="18"/>
                <w:szCs w:val="18"/>
                <w:lang w:val="en-US"/>
              </w:rPr>
              <w:t>0.24</w:t>
            </w:r>
          </w:p>
        </w:tc>
      </w:tr>
      <w:tr w14:paraId="1990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394ECD0">
            <w:pPr>
              <w:spacing w:line="400" w:lineRule="exact"/>
              <w:jc w:val="center"/>
              <w:rPr>
                <w:sz w:val="18"/>
                <w:szCs w:val="18"/>
                <w:lang w:val="en-US"/>
              </w:rPr>
            </w:pPr>
            <w:r>
              <w:rPr>
                <w:sz w:val="18"/>
                <w:szCs w:val="18"/>
                <w:lang w:val="en-US"/>
              </w:rPr>
              <w:t>2层</w:t>
            </w:r>
          </w:p>
        </w:tc>
        <w:tc>
          <w:tcPr>
            <w:tcW w:w="2142" w:type="dxa"/>
            <w:vAlign w:val="center"/>
          </w:tcPr>
          <w:p w14:paraId="10DDF324">
            <w:pPr>
              <w:spacing w:line="400" w:lineRule="exact"/>
              <w:jc w:val="center"/>
              <w:rPr>
                <w:sz w:val="18"/>
                <w:szCs w:val="18"/>
                <w:lang w:val="en-US"/>
              </w:rPr>
            </w:pPr>
            <w:r>
              <w:rPr>
                <w:sz w:val="18"/>
                <w:szCs w:val="18"/>
                <w:lang w:val="en-US"/>
              </w:rPr>
              <w:t>0.05</w:t>
            </w:r>
          </w:p>
        </w:tc>
        <w:tc>
          <w:tcPr>
            <w:tcW w:w="2268" w:type="dxa"/>
            <w:vAlign w:val="center"/>
          </w:tcPr>
          <w:p w14:paraId="3094BB97">
            <w:pPr>
              <w:spacing w:line="400" w:lineRule="exact"/>
              <w:jc w:val="center"/>
              <w:rPr>
                <w:sz w:val="18"/>
                <w:szCs w:val="18"/>
                <w:lang w:val="en-US"/>
              </w:rPr>
            </w:pPr>
            <w:r>
              <w:rPr>
                <w:sz w:val="18"/>
                <w:szCs w:val="18"/>
                <w:lang w:val="en-US"/>
              </w:rPr>
              <w:t>-0.20</w:t>
            </w:r>
          </w:p>
        </w:tc>
        <w:tc>
          <w:tcPr>
            <w:tcW w:w="2551" w:type="dxa"/>
            <w:vAlign w:val="center"/>
          </w:tcPr>
          <w:p w14:paraId="56FF8F09">
            <w:pPr>
              <w:spacing w:line="400" w:lineRule="exact"/>
              <w:jc w:val="center"/>
              <w:rPr>
                <w:sz w:val="18"/>
                <w:szCs w:val="18"/>
                <w:lang w:val="en-US"/>
              </w:rPr>
            </w:pPr>
            <w:r>
              <w:rPr>
                <w:sz w:val="18"/>
                <w:szCs w:val="18"/>
                <w:lang w:val="en-US"/>
              </w:rPr>
              <w:t>0.25</w:t>
            </w:r>
          </w:p>
        </w:tc>
      </w:tr>
      <w:tr w14:paraId="3E98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2D97414">
            <w:pPr>
              <w:spacing w:line="400" w:lineRule="exact"/>
              <w:jc w:val="center"/>
              <w:rPr>
                <w:sz w:val="18"/>
                <w:szCs w:val="18"/>
                <w:lang w:val="en-US"/>
              </w:rPr>
            </w:pPr>
            <w:r>
              <w:rPr>
                <w:rFonts w:hint="eastAsia"/>
                <w:sz w:val="18"/>
                <w:szCs w:val="18"/>
                <w:lang w:val="en-US"/>
              </w:rPr>
              <w:t>3层</w:t>
            </w:r>
          </w:p>
        </w:tc>
        <w:tc>
          <w:tcPr>
            <w:tcW w:w="2142" w:type="dxa"/>
            <w:vAlign w:val="center"/>
          </w:tcPr>
          <w:p w14:paraId="4373DD38">
            <w:pPr>
              <w:spacing w:line="400" w:lineRule="exact"/>
              <w:jc w:val="center"/>
              <w:rPr>
                <w:sz w:val="18"/>
                <w:szCs w:val="18"/>
                <w:lang w:val="en-US"/>
              </w:rPr>
            </w:pPr>
            <w:r>
              <w:rPr>
                <w:sz w:val="18"/>
                <w:szCs w:val="18"/>
                <w:lang w:val="en-US"/>
              </w:rPr>
              <w:t>0.04</w:t>
            </w:r>
          </w:p>
        </w:tc>
        <w:tc>
          <w:tcPr>
            <w:tcW w:w="2268" w:type="dxa"/>
            <w:vAlign w:val="center"/>
          </w:tcPr>
          <w:p w14:paraId="2709EF6D">
            <w:pPr>
              <w:spacing w:line="400" w:lineRule="exact"/>
              <w:jc w:val="center"/>
              <w:rPr>
                <w:sz w:val="18"/>
                <w:szCs w:val="18"/>
                <w:lang w:val="en-US"/>
              </w:rPr>
            </w:pPr>
            <w:r>
              <w:rPr>
                <w:sz w:val="18"/>
                <w:szCs w:val="18"/>
                <w:lang w:val="en-US"/>
              </w:rPr>
              <w:t>-0.22</w:t>
            </w:r>
          </w:p>
        </w:tc>
        <w:tc>
          <w:tcPr>
            <w:tcW w:w="2551" w:type="dxa"/>
            <w:vAlign w:val="center"/>
          </w:tcPr>
          <w:p w14:paraId="3B7BCF64">
            <w:pPr>
              <w:spacing w:line="400" w:lineRule="exact"/>
              <w:jc w:val="center"/>
              <w:rPr>
                <w:sz w:val="18"/>
                <w:szCs w:val="18"/>
                <w:lang w:val="en-US"/>
              </w:rPr>
            </w:pPr>
            <w:r>
              <w:rPr>
                <w:sz w:val="18"/>
                <w:szCs w:val="18"/>
                <w:lang w:val="en-US"/>
              </w:rPr>
              <w:t>0.26</w:t>
            </w:r>
          </w:p>
        </w:tc>
      </w:tr>
      <w:tr w14:paraId="31880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9285129">
            <w:pPr>
              <w:spacing w:line="400" w:lineRule="exact"/>
              <w:jc w:val="center"/>
              <w:rPr>
                <w:sz w:val="18"/>
                <w:szCs w:val="18"/>
                <w:lang w:val="en-US"/>
              </w:rPr>
            </w:pPr>
            <w:r>
              <w:rPr>
                <w:rFonts w:hint="eastAsia"/>
                <w:sz w:val="18"/>
                <w:szCs w:val="18"/>
                <w:lang w:val="en-US"/>
              </w:rPr>
              <w:t>整楼</w:t>
            </w:r>
          </w:p>
        </w:tc>
        <w:tc>
          <w:tcPr>
            <w:tcW w:w="2142" w:type="dxa"/>
            <w:vAlign w:val="center"/>
          </w:tcPr>
          <w:p w14:paraId="47385896">
            <w:pPr>
              <w:spacing w:line="400" w:lineRule="exact"/>
              <w:jc w:val="center"/>
              <w:rPr>
                <w:sz w:val="18"/>
                <w:szCs w:val="18"/>
                <w:lang w:val="en-US"/>
              </w:rPr>
            </w:pPr>
            <w:r>
              <w:rPr>
                <w:sz w:val="18"/>
                <w:szCs w:val="18"/>
                <w:lang w:val="en-US"/>
              </w:rPr>
              <w:t>0.05</w:t>
            </w:r>
          </w:p>
        </w:tc>
        <w:tc>
          <w:tcPr>
            <w:tcW w:w="2268" w:type="dxa"/>
            <w:vAlign w:val="center"/>
          </w:tcPr>
          <w:p w14:paraId="022E0E21">
            <w:pPr>
              <w:spacing w:line="400" w:lineRule="exact"/>
              <w:jc w:val="center"/>
              <w:rPr>
                <w:sz w:val="18"/>
                <w:szCs w:val="18"/>
                <w:lang w:val="en-US"/>
              </w:rPr>
            </w:pPr>
            <w:r>
              <w:rPr>
                <w:sz w:val="18"/>
                <w:szCs w:val="18"/>
                <w:lang w:val="en-US"/>
              </w:rPr>
              <w:t>-0.20</w:t>
            </w:r>
          </w:p>
        </w:tc>
        <w:tc>
          <w:tcPr>
            <w:tcW w:w="2551" w:type="dxa"/>
            <w:vAlign w:val="center"/>
          </w:tcPr>
          <w:p w14:paraId="2BAC7147">
            <w:pPr>
              <w:spacing w:line="400" w:lineRule="exact"/>
              <w:jc w:val="center"/>
              <w:rPr>
                <w:sz w:val="18"/>
                <w:szCs w:val="18"/>
                <w:lang w:val="en-US"/>
              </w:rPr>
            </w:pPr>
            <w:r>
              <w:rPr>
                <w:sz w:val="18"/>
                <w:szCs w:val="18"/>
                <w:lang w:val="en-US"/>
              </w:rPr>
              <w:t>0.25</w:t>
            </w:r>
          </w:p>
        </w:tc>
      </w:tr>
      <w:bookmarkEnd w:id="0"/>
      <w:bookmarkEnd w:id="2"/>
    </w:tbl>
    <w:p w14:paraId="5D2A23D7"/>
    <w:p w14:paraId="469672C5">
      <w:pPr>
        <w:pStyle w:val="3"/>
        <w:ind w:firstLine="420"/>
        <w:rPr>
          <w:rFonts w:ascii="微软雅黑" w:hAnsi="微软雅黑" w:eastAsia="微软雅黑"/>
          <w:lang w:val="en-US"/>
        </w:rPr>
      </w:pPr>
      <w:bookmarkStart w:id="131" w:name="迎风建筑信息不参评"/>
      <w:bookmarkEnd w:id="131"/>
    </w:p>
    <w:bookmarkEnd w:id="127"/>
    <w:p w14:paraId="6B08DE9C">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3CD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CAB279E">
          <w:pPr>
            <w:pStyle w:val="17"/>
            <w:spacing w:line="360" w:lineRule="exact"/>
            <w:rPr>
              <w:sz w:val="20"/>
              <w:szCs w:val="21"/>
            </w:rPr>
          </w:pPr>
        </w:p>
      </w:tc>
      <w:tc>
        <w:tcPr>
          <w:tcW w:w="2841" w:type="dxa"/>
        </w:tcPr>
        <w:p w14:paraId="2E3EF117">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05070575">
          <w:pPr>
            <w:pStyle w:val="17"/>
            <w:spacing w:line="360" w:lineRule="exact"/>
            <w:jc w:val="right"/>
            <w:rPr>
              <w:sz w:val="20"/>
              <w:szCs w:val="21"/>
            </w:rPr>
          </w:pPr>
        </w:p>
      </w:tc>
    </w:tr>
  </w:tbl>
  <w:p w14:paraId="7EE2263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BEC7">
    <w:pPr>
      <w:pStyle w:val="17"/>
      <w:jc w:val="center"/>
      <w:rPr>
        <w:rFonts w:asciiTheme="minorEastAsia" w:hAnsiTheme="minorEastAsia" w:eastAsiaTheme="minorEastAsia"/>
        <w:szCs w:val="21"/>
      </w:rPr>
    </w:pPr>
  </w:p>
  <w:p w14:paraId="70F7A1B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AE83">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6F37">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A50A5"/>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6DEA5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lic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tmp8.dotx</Template>
  <Pages>18</Pages>
  <Words>4879</Words>
  <Characters>5581</Characters>
  <Lines>47</Lines>
  <Paragraphs>13</Paragraphs>
  <TotalTime>0</TotalTime>
  <ScaleCrop>false</ScaleCrop>
  <LinksUpToDate>false</LinksUpToDate>
  <CharactersWithSpaces>7452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2025-12-25T02:00:00Z</dcterms:created>
  <dc:creator>ttalice</dc:creator>
  <cp:lastModifiedBy>ttalice</cp:lastModifiedBy>
  <dcterms:modified xsi:type="dcterms:W3CDTF">2025-12-25T02:01:04Z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A9584C19FA404CEC8D061E967EF229D7_11</vt:lpwstr>
  </property>
  <property fmtid="{D5CDD505-2E9C-101B-9397-08002B2CF9AE}" pid="4" name="KSOTemplateDocerSaveRecord">
    <vt:lpwstr>eyJoZGlkIjoiNTNjNTYwNjQzMWNiNTRlODRlNGZkMDVhNDkxNmZjY2MiLCJ1c2VySWQiOiI0MTIwNTY2NjcifQ==</vt:lpwstr>
  </property>
</Properties>
</file>