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EB66D">
      <w:pPr>
        <w:pStyle w:val="46"/>
      </w:pPr>
    </w:p>
    <w:p w14:paraId="28DFCCC6">
      <w:pPr>
        <w:pStyle w:val="46"/>
      </w:pPr>
    </w:p>
    <w:p w14:paraId="3FBE1510">
      <w:pPr>
        <w:pStyle w:val="46"/>
        <w:jc w:val="distribute"/>
        <w:rPr>
          <w:b/>
          <w:sz w:val="72"/>
          <w:szCs w:val="72"/>
        </w:rPr>
      </w:pPr>
      <w:r>
        <w:rPr>
          <w:rFonts w:hint="eastAsia"/>
          <w:b/>
          <w:sz w:val="72"/>
          <w:szCs w:val="72"/>
        </w:rPr>
        <w:t>室外风环境模拟分析报告</w:t>
      </w:r>
    </w:p>
    <w:p w14:paraId="37511E06">
      <w:pPr>
        <w:pStyle w:val="50"/>
        <w:spacing w:line="400" w:lineRule="exact"/>
      </w:pPr>
    </w:p>
    <w:p w14:paraId="5A115E10">
      <w:pPr>
        <w:pStyle w:val="50"/>
        <w:rPr>
          <w:b/>
        </w:rPr>
      </w:pPr>
      <w:bookmarkStart w:id="0" w:name="项目名称"/>
    </w:p>
    <w:p w14:paraId="4FA8C1F4">
      <w:pPr>
        <w:pStyle w:val="50"/>
        <w:rPr>
          <w:b/>
        </w:rPr>
      </w:pPr>
      <w:r>
        <w:rPr>
          <w:rFonts w:hint="eastAsia"/>
          <w:b/>
        </w:rPr>
        <w:t>设计编号：</w:t>
      </w:r>
      <w:bookmarkStart w:id="1" w:name="设计编号"/>
    </w:p>
    <w:p w14:paraId="59A6CA32">
      <w:pPr>
        <w:pStyle w:val="50"/>
        <w:rPr>
          <w:b/>
        </w:rPr>
      </w:pPr>
    </w:p>
    <w:p w14:paraId="62FE682D">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6257052A">
      <w:pPr>
        <w:pStyle w:val="46"/>
        <w:jc w:val="center"/>
      </w:pPr>
    </w:p>
    <w:p w14:paraId="31F3EFCB">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708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0E28E1A">
            <w:pPr>
              <w:pStyle w:val="46"/>
              <w:spacing w:line="240" w:lineRule="auto"/>
              <w:jc w:val="distribute"/>
            </w:pPr>
            <w:r>
              <w:rPr>
                <w:rFonts w:hint="eastAsia"/>
              </w:rPr>
              <w:t>工程地点</w:t>
            </w:r>
          </w:p>
        </w:tc>
        <w:tc>
          <w:tcPr>
            <w:tcW w:w="475" w:type="dxa"/>
            <w:vAlign w:val="center"/>
          </w:tcPr>
          <w:p w14:paraId="70A63AF6">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10B53BDE">
            <w:pPr>
              <w:pStyle w:val="46"/>
              <w:spacing w:line="240" w:lineRule="auto"/>
              <w:jc w:val="center"/>
            </w:pPr>
            <w:bookmarkStart w:id="3" w:name="项目地点"/>
            <w:bookmarkStart w:id="4" w:name="工程地点"/>
            <w:r>
              <w:t>南宁</w:t>
            </w:r>
            <w:bookmarkEnd w:id="3"/>
          </w:p>
        </w:tc>
      </w:tr>
      <w:tr w14:paraId="7899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292122">
            <w:pPr>
              <w:pStyle w:val="46"/>
              <w:spacing w:line="240" w:lineRule="auto"/>
              <w:jc w:val="distribute"/>
            </w:pPr>
            <w:r>
              <w:rPr>
                <w:rFonts w:hint="eastAsia"/>
              </w:rPr>
              <w:t>建设单位</w:t>
            </w:r>
          </w:p>
        </w:tc>
        <w:tc>
          <w:tcPr>
            <w:tcW w:w="475" w:type="dxa"/>
            <w:vAlign w:val="center"/>
          </w:tcPr>
          <w:p w14:paraId="4DBB7454">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28401DA">
            <w:pPr>
              <w:pStyle w:val="46"/>
              <w:spacing w:line="240" w:lineRule="auto"/>
              <w:jc w:val="center"/>
            </w:pPr>
            <w:bookmarkStart w:id="5" w:name="建设单位"/>
          </w:p>
        </w:tc>
      </w:tr>
      <w:tr w14:paraId="1706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C2B972">
            <w:pPr>
              <w:pStyle w:val="46"/>
              <w:spacing w:line="240" w:lineRule="auto"/>
              <w:jc w:val="distribute"/>
            </w:pPr>
            <w:r>
              <w:rPr>
                <w:rFonts w:hint="eastAsia"/>
              </w:rPr>
              <w:t>设计单位</w:t>
            </w:r>
          </w:p>
        </w:tc>
        <w:tc>
          <w:tcPr>
            <w:tcW w:w="475" w:type="dxa"/>
            <w:vAlign w:val="center"/>
          </w:tcPr>
          <w:p w14:paraId="4BE8A174">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1E6F65E">
            <w:pPr>
              <w:pStyle w:val="46"/>
              <w:spacing w:line="240" w:lineRule="auto"/>
              <w:jc w:val="center"/>
            </w:pPr>
            <w:bookmarkStart w:id="6" w:name="设计单位"/>
            <w:bookmarkEnd w:id="6"/>
          </w:p>
        </w:tc>
      </w:tr>
      <w:tr w14:paraId="6A38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9A2FA66">
            <w:pPr>
              <w:pStyle w:val="46"/>
              <w:spacing w:line="240" w:lineRule="auto"/>
              <w:jc w:val="distribute"/>
            </w:pPr>
            <w:r>
              <w:rPr>
                <w:rFonts w:hint="eastAsia"/>
              </w:rPr>
              <w:t>设计人</w:t>
            </w:r>
          </w:p>
        </w:tc>
        <w:tc>
          <w:tcPr>
            <w:tcW w:w="475" w:type="dxa"/>
            <w:vAlign w:val="center"/>
          </w:tcPr>
          <w:p w14:paraId="5A3F081F">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21B31BDD">
            <w:pPr>
              <w:pStyle w:val="46"/>
              <w:spacing w:line="240" w:lineRule="auto"/>
              <w:jc w:val="center"/>
            </w:pPr>
          </w:p>
        </w:tc>
      </w:tr>
      <w:tr w14:paraId="18D0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F58A9E">
            <w:pPr>
              <w:pStyle w:val="46"/>
              <w:spacing w:line="240" w:lineRule="auto"/>
              <w:jc w:val="distribute"/>
            </w:pPr>
            <w:r>
              <w:rPr>
                <w:rFonts w:hint="eastAsia"/>
              </w:rPr>
              <w:t>校对人</w:t>
            </w:r>
          </w:p>
        </w:tc>
        <w:tc>
          <w:tcPr>
            <w:tcW w:w="475" w:type="dxa"/>
            <w:vAlign w:val="center"/>
          </w:tcPr>
          <w:p w14:paraId="291530AD">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9B99E81">
            <w:pPr>
              <w:pStyle w:val="46"/>
              <w:spacing w:line="240" w:lineRule="auto"/>
              <w:jc w:val="center"/>
            </w:pPr>
          </w:p>
        </w:tc>
      </w:tr>
      <w:tr w14:paraId="5B3B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D24829">
            <w:pPr>
              <w:pStyle w:val="46"/>
              <w:spacing w:line="240" w:lineRule="auto"/>
              <w:jc w:val="distribute"/>
            </w:pPr>
            <w:r>
              <w:rPr>
                <w:rFonts w:hint="eastAsia"/>
              </w:rPr>
              <w:t>审定人</w:t>
            </w:r>
          </w:p>
        </w:tc>
        <w:tc>
          <w:tcPr>
            <w:tcW w:w="475" w:type="dxa"/>
            <w:vAlign w:val="center"/>
          </w:tcPr>
          <w:p w14:paraId="6E8F6040">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52E0998">
            <w:pPr>
              <w:pStyle w:val="46"/>
              <w:spacing w:line="240" w:lineRule="auto"/>
              <w:jc w:val="center"/>
            </w:pPr>
          </w:p>
        </w:tc>
      </w:tr>
      <w:tr w14:paraId="78C4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8F7A37">
            <w:pPr>
              <w:pStyle w:val="46"/>
              <w:spacing w:line="240" w:lineRule="auto"/>
              <w:jc w:val="distribute"/>
            </w:pPr>
            <w:r>
              <w:rPr>
                <w:rFonts w:hint="eastAsia"/>
              </w:rPr>
              <w:t>报告日期</w:t>
            </w:r>
          </w:p>
        </w:tc>
        <w:tc>
          <w:tcPr>
            <w:tcW w:w="475" w:type="dxa"/>
            <w:vAlign w:val="center"/>
          </w:tcPr>
          <w:p w14:paraId="7821FB6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7764DCC4">
            <w:pPr>
              <w:pStyle w:val="46"/>
              <w:spacing w:line="240" w:lineRule="auto"/>
              <w:jc w:val="center"/>
            </w:pPr>
            <w:bookmarkStart w:id="7" w:name="报告日期"/>
            <w:r>
              <w:t>2025年12月25日</w:t>
            </w:r>
            <w:bookmarkEnd w:id="7"/>
          </w:p>
        </w:tc>
      </w:tr>
    </w:tbl>
    <w:p w14:paraId="5C7F0022"/>
    <w:p w14:paraId="16DA3037">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E668B3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9EDBFAC">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F855541">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94252BB">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9160F2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DEED0D0">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3A10457D">
            <w:pPr>
              <w:pStyle w:val="4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309360E">
            <w:pPr>
              <w:spacing w:line="360" w:lineRule="exact"/>
              <w:ind w:firstLine="360"/>
              <w:rPr>
                <w:sz w:val="18"/>
                <w:szCs w:val="18"/>
              </w:rPr>
            </w:pPr>
          </w:p>
        </w:tc>
      </w:tr>
      <w:tr w14:paraId="191394D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6A51ED3">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14035DA2">
            <w:pPr>
              <w:pStyle w:val="48"/>
              <w:rPr>
                <w:szCs w:val="18"/>
              </w:rPr>
            </w:pPr>
            <w:r>
              <w:rPr>
                <w:rFonts w:hint="eastAsia"/>
                <w:szCs w:val="18"/>
              </w:rPr>
              <w:t xml:space="preserve">: </w:t>
            </w:r>
            <w:bookmarkStart w:id="10" w:name="加密锁号"/>
            <w:r>
              <w:rPr>
                <w:rFonts w:hint="eastAsia"/>
                <w:szCs w:val="18"/>
              </w:rPr>
              <w:t>T13517660625</w:t>
            </w:r>
            <w:bookmarkEnd w:id="10"/>
          </w:p>
        </w:tc>
        <w:tc>
          <w:tcPr>
            <w:tcW w:w="3958" w:type="dxa"/>
            <w:vMerge w:val="continue"/>
            <w:tcBorders>
              <w:top w:val="single" w:color="auto" w:sz="2" w:space="0"/>
              <w:left w:val="nil"/>
              <w:bottom w:val="nil"/>
              <w:right w:val="nil"/>
            </w:tcBorders>
            <w:vAlign w:val="center"/>
          </w:tcPr>
          <w:p w14:paraId="559A2B18">
            <w:pPr>
              <w:spacing w:line="360" w:lineRule="exact"/>
              <w:ind w:firstLine="360"/>
              <w:rPr>
                <w:sz w:val="18"/>
                <w:szCs w:val="18"/>
              </w:rPr>
            </w:pPr>
          </w:p>
        </w:tc>
      </w:tr>
      <w:tr w14:paraId="682F5DE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670BB91">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41D6D71D">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9F0963F">
            <w:pPr>
              <w:spacing w:line="360" w:lineRule="exact"/>
              <w:ind w:firstLine="360"/>
              <w:rPr>
                <w:sz w:val="18"/>
                <w:szCs w:val="18"/>
              </w:rPr>
            </w:pPr>
          </w:p>
        </w:tc>
      </w:tr>
    </w:tbl>
    <w:p w14:paraId="2A18D903">
      <w:pPr>
        <w:jc w:val="center"/>
        <w:rPr>
          <w:b/>
          <w:bCs/>
          <w:sz w:val="32"/>
          <w:szCs w:val="32"/>
        </w:rPr>
      </w:pPr>
      <w:r>
        <w:rPr>
          <w:b/>
          <w:bCs/>
          <w:sz w:val="28"/>
          <w:szCs w:val="32"/>
        </w:rPr>
        <w:br w:type="page"/>
      </w:r>
      <w:r>
        <w:rPr>
          <w:rFonts w:hint="eastAsia"/>
          <w:b/>
          <w:bCs/>
          <w:sz w:val="28"/>
          <w:szCs w:val="32"/>
        </w:rPr>
        <w:t>目  录</w:t>
      </w:r>
    </w:p>
    <w:p w14:paraId="04D5E6A4">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_Toc27942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_Toc27942 \h </w:instrText>
      </w:r>
      <w:r>
        <w:fldChar w:fldCharType="separate"/>
      </w:r>
      <w:r>
        <w:t>3</w:t>
      </w:r>
      <w:r>
        <w:fldChar w:fldCharType="end"/>
      </w:r>
      <w:r>
        <w:rPr>
          <w:caps/>
        </w:rPr>
        <w:fldChar w:fldCharType="end"/>
      </w:r>
    </w:p>
    <w:p w14:paraId="54C1B86C">
      <w:pPr>
        <w:pStyle w:val="20"/>
        <w:tabs>
          <w:tab w:val="right" w:leader="dot" w:pos="8306"/>
          <w:tab w:val="clear" w:pos="540"/>
          <w:tab w:val="clear" w:pos="840"/>
          <w:tab w:val="clear" w:pos="8222"/>
          <w:tab w:val="clear" w:pos="8296"/>
        </w:tabs>
      </w:pPr>
      <w:r>
        <w:fldChar w:fldCharType="begin"/>
      </w:r>
      <w:r>
        <w:instrText xml:space="preserve"> HYPERLINK \l _Toc7736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_Toc7736 \h </w:instrText>
      </w:r>
      <w:r>
        <w:fldChar w:fldCharType="separate"/>
      </w:r>
      <w:r>
        <w:t>3</w:t>
      </w:r>
      <w:r>
        <w:fldChar w:fldCharType="end"/>
      </w:r>
      <w:r>
        <w:fldChar w:fldCharType="end"/>
      </w:r>
    </w:p>
    <w:p w14:paraId="73D2AD24">
      <w:pPr>
        <w:pStyle w:val="20"/>
        <w:tabs>
          <w:tab w:val="right" w:leader="dot" w:pos="8306"/>
          <w:tab w:val="clear" w:pos="540"/>
          <w:tab w:val="clear" w:pos="840"/>
          <w:tab w:val="clear" w:pos="8222"/>
          <w:tab w:val="clear" w:pos="8296"/>
        </w:tabs>
      </w:pPr>
      <w:r>
        <w:fldChar w:fldCharType="begin"/>
      </w:r>
      <w:r>
        <w:instrText xml:space="preserve"> HYPERLINK \l _Toc14420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_Toc14420 \h </w:instrText>
      </w:r>
      <w:r>
        <w:fldChar w:fldCharType="separate"/>
      </w:r>
      <w:r>
        <w:t>3</w:t>
      </w:r>
      <w:r>
        <w:fldChar w:fldCharType="end"/>
      </w:r>
      <w:r>
        <w:fldChar w:fldCharType="end"/>
      </w:r>
    </w:p>
    <w:p w14:paraId="5421D6FC">
      <w:pPr>
        <w:pStyle w:val="19"/>
        <w:tabs>
          <w:tab w:val="right" w:leader="dot" w:pos="8306"/>
          <w:tab w:val="clear" w:pos="180"/>
          <w:tab w:val="clear" w:pos="420"/>
          <w:tab w:val="clear" w:pos="8222"/>
        </w:tabs>
      </w:pPr>
      <w:r>
        <w:fldChar w:fldCharType="begin"/>
      </w:r>
      <w:r>
        <w:instrText xml:space="preserve"> HYPERLINK \l _Toc30838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_Toc30838 \h </w:instrText>
      </w:r>
      <w:r>
        <w:fldChar w:fldCharType="separate"/>
      </w:r>
      <w:r>
        <w:t>4</w:t>
      </w:r>
      <w:r>
        <w:fldChar w:fldCharType="end"/>
      </w:r>
      <w:r>
        <w:fldChar w:fldCharType="end"/>
      </w:r>
    </w:p>
    <w:p w14:paraId="37223A92">
      <w:pPr>
        <w:pStyle w:val="19"/>
        <w:tabs>
          <w:tab w:val="right" w:leader="dot" w:pos="8306"/>
          <w:tab w:val="clear" w:pos="180"/>
          <w:tab w:val="clear" w:pos="420"/>
          <w:tab w:val="clear" w:pos="8222"/>
        </w:tabs>
      </w:pPr>
      <w:r>
        <w:fldChar w:fldCharType="begin"/>
      </w:r>
      <w:r>
        <w:instrText xml:space="preserve"> HYPERLINK \l _Toc2394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_Toc2394 \h </w:instrText>
      </w:r>
      <w:r>
        <w:fldChar w:fldCharType="separate"/>
      </w:r>
      <w:r>
        <w:t>5</w:t>
      </w:r>
      <w:r>
        <w:fldChar w:fldCharType="end"/>
      </w:r>
      <w:r>
        <w:fldChar w:fldCharType="end"/>
      </w:r>
    </w:p>
    <w:p w14:paraId="299D52C1">
      <w:pPr>
        <w:pStyle w:val="19"/>
        <w:tabs>
          <w:tab w:val="right" w:leader="dot" w:pos="8306"/>
          <w:tab w:val="clear" w:pos="180"/>
          <w:tab w:val="clear" w:pos="420"/>
          <w:tab w:val="clear" w:pos="8222"/>
        </w:tabs>
      </w:pPr>
      <w:r>
        <w:fldChar w:fldCharType="begin"/>
      </w:r>
      <w:r>
        <w:instrText xml:space="preserve"> HYPERLINK \l _Toc11457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_Toc11457 \h </w:instrText>
      </w:r>
      <w:r>
        <w:fldChar w:fldCharType="separate"/>
      </w:r>
      <w:r>
        <w:t>5</w:t>
      </w:r>
      <w:r>
        <w:fldChar w:fldCharType="end"/>
      </w:r>
      <w:r>
        <w:fldChar w:fldCharType="end"/>
      </w:r>
    </w:p>
    <w:p w14:paraId="73BF9D46">
      <w:pPr>
        <w:pStyle w:val="20"/>
        <w:tabs>
          <w:tab w:val="right" w:leader="dot" w:pos="8306"/>
          <w:tab w:val="clear" w:pos="540"/>
          <w:tab w:val="clear" w:pos="840"/>
          <w:tab w:val="clear" w:pos="8222"/>
          <w:tab w:val="clear" w:pos="8296"/>
        </w:tabs>
      </w:pPr>
      <w:r>
        <w:fldChar w:fldCharType="begin"/>
      </w:r>
      <w:r>
        <w:instrText xml:space="preserve"> HYPERLINK \l _Toc8836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_Toc8836 \h </w:instrText>
      </w:r>
      <w:r>
        <w:fldChar w:fldCharType="separate"/>
      </w:r>
      <w:r>
        <w:t>5</w:t>
      </w:r>
      <w:r>
        <w:fldChar w:fldCharType="end"/>
      </w:r>
      <w:r>
        <w:fldChar w:fldCharType="end"/>
      </w:r>
    </w:p>
    <w:p w14:paraId="68B7754A">
      <w:pPr>
        <w:pStyle w:val="20"/>
        <w:tabs>
          <w:tab w:val="right" w:leader="dot" w:pos="8306"/>
          <w:tab w:val="clear" w:pos="540"/>
          <w:tab w:val="clear" w:pos="840"/>
          <w:tab w:val="clear" w:pos="8222"/>
          <w:tab w:val="clear" w:pos="8296"/>
        </w:tabs>
      </w:pPr>
      <w:r>
        <w:fldChar w:fldCharType="begin"/>
      </w:r>
      <w:r>
        <w:instrText xml:space="preserve"> HYPERLINK \l _Toc15045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_Toc15045 \h </w:instrText>
      </w:r>
      <w:r>
        <w:fldChar w:fldCharType="separate"/>
      </w:r>
      <w:r>
        <w:t>6</w:t>
      </w:r>
      <w:r>
        <w:fldChar w:fldCharType="end"/>
      </w:r>
      <w:r>
        <w:fldChar w:fldCharType="end"/>
      </w:r>
    </w:p>
    <w:p w14:paraId="2F3E5B61">
      <w:pPr>
        <w:pStyle w:val="20"/>
        <w:tabs>
          <w:tab w:val="right" w:leader="dot" w:pos="8306"/>
          <w:tab w:val="clear" w:pos="540"/>
          <w:tab w:val="clear" w:pos="840"/>
          <w:tab w:val="clear" w:pos="8222"/>
          <w:tab w:val="clear" w:pos="8296"/>
        </w:tabs>
      </w:pPr>
      <w:r>
        <w:fldChar w:fldCharType="begin"/>
      </w:r>
      <w:r>
        <w:instrText xml:space="preserve"> HYPERLINK \l _Toc30998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_Toc30998 \h </w:instrText>
      </w:r>
      <w:r>
        <w:fldChar w:fldCharType="separate"/>
      </w:r>
      <w:r>
        <w:t>8</w:t>
      </w:r>
      <w:r>
        <w:fldChar w:fldCharType="end"/>
      </w:r>
      <w:r>
        <w:fldChar w:fldCharType="end"/>
      </w:r>
    </w:p>
    <w:p w14:paraId="149BC66B">
      <w:pPr>
        <w:pStyle w:val="20"/>
        <w:tabs>
          <w:tab w:val="right" w:leader="dot" w:pos="8306"/>
          <w:tab w:val="clear" w:pos="540"/>
          <w:tab w:val="clear" w:pos="840"/>
          <w:tab w:val="clear" w:pos="8222"/>
          <w:tab w:val="clear" w:pos="8296"/>
        </w:tabs>
      </w:pPr>
      <w:r>
        <w:fldChar w:fldCharType="begin"/>
      </w:r>
      <w:r>
        <w:instrText xml:space="preserve"> HYPERLINK \l _Toc3543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_Toc3543 \h </w:instrText>
      </w:r>
      <w:r>
        <w:fldChar w:fldCharType="separate"/>
      </w:r>
      <w:r>
        <w:t>10</w:t>
      </w:r>
      <w:r>
        <w:fldChar w:fldCharType="end"/>
      </w:r>
      <w:r>
        <w:fldChar w:fldCharType="end"/>
      </w:r>
    </w:p>
    <w:p w14:paraId="7D30CD33">
      <w:pPr>
        <w:pStyle w:val="20"/>
        <w:tabs>
          <w:tab w:val="right" w:leader="dot" w:pos="8306"/>
          <w:tab w:val="clear" w:pos="540"/>
          <w:tab w:val="clear" w:pos="840"/>
          <w:tab w:val="clear" w:pos="8222"/>
          <w:tab w:val="clear" w:pos="8296"/>
        </w:tabs>
      </w:pPr>
      <w:r>
        <w:fldChar w:fldCharType="begin"/>
      </w:r>
      <w:r>
        <w:instrText xml:space="preserve"> HYPERLINK \l _Toc29099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_Toc29099 \h </w:instrText>
      </w:r>
      <w:r>
        <w:fldChar w:fldCharType="separate"/>
      </w:r>
      <w:r>
        <w:t>10</w:t>
      </w:r>
      <w:r>
        <w:fldChar w:fldCharType="end"/>
      </w:r>
      <w:r>
        <w:fldChar w:fldCharType="end"/>
      </w:r>
    </w:p>
    <w:p w14:paraId="7A292859">
      <w:pPr>
        <w:pStyle w:val="20"/>
        <w:tabs>
          <w:tab w:val="right" w:leader="dot" w:pos="8306"/>
          <w:tab w:val="clear" w:pos="540"/>
          <w:tab w:val="clear" w:pos="840"/>
          <w:tab w:val="clear" w:pos="8222"/>
          <w:tab w:val="clear" w:pos="8296"/>
        </w:tabs>
      </w:pPr>
      <w:r>
        <w:fldChar w:fldCharType="begin"/>
      </w:r>
      <w:r>
        <w:instrText xml:space="preserve"> HYPERLINK \l _Toc27735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_Toc27735 \h </w:instrText>
      </w:r>
      <w:r>
        <w:fldChar w:fldCharType="separate"/>
      </w:r>
      <w:r>
        <w:t>11</w:t>
      </w:r>
      <w:r>
        <w:fldChar w:fldCharType="end"/>
      </w:r>
      <w:r>
        <w:fldChar w:fldCharType="end"/>
      </w:r>
    </w:p>
    <w:p w14:paraId="70AE7192">
      <w:pPr>
        <w:pStyle w:val="19"/>
        <w:tabs>
          <w:tab w:val="right" w:leader="dot" w:pos="8306"/>
          <w:tab w:val="clear" w:pos="180"/>
          <w:tab w:val="clear" w:pos="420"/>
          <w:tab w:val="clear" w:pos="8222"/>
        </w:tabs>
      </w:pPr>
      <w:r>
        <w:fldChar w:fldCharType="begin"/>
      </w:r>
      <w:r>
        <w:instrText xml:space="preserve"> HYPERLINK \l _Toc9358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_Toc9358 \h </w:instrText>
      </w:r>
      <w:r>
        <w:fldChar w:fldCharType="separate"/>
      </w:r>
      <w:r>
        <w:t>12</w:t>
      </w:r>
      <w:r>
        <w:fldChar w:fldCharType="end"/>
      </w:r>
      <w:r>
        <w:fldChar w:fldCharType="end"/>
      </w:r>
    </w:p>
    <w:p w14:paraId="4EC2EF52">
      <w:pPr>
        <w:pStyle w:val="20"/>
        <w:tabs>
          <w:tab w:val="right" w:leader="dot" w:pos="8306"/>
          <w:tab w:val="clear" w:pos="540"/>
          <w:tab w:val="clear" w:pos="840"/>
          <w:tab w:val="clear" w:pos="8222"/>
          <w:tab w:val="clear" w:pos="8296"/>
        </w:tabs>
      </w:pPr>
      <w:r>
        <w:fldChar w:fldCharType="begin"/>
      </w:r>
      <w:r>
        <w:instrText xml:space="preserve"> HYPERLINK \l _Toc29479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_Toc29479 \h </w:instrText>
      </w:r>
      <w:r>
        <w:fldChar w:fldCharType="separate"/>
      </w:r>
      <w:r>
        <w:t>12</w:t>
      </w:r>
      <w:r>
        <w:fldChar w:fldCharType="end"/>
      </w:r>
      <w:r>
        <w:fldChar w:fldCharType="end"/>
      </w:r>
    </w:p>
    <w:p w14:paraId="78341FBD">
      <w:pPr>
        <w:pStyle w:val="20"/>
        <w:tabs>
          <w:tab w:val="right" w:leader="dot" w:pos="8306"/>
          <w:tab w:val="clear" w:pos="540"/>
          <w:tab w:val="clear" w:pos="840"/>
          <w:tab w:val="clear" w:pos="8222"/>
          <w:tab w:val="clear" w:pos="8296"/>
        </w:tabs>
      </w:pPr>
      <w:r>
        <w:fldChar w:fldCharType="begin"/>
      </w:r>
      <w:r>
        <w:instrText xml:space="preserve"> HYPERLINK \l _Toc4562 </w:instrText>
      </w:r>
      <w:r>
        <w:fldChar w:fldCharType="separate"/>
      </w:r>
      <w:r>
        <w:rPr>
          <w:rFonts w:hint="eastAsia" w:ascii="微软雅黑" w:hAnsi="微软雅黑" w:eastAsia="微软雅黑"/>
          <w:lang w:val="en-GB"/>
        </w:rPr>
        <w:t xml:space="preserve">5.2 </w:t>
      </w:r>
      <w:r>
        <w:rPr>
          <w:rFonts w:hint="eastAsia"/>
        </w:rPr>
        <w:t>夏季工况</w:t>
      </w:r>
      <w:r>
        <w:tab/>
      </w:r>
      <w:r>
        <w:fldChar w:fldCharType="begin"/>
      </w:r>
      <w:r>
        <w:instrText xml:space="preserve"> PAGEREF _Toc4562 \h </w:instrText>
      </w:r>
      <w:r>
        <w:fldChar w:fldCharType="separate"/>
      </w:r>
      <w:r>
        <w:t>12</w:t>
      </w:r>
      <w:r>
        <w:fldChar w:fldCharType="end"/>
      </w:r>
      <w:r>
        <w:fldChar w:fldCharType="end"/>
      </w:r>
    </w:p>
    <w:p w14:paraId="358C5D12">
      <w:pPr>
        <w:pStyle w:val="19"/>
        <w:tabs>
          <w:tab w:val="right" w:leader="dot" w:pos="8306"/>
          <w:tab w:val="clear" w:pos="180"/>
          <w:tab w:val="clear" w:pos="420"/>
          <w:tab w:val="clear" w:pos="8222"/>
        </w:tabs>
      </w:pPr>
      <w:r>
        <w:fldChar w:fldCharType="begin"/>
      </w:r>
      <w:r>
        <w:instrText xml:space="preserve"> HYPERLINK \l _Toc1504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_Toc1504 \h </w:instrText>
      </w:r>
      <w:r>
        <w:fldChar w:fldCharType="separate"/>
      </w:r>
      <w:r>
        <w:t>16</w:t>
      </w:r>
      <w:r>
        <w:fldChar w:fldCharType="end"/>
      </w:r>
      <w:r>
        <w:fldChar w:fldCharType="end"/>
      </w:r>
    </w:p>
    <w:p w14:paraId="1639E06F">
      <w:pPr>
        <w:pStyle w:val="20"/>
        <w:tabs>
          <w:tab w:val="right" w:leader="dot" w:pos="8306"/>
          <w:tab w:val="clear" w:pos="540"/>
          <w:tab w:val="clear" w:pos="840"/>
          <w:tab w:val="clear" w:pos="8222"/>
          <w:tab w:val="clear" w:pos="8296"/>
        </w:tabs>
      </w:pPr>
      <w:r>
        <w:fldChar w:fldCharType="begin"/>
      </w:r>
      <w:r>
        <w:instrText xml:space="preserve"> HYPERLINK \l _Toc11060 </w:instrText>
      </w:r>
      <w: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_Toc11060 \h </w:instrText>
      </w:r>
      <w:r>
        <w:fldChar w:fldCharType="separate"/>
      </w:r>
      <w:r>
        <w:t>16</w:t>
      </w:r>
      <w:r>
        <w:fldChar w:fldCharType="end"/>
      </w:r>
      <w:r>
        <w:fldChar w:fldCharType="end"/>
      </w:r>
    </w:p>
    <w:p w14:paraId="36C7C7C3">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511BD7D6">
      <w:pPr>
        <w:pStyle w:val="2"/>
        <w:rPr>
          <w:rFonts w:ascii="微软雅黑" w:hAnsi="微软雅黑"/>
        </w:rPr>
      </w:pPr>
      <w:bookmarkStart w:id="12" w:name="_Toc452108759"/>
      <w:bookmarkStart w:id="13" w:name="_Toc27942"/>
      <w:r>
        <w:rPr>
          <w:rFonts w:hint="eastAsia" w:ascii="微软雅黑" w:hAnsi="微软雅黑"/>
        </w:rPr>
        <w:t>项目概况</w:t>
      </w:r>
      <w:bookmarkEnd w:id="12"/>
      <w:bookmarkEnd w:id="13"/>
    </w:p>
    <w:p w14:paraId="504BE043">
      <w:pPr>
        <w:ind w:firstLine="424" w:firstLineChars="202"/>
        <w:rPr>
          <w:lang w:val="en-US"/>
        </w:rPr>
      </w:pPr>
      <w:bookmarkStart w:id="14" w:name="项目概况"/>
      <w:bookmarkEnd w:id="14"/>
    </w:p>
    <w:p w14:paraId="5E1C7220">
      <w:pPr>
        <w:pStyle w:val="3"/>
        <w:ind w:firstLine="420"/>
        <w:rPr>
          <w:rFonts w:ascii="微软雅黑" w:hAnsi="微软雅黑" w:eastAsia="微软雅黑"/>
          <w:lang w:val="en-US"/>
        </w:rPr>
      </w:pPr>
    </w:p>
    <w:p w14:paraId="29A9808D">
      <w:pPr>
        <w:pStyle w:val="4"/>
      </w:pPr>
      <w:bookmarkStart w:id="15" w:name="_Toc452108760"/>
      <w:bookmarkStart w:id="16" w:name="_Toc7736"/>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5DB5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2A42332C">
            <w:pPr>
              <w:pStyle w:val="3"/>
              <w:spacing w:line="240" w:lineRule="auto"/>
              <w:ind w:firstLine="0" w:firstLineChars="0"/>
              <w:jc w:val="center"/>
              <w:rPr>
                <w:rFonts w:ascii="微软雅黑" w:hAnsi="微软雅黑" w:eastAsia="微软雅黑"/>
                <w:lang w:val="en-US"/>
              </w:rPr>
            </w:pPr>
          </w:p>
        </w:tc>
        <w:tc>
          <w:tcPr>
            <w:tcW w:w="1185" w:type="dxa"/>
            <w:vAlign w:val="center"/>
          </w:tcPr>
          <w:p w14:paraId="37B1898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471066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14B5EC9F">
            <w:pPr>
              <w:pStyle w:val="3"/>
              <w:spacing w:line="220" w:lineRule="exact"/>
              <w:ind w:firstLine="0" w:firstLineChars="0"/>
              <w:jc w:val="center"/>
              <w:rPr>
                <w:rFonts w:ascii="微软雅黑" w:hAnsi="微软雅黑" w:eastAsia="微软雅黑"/>
                <w:lang w:val="en-US"/>
              </w:rPr>
            </w:pPr>
          </w:p>
        </w:tc>
        <w:tc>
          <w:tcPr>
            <w:tcW w:w="1407" w:type="dxa"/>
            <w:vAlign w:val="center"/>
          </w:tcPr>
          <w:p w14:paraId="610A1A0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C6EC30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032A898A">
            <w:pPr>
              <w:pStyle w:val="3"/>
              <w:spacing w:line="240" w:lineRule="auto"/>
              <w:ind w:firstLine="0" w:firstLineChars="0"/>
              <w:jc w:val="center"/>
              <w:rPr>
                <w:rFonts w:ascii="微软雅黑" w:hAnsi="微软雅黑" w:eastAsia="微软雅黑"/>
                <w:lang w:val="en-US"/>
              </w:rPr>
            </w:pPr>
          </w:p>
        </w:tc>
        <w:tc>
          <w:tcPr>
            <w:tcW w:w="1408" w:type="dxa"/>
            <w:vAlign w:val="center"/>
          </w:tcPr>
          <w:p w14:paraId="0DE5C26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716A0CEF">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4FAE6E69">
            <w:pPr>
              <w:pStyle w:val="3"/>
              <w:spacing w:line="240" w:lineRule="auto"/>
              <w:ind w:firstLine="0" w:firstLineChars="0"/>
              <w:jc w:val="center"/>
              <w:rPr>
                <w:rFonts w:ascii="微软雅黑" w:hAnsi="微软雅黑" w:eastAsia="微软雅黑"/>
                <w:lang w:val="en-US"/>
              </w:rPr>
            </w:pPr>
          </w:p>
        </w:tc>
        <w:tc>
          <w:tcPr>
            <w:tcW w:w="1266" w:type="dxa"/>
            <w:vAlign w:val="center"/>
          </w:tcPr>
          <w:p w14:paraId="48607A9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70609D2E">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4B85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1C6816E7">
            <w:pPr>
              <w:pStyle w:val="3"/>
              <w:spacing w:line="240" w:lineRule="auto"/>
              <w:ind w:firstLine="0" w:firstLineChars="0"/>
              <w:jc w:val="center"/>
              <w:rPr>
                <w:rFonts w:ascii="微软雅黑" w:hAnsi="微软雅黑" w:eastAsia="微软雅黑"/>
                <w:lang w:val="en-US"/>
              </w:rPr>
            </w:pPr>
          </w:p>
        </w:tc>
        <w:tc>
          <w:tcPr>
            <w:tcW w:w="1185" w:type="dxa"/>
            <w:vAlign w:val="center"/>
          </w:tcPr>
          <w:p w14:paraId="006F4E0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F889CA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E654BEE">
            <w:pPr>
              <w:pStyle w:val="3"/>
              <w:spacing w:line="220" w:lineRule="exact"/>
              <w:ind w:firstLine="0" w:firstLineChars="0"/>
              <w:jc w:val="center"/>
              <w:rPr>
                <w:rFonts w:ascii="微软雅黑" w:hAnsi="微软雅黑" w:eastAsia="微软雅黑"/>
                <w:lang w:val="en-US"/>
              </w:rPr>
            </w:pPr>
          </w:p>
        </w:tc>
        <w:tc>
          <w:tcPr>
            <w:tcW w:w="1407" w:type="dxa"/>
            <w:vAlign w:val="center"/>
          </w:tcPr>
          <w:p w14:paraId="74A8779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D8B8D6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5DAA0C10">
            <w:pPr>
              <w:pStyle w:val="3"/>
              <w:spacing w:line="240" w:lineRule="auto"/>
              <w:ind w:firstLine="0" w:firstLineChars="0"/>
              <w:jc w:val="center"/>
              <w:rPr>
                <w:rFonts w:ascii="微软雅黑" w:hAnsi="微软雅黑" w:eastAsia="微软雅黑"/>
                <w:lang w:val="en-US"/>
              </w:rPr>
            </w:pPr>
          </w:p>
        </w:tc>
        <w:tc>
          <w:tcPr>
            <w:tcW w:w="1408" w:type="dxa"/>
            <w:vAlign w:val="center"/>
          </w:tcPr>
          <w:p w14:paraId="0F59BFC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79E72E3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196941DF">
            <w:pPr>
              <w:pStyle w:val="3"/>
              <w:spacing w:line="240" w:lineRule="auto"/>
              <w:ind w:firstLine="0" w:firstLineChars="0"/>
              <w:jc w:val="center"/>
              <w:rPr>
                <w:rFonts w:ascii="微软雅黑" w:hAnsi="微软雅黑" w:eastAsia="微软雅黑"/>
                <w:lang w:val="en-US"/>
              </w:rPr>
            </w:pPr>
          </w:p>
        </w:tc>
        <w:tc>
          <w:tcPr>
            <w:tcW w:w="1266" w:type="dxa"/>
            <w:vAlign w:val="center"/>
          </w:tcPr>
          <w:p w14:paraId="242B301A">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1733D1B">
      <w:pPr>
        <w:pStyle w:val="3"/>
        <w:ind w:firstLine="0" w:firstLineChars="0"/>
        <w:jc w:val="center"/>
        <w:rPr>
          <w:rFonts w:ascii="微软雅黑" w:hAnsi="微软雅黑" w:eastAsia="微软雅黑"/>
          <w:lang w:val="en-US"/>
        </w:rPr>
      </w:pPr>
    </w:p>
    <w:p w14:paraId="3AC49DA6">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5BED5B71">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425BC9E6">
      <w:pPr>
        <w:pStyle w:val="3"/>
        <w:ind w:firstLine="420"/>
        <w:rPr>
          <w:rFonts w:ascii="微软雅黑" w:hAnsi="微软雅黑" w:eastAsia="微软雅黑"/>
          <w:lang w:val="en-US"/>
        </w:rPr>
      </w:pPr>
    </w:p>
    <w:p w14:paraId="07F2A825">
      <w:pPr>
        <w:pStyle w:val="4"/>
      </w:pPr>
      <w:bookmarkStart w:id="18" w:name="_Toc452108761"/>
      <w:bookmarkStart w:id="19" w:name="_Toc14420"/>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1DD1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6AF127F3">
            <w:pPr>
              <w:pStyle w:val="3"/>
              <w:spacing w:line="240" w:lineRule="auto"/>
              <w:ind w:firstLine="0" w:firstLineChars="0"/>
              <w:jc w:val="center"/>
              <w:rPr>
                <w:rFonts w:ascii="微软雅黑" w:hAnsi="微软雅黑" w:eastAsia="微软雅黑"/>
                <w:lang w:val="en-US"/>
              </w:rPr>
            </w:pPr>
          </w:p>
        </w:tc>
        <w:tc>
          <w:tcPr>
            <w:tcW w:w="1185" w:type="dxa"/>
            <w:vAlign w:val="center"/>
          </w:tcPr>
          <w:p w14:paraId="600E03D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262511C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56564862">
            <w:pPr>
              <w:pStyle w:val="3"/>
              <w:spacing w:line="220" w:lineRule="exact"/>
              <w:ind w:firstLine="0" w:firstLineChars="0"/>
              <w:jc w:val="center"/>
              <w:rPr>
                <w:rFonts w:ascii="微软雅黑" w:hAnsi="微软雅黑" w:eastAsia="微软雅黑"/>
                <w:lang w:val="en-US"/>
              </w:rPr>
            </w:pPr>
          </w:p>
        </w:tc>
        <w:tc>
          <w:tcPr>
            <w:tcW w:w="1407" w:type="dxa"/>
            <w:vAlign w:val="center"/>
          </w:tcPr>
          <w:p w14:paraId="02853C3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155DDB2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2F96F19">
            <w:pPr>
              <w:pStyle w:val="3"/>
              <w:spacing w:line="240" w:lineRule="auto"/>
              <w:ind w:firstLine="0" w:firstLineChars="0"/>
              <w:jc w:val="center"/>
              <w:rPr>
                <w:rFonts w:ascii="微软雅黑" w:hAnsi="微软雅黑" w:eastAsia="微软雅黑"/>
                <w:lang w:val="en-US"/>
              </w:rPr>
            </w:pPr>
          </w:p>
        </w:tc>
        <w:tc>
          <w:tcPr>
            <w:tcW w:w="1408" w:type="dxa"/>
            <w:vAlign w:val="center"/>
          </w:tcPr>
          <w:p w14:paraId="3E036C0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6EEECDB">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735B1CA1">
            <w:pPr>
              <w:pStyle w:val="3"/>
              <w:spacing w:line="240" w:lineRule="auto"/>
              <w:ind w:firstLine="0" w:firstLineChars="0"/>
              <w:jc w:val="center"/>
              <w:rPr>
                <w:rFonts w:ascii="微软雅黑" w:hAnsi="微软雅黑" w:eastAsia="微软雅黑"/>
                <w:lang w:val="en-US"/>
              </w:rPr>
            </w:pPr>
          </w:p>
        </w:tc>
        <w:tc>
          <w:tcPr>
            <w:tcW w:w="1266" w:type="dxa"/>
            <w:vAlign w:val="center"/>
          </w:tcPr>
          <w:p w14:paraId="0C939CC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59D2AB60">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6C3B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18B166B4">
            <w:pPr>
              <w:pStyle w:val="3"/>
              <w:spacing w:line="240" w:lineRule="auto"/>
              <w:ind w:firstLine="0" w:firstLineChars="0"/>
              <w:jc w:val="center"/>
              <w:rPr>
                <w:rFonts w:ascii="微软雅黑" w:hAnsi="微软雅黑" w:eastAsia="微软雅黑"/>
                <w:lang w:val="en-US"/>
              </w:rPr>
            </w:pPr>
          </w:p>
        </w:tc>
        <w:tc>
          <w:tcPr>
            <w:tcW w:w="1185" w:type="dxa"/>
            <w:vAlign w:val="center"/>
          </w:tcPr>
          <w:p w14:paraId="1065F72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1CAB9E2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7D1EBC37">
            <w:pPr>
              <w:pStyle w:val="3"/>
              <w:spacing w:line="220" w:lineRule="exact"/>
              <w:ind w:firstLine="0" w:firstLineChars="0"/>
              <w:jc w:val="center"/>
              <w:rPr>
                <w:rFonts w:ascii="微软雅黑" w:hAnsi="微软雅黑" w:eastAsia="微软雅黑"/>
                <w:lang w:val="en-US"/>
              </w:rPr>
            </w:pPr>
          </w:p>
        </w:tc>
        <w:tc>
          <w:tcPr>
            <w:tcW w:w="1407" w:type="dxa"/>
            <w:vAlign w:val="center"/>
          </w:tcPr>
          <w:p w14:paraId="0A4E79D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B576C5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35F88C68">
            <w:pPr>
              <w:pStyle w:val="3"/>
              <w:spacing w:line="240" w:lineRule="auto"/>
              <w:ind w:firstLine="0" w:firstLineChars="0"/>
              <w:jc w:val="center"/>
              <w:rPr>
                <w:rFonts w:ascii="微软雅黑" w:hAnsi="微软雅黑" w:eastAsia="微软雅黑"/>
                <w:lang w:val="en-US"/>
              </w:rPr>
            </w:pPr>
          </w:p>
        </w:tc>
        <w:tc>
          <w:tcPr>
            <w:tcW w:w="1408" w:type="dxa"/>
            <w:vAlign w:val="center"/>
          </w:tcPr>
          <w:p w14:paraId="44832D2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7EE8937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75CC8B18">
            <w:pPr>
              <w:pStyle w:val="3"/>
              <w:spacing w:line="240" w:lineRule="auto"/>
              <w:ind w:firstLine="0" w:firstLineChars="0"/>
              <w:jc w:val="center"/>
              <w:rPr>
                <w:rFonts w:ascii="微软雅黑" w:hAnsi="微软雅黑" w:eastAsia="微软雅黑"/>
                <w:lang w:val="en-US"/>
              </w:rPr>
            </w:pPr>
          </w:p>
        </w:tc>
        <w:tc>
          <w:tcPr>
            <w:tcW w:w="1266" w:type="dxa"/>
            <w:vAlign w:val="center"/>
          </w:tcPr>
          <w:p w14:paraId="7090963E">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1BCCF54">
      <w:pPr>
        <w:pStyle w:val="3"/>
        <w:ind w:firstLine="0" w:firstLineChars="0"/>
        <w:jc w:val="center"/>
        <w:rPr>
          <w:rFonts w:ascii="微软雅黑" w:hAnsi="微软雅黑" w:eastAsia="微软雅黑"/>
          <w:lang w:val="en-US"/>
        </w:rPr>
      </w:pPr>
    </w:p>
    <w:p w14:paraId="0ED9F523">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16FE7FBC">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33A67B32">
      <w:pPr>
        <w:pStyle w:val="3"/>
        <w:ind w:firstLine="0" w:firstLineChars="0"/>
        <w:rPr>
          <w:rFonts w:ascii="微软雅黑" w:hAnsi="微软雅黑" w:eastAsia="微软雅黑"/>
          <w:lang w:val="en-US"/>
        </w:rPr>
      </w:pPr>
    </w:p>
    <w:p w14:paraId="357C90EA">
      <w:pPr>
        <w:pStyle w:val="2"/>
        <w:rPr>
          <w:rFonts w:ascii="微软雅黑" w:hAnsi="微软雅黑"/>
        </w:rPr>
      </w:pPr>
      <w:bookmarkStart w:id="21" w:name="TitleFormat"/>
      <w:bookmarkStart w:id="22" w:name="_Toc452108762"/>
      <w:bookmarkStart w:id="23" w:name="_Toc30838"/>
      <w:r>
        <w:rPr>
          <w:rFonts w:hint="eastAsia" w:ascii="微软雅黑" w:hAnsi="微软雅黑"/>
        </w:rPr>
        <w:t>计算</w:t>
      </w:r>
      <w:r>
        <w:rPr>
          <w:rFonts w:ascii="微软雅黑" w:hAnsi="微软雅黑"/>
        </w:rPr>
        <w:t>依据</w:t>
      </w:r>
      <w:bookmarkEnd w:id="21"/>
      <w:bookmarkEnd w:id="22"/>
      <w:bookmarkEnd w:id="23"/>
    </w:p>
    <w:p w14:paraId="2F5B65A7">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4BE5072A">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25452B9E">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146DFC86">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1D0EF50">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9C3BB2D">
      <w:pPr>
        <w:pStyle w:val="2"/>
        <w:rPr>
          <w:rFonts w:ascii="微软雅黑" w:hAnsi="微软雅黑"/>
        </w:rPr>
      </w:pPr>
      <w:bookmarkStart w:id="25" w:name="_Toc452108763"/>
      <w:bookmarkStart w:id="26" w:name="_Toc2394"/>
      <w:r>
        <w:rPr>
          <w:rFonts w:hint="eastAsia" w:ascii="微软雅黑" w:hAnsi="微软雅黑"/>
        </w:rPr>
        <w:t>参考</w:t>
      </w:r>
      <w:r>
        <w:rPr>
          <w:rFonts w:ascii="微软雅黑" w:hAnsi="微软雅黑"/>
        </w:rPr>
        <w:t>标准</w:t>
      </w:r>
      <w:bookmarkEnd w:id="25"/>
      <w:bookmarkEnd w:id="26"/>
    </w:p>
    <w:p w14:paraId="05C82D84">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1D1BC235">
      <w:pPr>
        <w:pStyle w:val="3"/>
        <w:ind w:firstLine="420"/>
        <w:rPr>
          <w:rFonts w:ascii="微软雅黑" w:hAnsi="微软雅黑" w:eastAsia="微软雅黑"/>
          <w:lang w:val="en-US"/>
        </w:rPr>
      </w:pPr>
      <w:bookmarkStart w:id="28" w:name="_Toc452108764"/>
      <w:bookmarkStart w:id="29" w:name="_Toc451698935"/>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077459D4">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6B4120DD">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6E6A992B">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3C9BEFA5">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143B6626">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16A03106">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54995F00">
      <w:pPr>
        <w:pStyle w:val="2"/>
        <w:rPr>
          <w:rFonts w:ascii="微软雅黑" w:hAnsi="微软雅黑"/>
        </w:rPr>
      </w:pPr>
      <w:bookmarkStart w:id="35" w:name="_Toc11457"/>
      <w:r>
        <w:rPr>
          <w:rFonts w:hint="eastAsia" w:ascii="微软雅黑" w:hAnsi="微软雅黑"/>
        </w:rPr>
        <w:t>计算原理</w:t>
      </w:r>
      <w:bookmarkEnd w:id="28"/>
      <w:bookmarkEnd w:id="29"/>
      <w:bookmarkEnd w:id="35"/>
    </w:p>
    <w:p w14:paraId="08502F12">
      <w:pPr>
        <w:pStyle w:val="4"/>
        <w:numPr>
          <w:ilvl w:val="1"/>
          <w:numId w:val="3"/>
        </w:numPr>
      </w:pPr>
      <w:bookmarkStart w:id="36" w:name="_Toc509844740"/>
      <w:bookmarkStart w:id="37" w:name="_Toc8836"/>
      <w:bookmarkStart w:id="38" w:name="_Toc452108765"/>
      <w:bookmarkStart w:id="39" w:name="_Toc451698937"/>
      <w:r>
        <w:rPr>
          <w:rFonts w:hint="eastAsia"/>
        </w:rPr>
        <w:t>风场计算域</w:t>
      </w:r>
      <w:bookmarkEnd w:id="36"/>
      <w:bookmarkEnd w:id="37"/>
    </w:p>
    <w:p w14:paraId="345055E1">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610A9040">
      <w:pPr>
        <w:pStyle w:val="5"/>
        <w:numPr>
          <w:ilvl w:val="2"/>
          <w:numId w:val="4"/>
        </w:numPr>
      </w:pPr>
      <w:bookmarkStart w:id="40" w:name="季节1"/>
      <w:r>
        <w:rPr>
          <w:rFonts w:hint="eastAsia"/>
        </w:rPr>
        <w:t>夏季</w:t>
      </w:r>
      <w:bookmarkEnd w:id="40"/>
      <w:r>
        <w:rPr>
          <w:rFonts w:hint="eastAsia"/>
        </w:rPr>
        <w:t>工况风场计算域</w:t>
      </w:r>
    </w:p>
    <w:p w14:paraId="4ABF5E9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夏季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76DB6C6A">
        <w:tblPrEx>
          <w:tblCellMar>
            <w:top w:w="0" w:type="dxa"/>
            <w:left w:w="108" w:type="dxa"/>
            <w:bottom w:w="0" w:type="dxa"/>
            <w:right w:w="108" w:type="dxa"/>
          </w:tblCellMar>
        </w:tblPrEx>
        <w:trPr>
          <w:jc w:val="center"/>
        </w:trPr>
        <w:tc>
          <w:tcPr>
            <w:tcW w:w="2765" w:type="dxa"/>
          </w:tcPr>
          <w:p w14:paraId="33A383F1">
            <w:pPr>
              <w:jc w:val="center"/>
            </w:pPr>
            <w:r>
              <w:rPr>
                <w:rFonts w:hint="eastAsia"/>
              </w:rPr>
              <w:t>顺风方向尺寸（m）</w:t>
            </w:r>
          </w:p>
        </w:tc>
        <w:tc>
          <w:tcPr>
            <w:tcW w:w="2765" w:type="dxa"/>
          </w:tcPr>
          <w:p w14:paraId="10527DCA">
            <w:pPr>
              <w:jc w:val="center"/>
            </w:pPr>
            <w:r>
              <w:rPr>
                <w:rFonts w:hint="eastAsia"/>
              </w:rPr>
              <w:t>宽度方向尺寸（m）</w:t>
            </w:r>
          </w:p>
        </w:tc>
        <w:tc>
          <w:tcPr>
            <w:tcW w:w="2766" w:type="dxa"/>
          </w:tcPr>
          <w:p w14:paraId="67CACA33">
            <w:pPr>
              <w:jc w:val="center"/>
            </w:pPr>
            <w:r>
              <w:rPr>
                <w:rFonts w:hint="eastAsia"/>
              </w:rPr>
              <w:t>高度方向尺寸（m）</w:t>
            </w:r>
          </w:p>
        </w:tc>
      </w:tr>
      <w:tr w14:paraId="143A98F7">
        <w:tblPrEx>
          <w:tblCellMar>
            <w:top w:w="0" w:type="dxa"/>
            <w:left w:w="108" w:type="dxa"/>
            <w:bottom w:w="0" w:type="dxa"/>
            <w:right w:w="108" w:type="dxa"/>
          </w:tblCellMar>
        </w:tblPrEx>
        <w:trPr>
          <w:jc w:val="center"/>
        </w:trPr>
        <w:tc>
          <w:tcPr>
            <w:tcW w:w="2765" w:type="dxa"/>
          </w:tcPr>
          <w:p w14:paraId="40E99F8F">
            <w:pPr>
              <w:jc w:val="center"/>
            </w:pPr>
            <w:bookmarkStart w:id="42" w:name="冬季风场X尺寸"/>
            <w:r>
              <w:t>323</w:t>
            </w:r>
            <w:bookmarkEnd w:id="42"/>
          </w:p>
        </w:tc>
        <w:tc>
          <w:tcPr>
            <w:tcW w:w="2765" w:type="dxa"/>
          </w:tcPr>
          <w:p w14:paraId="2368E7BE">
            <w:pPr>
              <w:jc w:val="center"/>
            </w:pPr>
            <w:bookmarkStart w:id="43" w:name="冬季风场Y尺寸"/>
            <w:r>
              <w:t>230</w:t>
            </w:r>
            <w:bookmarkEnd w:id="43"/>
          </w:p>
        </w:tc>
        <w:tc>
          <w:tcPr>
            <w:tcW w:w="2766" w:type="dxa"/>
          </w:tcPr>
          <w:p w14:paraId="50799420">
            <w:pPr>
              <w:jc w:val="center"/>
            </w:pPr>
            <w:bookmarkStart w:id="44" w:name="冬季风场Z尺寸"/>
            <w:r>
              <w:t>111</w:t>
            </w:r>
            <w:bookmarkEnd w:id="44"/>
          </w:p>
        </w:tc>
      </w:tr>
    </w:tbl>
    <w:p w14:paraId="613AA379">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14F82988">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夏季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3DEF7EAD">
      <w:pPr>
        <w:pStyle w:val="3"/>
        <w:ind w:firstLine="315" w:firstLineChars="150"/>
        <w:rPr>
          <w:rFonts w:ascii="微软雅黑" w:hAnsi="微软雅黑" w:eastAsia="微软雅黑"/>
          <w:lang w:val="en-US"/>
        </w:rPr>
      </w:pPr>
      <w:bookmarkStart w:id="47" w:name="计算域"/>
      <w:bookmarkEnd w:id="47"/>
    </w:p>
    <w:p w14:paraId="2FED3EBB">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32565A2E">
      <w:pPr>
        <w:pStyle w:val="4"/>
      </w:pPr>
      <w:bookmarkStart w:id="48" w:name="_Toc509844741"/>
      <w:bookmarkStart w:id="49" w:name="_Toc15045"/>
      <w:r>
        <w:rPr>
          <w:rFonts w:hint="eastAsia"/>
        </w:rPr>
        <w:t>网格划分</w:t>
      </w:r>
      <w:bookmarkEnd w:id="48"/>
      <w:bookmarkEnd w:id="49"/>
    </w:p>
    <w:p w14:paraId="0086E05B">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768DEA45">
      <w:pPr>
        <w:pStyle w:val="12"/>
        <w:spacing w:before="156"/>
        <w:ind w:left="426" w:firstLine="0"/>
        <w:rPr>
          <w:rFonts w:ascii="微软雅黑"/>
        </w:rPr>
      </w:pPr>
      <w:r>
        <w:rPr>
          <w:rFonts w:hint="eastAsia" w:ascii="微软雅黑"/>
        </w:rPr>
        <w:t>1）一般网格：指除靠近地面和建筑以外的网格，通常不需要特别加密处理</w:t>
      </w:r>
    </w:p>
    <w:p w14:paraId="63475DA6">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06A5F69C">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537E4388">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0A666188">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0F94CB68">
      <w:pPr>
        <w:pStyle w:val="12"/>
        <w:spacing w:before="156"/>
        <w:ind w:left="0" w:firstLine="315" w:firstLineChars="150"/>
        <w:rPr>
          <w:rFonts w:ascii="微软雅黑"/>
        </w:rPr>
      </w:pPr>
      <w:r>
        <w:rPr>
          <w:rFonts w:hint="eastAsia" w:ascii="微软雅黑"/>
        </w:rPr>
        <w:t>2）地面网格</w:t>
      </w:r>
    </w:p>
    <w:p w14:paraId="0995D9AD">
      <w:pPr>
        <w:pStyle w:val="12"/>
        <w:spacing w:before="156"/>
        <w:ind w:firstLine="315" w:firstLineChars="150"/>
        <w:rPr>
          <w:rFonts w:ascii="微软雅黑"/>
        </w:rPr>
      </w:pPr>
      <w:r>
        <w:rPr>
          <w:rFonts w:hint="eastAsia" w:ascii="微软雅黑"/>
        </w:rPr>
        <w:t>靠近建筑物的区域称为近场，远离建筑物的区域称为远场。</w:t>
      </w:r>
    </w:p>
    <w:p w14:paraId="387CAC33">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43F932E8">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2C4A46E3">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夏季</w:t>
      </w:r>
      <w:bookmarkEnd w:id="4"/>
      <w:r>
        <w:rPr>
          <w:rFonts w:hint="eastAsia" w:ascii="微软雅黑" w:hAnsi="微软雅黑" w:eastAsia="微软雅黑"/>
          <w:sz w:val="18"/>
          <w:szCs w:val="18"/>
        </w:rPr>
        <w:t>网格划分信息</w:t>
      </w:r>
    </w:p>
    <w:bookmarkEnd w:id="1"/>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5C2EA382">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116E48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5767F7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5A1F20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3A0C8C7A">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10FAD322">
            <w:pPr>
              <w:spacing w:line="400" w:lineRule="exact"/>
              <w:jc w:val="center"/>
              <w:rPr>
                <w:rFonts w:ascii="微软雅黑" w:hAnsi="微软雅黑" w:eastAsia="微软雅黑"/>
                <w:sz w:val="18"/>
                <w:szCs w:val="18"/>
                <w:lang w:val="en-US"/>
              </w:rPr>
            </w:pPr>
            <w:bookmarkStart w:id="51" w:name="冬季网格总数"/>
            <w:r>
              <w:t>130559</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2AB49E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53F8D4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04484781">
            <w:pPr>
              <w:spacing w:line="400" w:lineRule="exact"/>
              <w:jc w:val="center"/>
              <w:rPr>
                <w:rFonts w:ascii="微软雅黑" w:hAnsi="微软雅黑" w:eastAsia="微软雅黑"/>
                <w:sz w:val="18"/>
                <w:szCs w:val="18"/>
                <w:lang w:val="en-US"/>
              </w:rPr>
            </w:pPr>
            <w:bookmarkStart w:id="52" w:name="冬季分弧精度"/>
            <w:r>
              <w:t>0.24</w:t>
            </w:r>
            <w:bookmarkEnd w:id="52"/>
          </w:p>
        </w:tc>
      </w:tr>
      <w:tr w14:paraId="682A14CC">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7966A14E">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63BD9CC">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4DCCDDF">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FC47A4E">
            <w:pPr>
              <w:spacing w:line="400" w:lineRule="exact"/>
              <w:jc w:val="center"/>
              <w:rPr>
                <w:rFonts w:ascii="微软雅黑" w:hAnsi="微软雅黑" w:eastAsia="微软雅黑"/>
                <w:sz w:val="18"/>
                <w:szCs w:val="18"/>
                <w:lang w:val="en-US"/>
              </w:rPr>
            </w:pPr>
            <w:bookmarkStart w:id="53" w:name="最大网格尺寸"/>
            <w:r>
              <w:t>16.0</w:t>
            </w:r>
            <w:bookmarkEnd w:id="53"/>
          </w:p>
        </w:tc>
      </w:tr>
      <w:tr w14:paraId="3AA79C60">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B594A9A">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6A2E036">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24CBD7C">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6F640AA">
            <w:pPr>
              <w:spacing w:line="400" w:lineRule="exact"/>
              <w:jc w:val="center"/>
              <w:rPr>
                <w:rFonts w:ascii="微软雅黑" w:hAnsi="微软雅黑" w:eastAsia="微软雅黑"/>
                <w:sz w:val="18"/>
                <w:szCs w:val="18"/>
                <w:lang w:val="en-US"/>
              </w:rPr>
            </w:pPr>
            <w:bookmarkStart w:id="54" w:name="最小网格尺寸"/>
            <w:r>
              <w:t>4.0</w:t>
            </w:r>
            <w:bookmarkEnd w:id="54"/>
          </w:p>
        </w:tc>
      </w:tr>
      <w:tr w14:paraId="241777F1">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42B02D43">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0B7364F">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33F45D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29E42C6">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59DE95C5">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56D90598">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96F4FF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F19355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80AFAD8">
            <w:pPr>
              <w:spacing w:line="400" w:lineRule="exact"/>
              <w:jc w:val="center"/>
              <w:rPr>
                <w:rFonts w:ascii="微软雅黑" w:hAnsi="微软雅黑" w:eastAsia="微软雅黑"/>
                <w:sz w:val="18"/>
                <w:szCs w:val="18"/>
                <w:lang w:val="en-US"/>
              </w:rPr>
            </w:pPr>
            <w:bookmarkStart w:id="56" w:name="远场网格尺寸"/>
            <w:r>
              <w:t>8.0</w:t>
            </w:r>
            <w:bookmarkEnd w:id="56"/>
          </w:p>
        </w:tc>
      </w:tr>
      <w:tr w14:paraId="377EEC6C">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E37E788">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04A5B6E">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AF8FD9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62F58DC">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18C2AA5D">
      <w:pPr>
        <w:rPr>
          <w:rFonts w:ascii="微软雅黑" w:hAnsi="微软雅黑" w:eastAsia="微软雅黑"/>
          <w:sz w:val="18"/>
          <w:szCs w:val="18"/>
          <w:lang w:val="en-US"/>
        </w:rPr>
      </w:pPr>
    </w:p>
    <w:p w14:paraId="094307DC">
      <w:pPr>
        <w:jc w:val="center"/>
      </w:pPr>
      <w:bookmarkStart w:id="58" w:name="网格图"/>
      <w:bookmarkEnd w:id="58"/>
      <w:r>
        <w:drawing>
          <wp:inline distT="0" distB="0" distL="0" distR="0">
            <wp:extent cx="5667375" cy="33909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31C85A9F">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夏季</w:t>
      </w:r>
      <w:bookmarkEnd w:id="59"/>
    </w:p>
    <w:p w14:paraId="551BED63">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2AEA3604">
      <w:pPr>
        <w:pStyle w:val="3"/>
        <w:ind w:firstLine="0" w:firstLineChars="0"/>
        <w:rPr>
          <w:rFonts w:ascii="微软雅黑" w:hAnsi="微软雅黑" w:eastAsia="微软雅黑"/>
          <w:szCs w:val="20"/>
          <w:lang w:val="en-US"/>
        </w:rPr>
      </w:pPr>
    </w:p>
    <w:p w14:paraId="70E9220D">
      <w:pPr>
        <w:pStyle w:val="4"/>
        <w:numPr>
          <w:ilvl w:val="1"/>
          <w:numId w:val="3"/>
        </w:numPr>
      </w:pPr>
      <w:bookmarkStart w:id="61" w:name="_Toc509844742"/>
      <w:bookmarkStart w:id="62" w:name="_Toc30998"/>
      <w:r>
        <w:rPr>
          <w:rFonts w:hint="eastAsia"/>
        </w:rPr>
        <w:t>边界条件</w:t>
      </w:r>
      <w:bookmarkEnd w:id="61"/>
      <w:bookmarkEnd w:id="62"/>
    </w:p>
    <w:p w14:paraId="49BB9A42">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6381EAED">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1CB69D7B">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3BF8D7D4">
      <w:pPr>
        <w:pStyle w:val="5"/>
      </w:pPr>
      <w:bookmarkStart w:id="63" w:name="_Toc509844743"/>
      <w:r>
        <w:rPr>
          <w:rFonts w:hint="eastAsia"/>
        </w:rPr>
        <w:t>入口与出口边界条件</w:t>
      </w:r>
      <w:bookmarkEnd w:id="63"/>
    </w:p>
    <w:p w14:paraId="312374DE">
      <w:r>
        <w:rPr>
          <w:rFonts w:hint="eastAsia"/>
        </w:rPr>
        <w:t>1）入口风速梯度</w:t>
      </w:r>
    </w:p>
    <w:p w14:paraId="5D90C8F0">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44528B70">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172482D4">
      <w:pPr>
        <w:pStyle w:val="3"/>
        <w:ind w:firstLine="420"/>
        <w:rPr>
          <w:rFonts w:ascii="微软雅黑" w:hAnsi="微软雅黑" w:eastAsia="微软雅黑"/>
          <w:lang w:val="en-US"/>
        </w:rPr>
      </w:pPr>
      <w:r>
        <w:rPr>
          <w:rFonts w:hint="eastAsia" w:ascii="微软雅黑" w:hAnsi="微软雅黑" w:eastAsia="微软雅黑"/>
          <w:lang w:val="en-US"/>
        </w:rPr>
        <w:t>式中：</w:t>
      </w:r>
    </w:p>
    <w:p w14:paraId="222733A0">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2D5FF722">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2236E0C7">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3C8A52EC">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681EDD1A">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17CEBBDC">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121C7893">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3C8815D2">
            <w:pPr>
              <w:jc w:val="center"/>
              <w:rPr>
                <w:rFonts w:cs="宋体"/>
                <w:b/>
                <w:bCs/>
                <w:sz w:val="18"/>
                <w:szCs w:val="18"/>
              </w:rPr>
            </w:pPr>
            <w:r>
              <w:rPr>
                <w:rFonts w:hint="eastAsia" w:cs="宋体"/>
                <w:b/>
                <w:bCs/>
                <w:sz w:val="18"/>
                <w:szCs w:val="18"/>
              </w:rPr>
              <w:t>地面粗糙度指数</w:t>
            </w:r>
          </w:p>
        </w:tc>
      </w:tr>
      <w:tr w14:paraId="4B989CBC">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64EB5E02">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6D7B3E24">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6ED72137">
            <w:pPr>
              <w:jc w:val="center"/>
              <w:rPr>
                <w:rFonts w:cs="宋体"/>
                <w:sz w:val="18"/>
                <w:szCs w:val="18"/>
              </w:rPr>
            </w:pPr>
            <w:r>
              <w:rPr>
                <w:rFonts w:hint="eastAsia" w:cs="宋体"/>
                <w:sz w:val="18"/>
                <w:szCs w:val="18"/>
              </w:rPr>
              <w:t>0.14</w:t>
            </w:r>
          </w:p>
        </w:tc>
      </w:tr>
      <w:tr w14:paraId="7BCE03E0">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043E3A9F">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11532D84">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0D1B4955">
            <w:pPr>
              <w:jc w:val="center"/>
              <w:rPr>
                <w:rFonts w:cs="宋体"/>
                <w:sz w:val="18"/>
                <w:szCs w:val="18"/>
              </w:rPr>
            </w:pPr>
            <w:r>
              <w:rPr>
                <w:rFonts w:hint="eastAsia" w:cs="宋体"/>
                <w:sz w:val="18"/>
                <w:szCs w:val="18"/>
              </w:rPr>
              <w:t>0.22</w:t>
            </w:r>
          </w:p>
        </w:tc>
      </w:tr>
      <w:tr w14:paraId="10A226A0">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78FCEC39">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541807FD">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2418ABF8">
            <w:pPr>
              <w:jc w:val="center"/>
              <w:rPr>
                <w:rFonts w:cs="宋体"/>
                <w:sz w:val="18"/>
                <w:szCs w:val="18"/>
              </w:rPr>
            </w:pPr>
            <w:r>
              <w:rPr>
                <w:rFonts w:hint="eastAsia" w:cs="宋体"/>
                <w:sz w:val="18"/>
                <w:szCs w:val="18"/>
              </w:rPr>
              <w:t>0.28</w:t>
            </w:r>
          </w:p>
        </w:tc>
      </w:tr>
    </w:tbl>
    <w:p w14:paraId="7ED1A229">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3316BA60">
      <w:pPr>
        <w:spacing w:before="156" w:beforeLines="50"/>
      </w:pPr>
      <w:r>
        <w:t>2）出口边界</w:t>
      </w:r>
      <w:r>
        <w:rPr>
          <w:rFonts w:hint="eastAsia"/>
        </w:rPr>
        <w:t>条件</w:t>
      </w:r>
    </w:p>
    <w:p w14:paraId="2646157F">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31C4DB03">
      <w:pPr>
        <w:pStyle w:val="5"/>
      </w:pPr>
      <w:bookmarkStart w:id="65" w:name="_Toc509844744"/>
      <w:r>
        <w:rPr>
          <w:rFonts w:hint="eastAsia"/>
        </w:rPr>
        <w:t>壁面边界条件</w:t>
      </w:r>
      <w:bookmarkEnd w:id="65"/>
    </w:p>
    <w:p w14:paraId="2E0542A0">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40056511">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0013E647">
      <w:pPr>
        <w:pStyle w:val="4"/>
        <w:numPr>
          <w:ilvl w:val="1"/>
          <w:numId w:val="3"/>
        </w:numPr>
      </w:pPr>
      <w:bookmarkStart w:id="66" w:name="_Toc3543"/>
      <w:r>
        <w:rPr>
          <w:rFonts w:hint="eastAsia"/>
        </w:rPr>
        <w:t>湍流模型</w:t>
      </w:r>
      <w:bookmarkEnd w:id="38"/>
      <w:bookmarkEnd w:id="39"/>
      <w:bookmarkEnd w:id="66"/>
    </w:p>
    <w:p w14:paraId="50E7FB66">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1A89C684">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35C50DE7">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05761060">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4C7BA413">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4F0031F9">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78F46E02">
            <w:pPr>
              <w:jc w:val="center"/>
              <w:rPr>
                <w:rFonts w:cs="宋体"/>
                <w:b/>
                <w:bCs/>
                <w:sz w:val="18"/>
                <w:szCs w:val="18"/>
              </w:rPr>
            </w:pPr>
            <w:r>
              <w:rPr>
                <w:rFonts w:hint="eastAsia" w:cs="宋体"/>
                <w:b/>
                <w:bCs/>
                <w:sz w:val="18"/>
                <w:szCs w:val="18"/>
              </w:rPr>
              <w:t>特点和适用工况</w:t>
            </w:r>
          </w:p>
        </w:tc>
      </w:tr>
      <w:tr w14:paraId="56A31988">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73CEFC8">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FD6B189">
            <w:pPr>
              <w:rPr>
                <w:rFonts w:cs="宋体"/>
                <w:sz w:val="18"/>
                <w:szCs w:val="18"/>
              </w:rPr>
            </w:pPr>
            <w:r>
              <w:rPr>
                <w:rFonts w:hint="eastAsia" w:cs="宋体"/>
                <w:sz w:val="18"/>
                <w:szCs w:val="18"/>
              </w:rPr>
              <w:t>简单的工业流场和热交换模拟，无较大压力梯度、分离、强曲率流，适用于初始的参数研究</w:t>
            </w:r>
          </w:p>
        </w:tc>
      </w:tr>
      <w:tr w14:paraId="31FF3672">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98343DC">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B094325">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2DF1D22F">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0D49289">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154C34C">
            <w:pPr>
              <w:rPr>
                <w:rFonts w:cs="宋体"/>
                <w:sz w:val="18"/>
                <w:szCs w:val="18"/>
              </w:rPr>
            </w:pPr>
            <w:r>
              <w:rPr>
                <w:rFonts w:hint="eastAsia" w:cs="宋体"/>
                <w:sz w:val="18"/>
                <w:szCs w:val="18"/>
              </w:rPr>
              <w:t>旋转流动、强逆压梯度的边界层流动、流动分离和二次流，类似于RNG</w:t>
            </w:r>
          </w:p>
        </w:tc>
      </w:tr>
    </w:tbl>
    <w:p w14:paraId="5FEDFA3F">
      <w:pPr>
        <w:pStyle w:val="4"/>
        <w:numPr>
          <w:ilvl w:val="1"/>
          <w:numId w:val="3"/>
        </w:numPr>
      </w:pPr>
      <w:bookmarkStart w:id="67" w:name="_Toc452108767"/>
      <w:bookmarkStart w:id="68" w:name="_Toc451698939"/>
      <w:bookmarkStart w:id="69" w:name="_Toc29099"/>
      <w:r>
        <w:rPr>
          <w:rFonts w:hint="eastAsia"/>
        </w:rPr>
        <w:t>求解计算</w:t>
      </w:r>
      <w:bookmarkEnd w:id="67"/>
      <w:bookmarkEnd w:id="68"/>
      <w:bookmarkEnd w:id="69"/>
    </w:p>
    <w:p w14:paraId="02D444FF">
      <w:pPr>
        <w:pStyle w:val="5"/>
      </w:pPr>
      <w:r>
        <w:rPr>
          <w:rFonts w:hint="eastAsia"/>
        </w:rPr>
        <w:t>数学模型</w:t>
      </w:r>
    </w:p>
    <w:p w14:paraId="7FAA5095">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7F8043C7">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08FCF580">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7DF8869">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2B3800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9A21F19">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6C3CB11">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2649F459">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2C021B5E">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570DFD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FEBC436">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E31EB7D">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5C2B0101">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20D6CF21">
            <w:pPr>
              <w:widowControl w:val="0"/>
              <w:jc w:val="both"/>
              <w:rPr>
                <w:rFonts w:cs="Calibri"/>
                <w:kern w:val="2"/>
                <w:sz w:val="18"/>
                <w:szCs w:val="18"/>
              </w:rPr>
            </w:pPr>
            <w:r>
              <w:rPr>
                <w:sz w:val="18"/>
                <w:szCs w:val="18"/>
              </w:rPr>
              <w:t>0</w:t>
            </w:r>
          </w:p>
        </w:tc>
      </w:tr>
      <w:tr w14:paraId="5D370D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13FCC07">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2B7D57D">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E04FAA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7FE1650">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67718C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29408C6">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D46299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755C241">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2296D8E">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104DB4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0D6D6D6">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30BF72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C0FD470">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37F5D6B">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13CD25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4524717">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E0E86C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E8E293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DBFD70A">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2CA895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D8C60BE">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4EAFD5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6760C68">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4630310">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5E779C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1E7E185">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3BDB81F8">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0E7AD192">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781E94E7">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4688D3FC">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3C60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49D746C1">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6EA8B644">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7096505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69F9B1EF">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2A4E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4276F84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5D48AFC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5C531F3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6AC1B7C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2C97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B1B81D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4381DB7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435F17A6">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3C4989BD">
            <w:pPr>
              <w:pStyle w:val="3"/>
              <w:spacing w:line="240" w:lineRule="atLeast"/>
              <w:ind w:firstLine="0" w:firstLineChars="0"/>
              <w:jc w:val="left"/>
              <w:rPr>
                <w:rFonts w:ascii="微软雅黑" w:hAnsi="微软雅黑" w:eastAsia="微软雅黑"/>
                <w:sz w:val="18"/>
                <w:szCs w:val="18"/>
                <w:lang w:val="en-US"/>
              </w:rPr>
            </w:pPr>
          </w:p>
        </w:tc>
      </w:tr>
      <w:tr w14:paraId="3C64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E73B037">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2A2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19069AF">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4E6D2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1810EA67">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6FFE2BE6">
      <w:pPr>
        <w:pStyle w:val="3"/>
        <w:ind w:firstLine="525" w:firstLineChars="250"/>
        <w:rPr>
          <w:rFonts w:ascii="微软雅黑" w:hAnsi="微软雅黑" w:eastAsia="微软雅黑"/>
        </w:rPr>
      </w:pPr>
    </w:p>
    <w:p w14:paraId="0B6A8481">
      <w:pPr>
        <w:pStyle w:val="5"/>
      </w:pPr>
      <w:r>
        <w:rPr>
          <w:rFonts w:hint="eastAsia"/>
        </w:rPr>
        <w:t>算法说明</w:t>
      </w:r>
    </w:p>
    <w:p w14:paraId="23D9F322">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2D7051F7">
      <w:pPr>
        <w:pStyle w:val="4"/>
      </w:pPr>
      <w:bookmarkStart w:id="72" w:name="_Toc509844747"/>
      <w:bookmarkStart w:id="73" w:name="_Toc27735"/>
      <w:r>
        <w:rPr>
          <w:rFonts w:hint="eastAsia"/>
        </w:rPr>
        <w:t>风速放大系数计算</w:t>
      </w:r>
      <w:bookmarkEnd w:id="72"/>
      <w:bookmarkEnd w:id="73"/>
    </w:p>
    <w:p w14:paraId="6A039E3E">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2931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52EF05AB">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59065DC3">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E1F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528B8C29">
            <w:pPr>
              <w:spacing w:line="360" w:lineRule="exact"/>
              <w:rPr>
                <w:lang w:val="en-US"/>
              </w:rPr>
            </w:pPr>
          </w:p>
        </w:tc>
        <w:tc>
          <w:tcPr>
            <w:tcW w:w="1832" w:type="dxa"/>
            <w:vAlign w:val="center"/>
          </w:tcPr>
          <w:p w14:paraId="2A975319">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0B00AC69">
      <w:pPr>
        <w:pStyle w:val="3"/>
        <w:ind w:firstLine="420"/>
        <w:rPr>
          <w:rFonts w:ascii="微软雅黑" w:hAnsi="微软雅黑" w:eastAsia="微软雅黑"/>
          <w:lang w:val="en-US"/>
        </w:rPr>
      </w:pPr>
      <w:r>
        <w:rPr>
          <w:rFonts w:hint="eastAsia" w:ascii="微软雅黑" w:hAnsi="微软雅黑" w:eastAsia="微软雅黑"/>
          <w:lang w:val="en-US"/>
        </w:rPr>
        <w:t>其中：</w:t>
      </w:r>
    </w:p>
    <w:p w14:paraId="3E55782E">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65DF144A">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375E366F">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55F9A2B1">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32520560">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259AA6FB">
      <w:pPr>
        <w:pStyle w:val="2"/>
        <w:rPr>
          <w:rFonts w:ascii="微软雅黑" w:hAnsi="微软雅黑"/>
        </w:rPr>
      </w:pPr>
      <w:bookmarkStart w:id="75" w:name="_Toc452108768"/>
      <w:bookmarkStart w:id="76" w:name="_Toc9358"/>
      <w:r>
        <w:rPr>
          <w:rFonts w:hint="eastAsia" w:ascii="微软雅黑" w:hAnsi="微软雅黑"/>
        </w:rPr>
        <w:t>结果</w:t>
      </w:r>
      <w:r>
        <w:rPr>
          <w:rFonts w:ascii="微软雅黑" w:hAnsi="微软雅黑"/>
        </w:rPr>
        <w:t>分析</w:t>
      </w:r>
      <w:bookmarkEnd w:id="75"/>
      <w:bookmarkEnd w:id="76"/>
    </w:p>
    <w:p w14:paraId="027F6204">
      <w:pPr>
        <w:pStyle w:val="4"/>
        <w:rPr>
          <w:szCs w:val="21"/>
        </w:rPr>
      </w:pPr>
      <w:bookmarkStart w:id="77" w:name="_Toc29479"/>
      <w:r>
        <w:rPr>
          <w:rFonts w:hint="eastAsia"/>
          <w:szCs w:val="21"/>
        </w:rPr>
        <w:t>工况</w:t>
      </w:r>
      <w:r>
        <w:rPr>
          <w:szCs w:val="21"/>
        </w:rPr>
        <w:t>表</w:t>
      </w:r>
      <w:bookmarkEnd w:id="77"/>
    </w:p>
    <w:p w14:paraId="65FD5DDB">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30705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541A2471">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13EB96FA">
            <w:pPr>
              <w:spacing w:line="400" w:lineRule="exact"/>
              <w:jc w:val="center"/>
              <w:rPr>
                <w:sz w:val="18"/>
                <w:szCs w:val="18"/>
              </w:rPr>
            </w:pPr>
            <w:r>
              <w:rPr>
                <w:rFonts w:hint="eastAsia"/>
                <w:sz w:val="18"/>
                <w:szCs w:val="18"/>
              </w:rPr>
              <w:t>季节</w:t>
            </w:r>
          </w:p>
        </w:tc>
        <w:tc>
          <w:tcPr>
            <w:tcW w:w="1187" w:type="pct"/>
            <w:shd w:val="clear" w:color="auto" w:fill="E6E6E6"/>
            <w:vAlign w:val="center"/>
          </w:tcPr>
          <w:p w14:paraId="49D0AC1D">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308B420B">
            <w:pPr>
              <w:spacing w:line="400" w:lineRule="exact"/>
              <w:jc w:val="center"/>
              <w:rPr>
                <w:sz w:val="18"/>
                <w:szCs w:val="18"/>
              </w:rPr>
            </w:pPr>
            <w:r>
              <w:rPr>
                <w:rFonts w:hint="eastAsia"/>
                <w:sz w:val="18"/>
                <w:szCs w:val="18"/>
              </w:rPr>
              <w:t>风向</w:t>
            </w:r>
          </w:p>
        </w:tc>
        <w:tc>
          <w:tcPr>
            <w:tcW w:w="994" w:type="pct"/>
            <w:shd w:val="clear" w:color="auto" w:fill="E6E6E6"/>
          </w:tcPr>
          <w:p w14:paraId="210F7C9F">
            <w:pPr>
              <w:spacing w:line="400" w:lineRule="exact"/>
              <w:jc w:val="center"/>
              <w:rPr>
                <w:sz w:val="18"/>
                <w:szCs w:val="18"/>
              </w:rPr>
            </w:pPr>
            <w:r>
              <w:rPr>
                <w:rFonts w:hint="eastAsia"/>
                <w:sz w:val="18"/>
                <w:szCs w:val="18"/>
              </w:rPr>
              <w:t>风向（°</w:t>
            </w:r>
            <w:r>
              <w:rPr>
                <w:sz w:val="18"/>
                <w:szCs w:val="18"/>
              </w:rPr>
              <w:t>）</w:t>
            </w:r>
          </w:p>
        </w:tc>
      </w:tr>
      <w:tr w14:paraId="23789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08B4FC8A">
            <w:pPr>
              <w:spacing w:line="400" w:lineRule="exact"/>
              <w:jc w:val="center"/>
              <w:rPr>
                <w:sz w:val="18"/>
                <w:szCs w:val="18"/>
              </w:rPr>
            </w:pPr>
            <w:r>
              <w:rPr>
                <w:sz w:val="18"/>
                <w:szCs w:val="18"/>
              </w:rPr>
              <w:t>1</w:t>
            </w:r>
          </w:p>
        </w:tc>
        <w:tc>
          <w:tcPr>
            <w:tcW w:w="1166" w:type="pct"/>
            <w:vAlign w:val="center"/>
          </w:tcPr>
          <w:p w14:paraId="761C6364">
            <w:pPr>
              <w:spacing w:line="400" w:lineRule="exact"/>
              <w:jc w:val="center"/>
              <w:rPr>
                <w:sz w:val="18"/>
                <w:szCs w:val="18"/>
              </w:rPr>
            </w:pPr>
            <w:r>
              <w:rPr>
                <w:sz w:val="18"/>
                <w:szCs w:val="18"/>
              </w:rPr>
              <w:t>夏季</w:t>
            </w:r>
          </w:p>
        </w:tc>
        <w:tc>
          <w:tcPr>
            <w:tcW w:w="1187" w:type="pct"/>
            <w:vAlign w:val="center"/>
          </w:tcPr>
          <w:p w14:paraId="1DF0F7BC">
            <w:pPr>
              <w:spacing w:line="400" w:lineRule="exact"/>
              <w:jc w:val="center"/>
              <w:rPr>
                <w:sz w:val="18"/>
                <w:szCs w:val="18"/>
              </w:rPr>
            </w:pPr>
            <w:r>
              <w:rPr>
                <w:sz w:val="18"/>
                <w:szCs w:val="18"/>
              </w:rPr>
              <w:t>2.60</w:t>
            </w:r>
          </w:p>
        </w:tc>
        <w:tc>
          <w:tcPr>
            <w:tcW w:w="994" w:type="pct"/>
          </w:tcPr>
          <w:p w14:paraId="0540D0DC">
            <w:pPr>
              <w:spacing w:line="400" w:lineRule="exact"/>
              <w:jc w:val="center"/>
              <w:rPr>
                <w:sz w:val="18"/>
                <w:szCs w:val="18"/>
              </w:rPr>
            </w:pPr>
            <w:r>
              <w:rPr>
                <w:sz w:val="18"/>
                <w:szCs w:val="18"/>
              </w:rPr>
              <w:t>W</w:t>
            </w:r>
          </w:p>
        </w:tc>
        <w:tc>
          <w:tcPr>
            <w:tcW w:w="994" w:type="pct"/>
          </w:tcPr>
          <w:p w14:paraId="4B0DC1FB">
            <w:pPr>
              <w:spacing w:line="400" w:lineRule="exact"/>
              <w:jc w:val="center"/>
              <w:rPr>
                <w:sz w:val="18"/>
                <w:szCs w:val="18"/>
              </w:rPr>
            </w:pPr>
            <w:r>
              <w:rPr>
                <w:sz w:val="18"/>
                <w:szCs w:val="18"/>
              </w:rPr>
              <w:t>180.0</w:t>
            </w:r>
          </w:p>
        </w:tc>
      </w:tr>
      <w:bookmarkEnd w:id="78"/>
    </w:tbl>
    <w:p w14:paraId="3AB1D70B">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21523D4E">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1EE320B5">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3EDC62F5">
      <w:pPr>
        <w:rPr>
          <w:lang w:val="en-US"/>
        </w:rPr>
      </w:pPr>
      <w:bookmarkStart w:id="79" w:name="冬季工况"/>
      <w:bookmarkEnd w:id="79"/>
      <w:r>
        <w:rPr>
          <w:rFonts w:hint="eastAsia"/>
          <w:lang w:val="en-US"/>
        </w:rPr>
        <w:t xml:space="preserve"> </w:t>
      </w:r>
    </w:p>
    <w:p w14:paraId="349BCC26">
      <w:pPr>
        <w:pStyle w:val="4"/>
      </w:pPr>
      <w:bookmarkStart w:id="80" w:name="_Toc509844759"/>
      <w:bookmarkStart w:id="81" w:name="_Toc4562"/>
      <w:r>
        <w:rPr>
          <w:rFonts w:hint="eastAsia"/>
        </w:rPr>
        <w:t>夏季</w:t>
      </w:r>
      <w:bookmarkEnd w:id="0"/>
      <w:r>
        <w:rPr>
          <w:rFonts w:hint="eastAsia"/>
        </w:rPr>
        <w:t>工况</w:t>
      </w:r>
      <w:bookmarkEnd w:id="80"/>
      <w:bookmarkEnd w:id="81"/>
    </w:p>
    <w:p w14:paraId="362336B8">
      <w:pPr>
        <w:ind w:firstLine="420"/>
      </w:pPr>
      <w:r>
        <w:rPr>
          <w:rFonts w:hint="eastAsia"/>
          <w:lang w:val="en-US"/>
        </w:rPr>
        <w:t>本项目夏季</w:t>
      </w:r>
      <w:bookmarkEnd w:id="2"/>
      <w:r>
        <w:rPr>
          <w:rFonts w:hint="eastAsia"/>
          <w:lang w:val="en-US"/>
        </w:rPr>
        <w:t>工况的入口边界风速为</w:t>
      </w:r>
      <w:bookmarkStart w:id="82" w:name="入口边界风速"/>
      <w:r>
        <w:rPr>
          <w:rFonts w:hint="eastAsia"/>
          <w:lang w:val="en-US"/>
        </w:rPr>
        <w:t>2.60</w:t>
      </w:r>
      <w:bookmarkEnd w:id="82"/>
      <w:r>
        <w:rPr>
          <w:rFonts w:hint="eastAsia"/>
          <w:lang w:val="en-US"/>
        </w:rPr>
        <w:t>m/s，风向为</w:t>
      </w:r>
      <w:bookmarkStart w:id="83" w:name="入口边界风向"/>
      <w:r>
        <w:t>W</w:t>
      </w:r>
      <w:bookmarkEnd w:id="83"/>
      <w:r>
        <w:rPr>
          <w:rFonts w:hint="eastAsia"/>
          <w:lang w:val="en-US"/>
        </w:rPr>
        <w:t>。</w:t>
      </w:r>
    </w:p>
    <w:p w14:paraId="2327DE17">
      <w:pPr>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夏季</w:t>
      </w:r>
      <w:bookmarkEnd w:id="84"/>
      <w:r>
        <w:rPr>
          <w:rFonts w:hint="eastAsia"/>
          <w:lang w:val="en-US"/>
        </w:rPr>
        <w:t>形成有效的巷道风，优化街区自然通风环境，避免</w:t>
      </w:r>
      <w:bookmarkStart w:id="85" w:name="季节5"/>
      <w:r>
        <w:rPr>
          <w:rFonts w:hint="eastAsia"/>
          <w:lang w:val="en-US"/>
        </w:rPr>
        <w:t>夏季</w:t>
      </w:r>
      <w:bookmarkEnd w:id="85"/>
      <w:r>
        <w:rPr>
          <w:rFonts w:hint="eastAsia"/>
          <w:lang w:val="en-US"/>
        </w:rPr>
        <w:t>人活动区有明显气流旋涡和无风区，从而造成闷热不适感。因此本项目需要分析人活动区的风速，并作出判断。</w:t>
      </w:r>
    </w:p>
    <w:p w14:paraId="411AB21D">
      <w:pPr>
        <w:ind w:firstLine="351"/>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06B0638C">
      <w:pPr>
        <w:pStyle w:val="3"/>
        <w:ind w:firstLine="351" w:firstLineChars="195"/>
        <w:rPr>
          <w:rFonts w:ascii="微软雅黑" w:hAnsi="微软雅黑" w:eastAsia="微软雅黑"/>
          <w:sz w:val="18"/>
          <w:szCs w:val="18"/>
        </w:rPr>
      </w:pPr>
      <w:r>
        <w:rPr>
          <w:rFonts w:hint="eastAsia" w:ascii="微软雅黑" w:hAnsi="微软雅黑" w:eastAsia="微软雅黑"/>
          <w:sz w:val="18"/>
          <w:szCs w:val="18"/>
          <w:lang w:val="en-US"/>
        </w:rPr>
        <w:t>注：无风区的定义参考《</w:t>
      </w:r>
      <w:r>
        <w:rPr>
          <w:rFonts w:hint="eastAsia" w:ascii="微软雅黑" w:hAnsi="微软雅黑" w:eastAsia="微软雅黑"/>
          <w:sz w:val="18"/>
          <w:szCs w:val="18"/>
        </w:rPr>
        <w:t>建筑设计资料集</w:t>
      </w:r>
      <w:r>
        <w:rPr>
          <w:rFonts w:hint="eastAsia" w:ascii="微软雅黑" w:hAnsi="微软雅黑" w:eastAsia="微软雅黑"/>
          <w:sz w:val="18"/>
          <w:szCs w:val="18"/>
          <w:lang w:val="en-US"/>
        </w:rPr>
        <w:t>》第一分册，第二版。</w:t>
      </w:r>
    </w:p>
    <w:p w14:paraId="2242FABD">
      <w:pPr>
        <w:pStyle w:val="5"/>
      </w:pPr>
      <w:bookmarkStart w:id="86" w:name="_Toc509844760"/>
      <w:r>
        <w:rPr>
          <w:rFonts w:hint="eastAsia"/>
        </w:rPr>
        <w:t>无风区计算分析</w:t>
      </w:r>
      <w:bookmarkEnd w:id="86"/>
    </w:p>
    <w:p w14:paraId="5544FADE">
      <w:pPr>
        <w:pStyle w:val="30"/>
        <w:ind w:firstLine="420"/>
      </w:pPr>
      <w:r>
        <w:rPr>
          <w:rFonts w:hint="eastAsia"/>
        </w:rPr>
        <w:t>下图为整个计算域内风速分布云图，参考图中速度分布可以对项目中建筑布局进行优化。分析下图，</w:t>
      </w:r>
      <w:bookmarkStart w:id="87" w:name="人活动区风速分析结论"/>
      <w:bookmarkEnd w:id="87"/>
      <w:r>
        <w:t>人活动区内未标示出风速</w:t>
      </w:r>
      <w:r>
        <w:rPr>
          <w:color w:val="0000FF"/>
        </w:rPr>
        <w:t>小于</w:t>
      </w:r>
      <w:r>
        <w:t>0.2m/s的超限区域，因此人活动区风速</w:t>
      </w:r>
      <w:r>
        <w:rPr>
          <w:color w:val="0000FF"/>
        </w:rPr>
        <w:t>满足</w:t>
      </w:r>
      <w:r>
        <w:t>绿标要求，项目可采用现有建筑布局。</w:t>
      </w:r>
    </w:p>
    <w:p w14:paraId="78E2C49C">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390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390900"/>
                    </a:xfrm>
                    <a:prstGeom prst="rect">
                      <a:avLst/>
                    </a:prstGeom>
                  </pic:spPr>
                </pic:pic>
              </a:graphicData>
            </a:graphic>
          </wp:inline>
        </w:drawing>
      </w:r>
    </w:p>
    <w:p w14:paraId="1042422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计算域内-1.5米高度水平面风速云图-夏季</w:t>
      </w:r>
    </w:p>
    <w:p w14:paraId="300CBABA">
      <w:pPr>
        <w:pStyle w:val="3"/>
        <w:ind w:firstLine="420"/>
        <w:rPr>
          <w:rFonts w:ascii="微软雅黑" w:hAnsi="微软雅黑" w:eastAsia="微软雅黑"/>
        </w:rPr>
      </w:pPr>
    </w:p>
    <w:p w14:paraId="7E28BBB4">
      <w:pPr>
        <w:pStyle w:val="5"/>
      </w:pPr>
      <w:bookmarkStart w:id="89" w:name="_Toc509844761"/>
      <w:r>
        <w:rPr>
          <w:rFonts w:hint="eastAsia"/>
        </w:rPr>
        <w:t>旋涡区分析</w:t>
      </w:r>
      <w:bookmarkEnd w:id="89"/>
    </w:p>
    <w:p w14:paraId="5A5DE697">
      <w:pPr>
        <w:pStyle w:val="3"/>
        <w:ind w:firstLine="420"/>
        <w:rPr>
          <w:rFonts w:ascii="微软雅黑" w:hAnsi="微软雅黑" w:eastAsia="微软雅黑"/>
          <w:lang w:val="en-US"/>
        </w:rPr>
      </w:pPr>
      <w:r>
        <w:rPr>
          <w:rFonts w:hint="eastAsia" w:ascii="微软雅黑" w:hAnsi="微软雅黑" w:eastAsia="微软雅黑"/>
          <w:lang w:val="en-US"/>
        </w:rPr>
        <w:t>下图为计算域内的风速矢量图，分析下图可知，计算域内没有明显的旋涡产生，本项目建筑布局基本合理。</w:t>
      </w:r>
    </w:p>
    <w:p w14:paraId="7560F703">
      <w:pPr>
        <w:pStyle w:val="3"/>
        <w:ind w:firstLine="0" w:firstLineChars="0"/>
        <w:jc w:val="center"/>
        <w:rPr>
          <w:rFonts w:ascii="微软雅黑" w:hAnsi="微软雅黑" w:eastAsia="微软雅黑"/>
          <w:lang w:val="en-US"/>
        </w:rPr>
      </w:pPr>
      <w:bookmarkStart w:id="90" w:name="人行区风速矢量图"/>
      <w:bookmarkEnd w:id="90"/>
      <w:r>
        <w:drawing>
          <wp:inline distT="0" distB="0" distL="0" distR="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390900"/>
                    </a:xfrm>
                    <a:prstGeom prst="rect">
                      <a:avLst/>
                    </a:prstGeom>
                  </pic:spPr>
                </pic:pic>
              </a:graphicData>
            </a:graphic>
          </wp:inline>
        </w:drawing>
      </w:r>
    </w:p>
    <w:p w14:paraId="222861EA">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计算域内-1.5米高度水平面风速矢量图</w:t>
      </w:r>
    </w:p>
    <w:p w14:paraId="7BB7854A">
      <w:pPr>
        <w:pStyle w:val="3"/>
        <w:ind w:firstLine="420"/>
        <w:rPr>
          <w:rFonts w:ascii="微软雅黑" w:hAnsi="微软雅黑" w:eastAsia="微软雅黑"/>
          <w:lang w:val="en-US"/>
        </w:rPr>
      </w:pPr>
    </w:p>
    <w:p w14:paraId="43E3CF38">
      <w:pPr>
        <w:pStyle w:val="5"/>
      </w:pPr>
      <w:bookmarkStart w:id="91" w:name="_Toc509844762"/>
      <w:r>
        <w:rPr>
          <w:rFonts w:hint="eastAsia"/>
        </w:rPr>
        <w:t>旋涡区/无风区达标</w:t>
      </w:r>
      <w:bookmarkEnd w:id="91"/>
      <w:r>
        <w:rPr>
          <w:rFonts w:hint="eastAsia"/>
        </w:rPr>
        <w:t>结果汇总</w:t>
      </w:r>
    </w:p>
    <w:p w14:paraId="6AE9CBE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2" w:name="季节8"/>
      <w:r>
        <w:rPr>
          <w:rFonts w:hint="eastAsia" w:ascii="微软雅黑" w:hAnsi="微软雅黑" w:eastAsia="微软雅黑"/>
          <w:sz w:val="18"/>
          <w:szCs w:val="18"/>
        </w:rPr>
        <w:t>夏季</w:t>
      </w:r>
      <w:bookmarkEnd w:id="92"/>
      <w:r>
        <w:rPr>
          <w:rFonts w:hint="eastAsia" w:ascii="微软雅黑" w:hAnsi="微软雅黑" w:eastAsia="微软雅黑"/>
          <w:sz w:val="18"/>
          <w:szCs w:val="18"/>
        </w:rPr>
        <w:t>无风区/旋涡区达标分析汇总</w:t>
      </w:r>
    </w:p>
    <w:tbl>
      <w:tblPr>
        <w:tblStyle w:val="21"/>
        <w:tblW w:w="8222" w:type="dxa"/>
        <w:tblInd w:w="108" w:type="dxa"/>
        <w:tblLayout w:type="autofit"/>
        <w:tblCellMar>
          <w:top w:w="0" w:type="dxa"/>
          <w:left w:w="108" w:type="dxa"/>
          <w:bottom w:w="0" w:type="dxa"/>
          <w:right w:w="108" w:type="dxa"/>
        </w:tblCellMar>
      </w:tblPr>
      <w:tblGrid>
        <w:gridCol w:w="1418"/>
        <w:gridCol w:w="2551"/>
        <w:gridCol w:w="2551"/>
        <w:gridCol w:w="1702"/>
      </w:tblGrid>
      <w:tr w14:paraId="76CC3CDA">
        <w:tblPrEx>
          <w:tblCellMar>
            <w:top w:w="0" w:type="dxa"/>
            <w:left w:w="108" w:type="dxa"/>
            <w:bottom w:w="0" w:type="dxa"/>
            <w:right w:w="108" w:type="dxa"/>
          </w:tblCellMar>
        </w:tblPrEx>
        <w:trPr>
          <w:trHeight w:val="270" w:hRule="atLeast"/>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F236B">
            <w:pPr>
              <w:spacing w:line="440" w:lineRule="exact"/>
              <w:jc w:val="center"/>
              <w:rPr>
                <w:rFonts w:cs="宋体"/>
                <w:b/>
                <w:color w:val="000000"/>
                <w:sz w:val="18"/>
                <w:szCs w:val="18"/>
                <w:lang w:val="en-US"/>
              </w:rPr>
            </w:pPr>
            <w:r>
              <w:rPr>
                <w:rFonts w:hint="eastAsia" w:cs="宋体"/>
                <w:b/>
                <w:color w:val="000000"/>
                <w:sz w:val="18"/>
                <w:szCs w:val="18"/>
                <w:lang w:val="en-US"/>
              </w:rPr>
              <w:t>评价量</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3CC6D1B4">
            <w:pPr>
              <w:spacing w:line="440" w:lineRule="exact"/>
              <w:jc w:val="center"/>
              <w:rPr>
                <w:rFonts w:cs="宋体"/>
                <w:b/>
                <w:color w:val="000000"/>
                <w:sz w:val="18"/>
                <w:szCs w:val="18"/>
                <w:lang w:val="en-US"/>
              </w:rPr>
            </w:pPr>
            <w:r>
              <w:rPr>
                <w:rFonts w:hint="eastAsia" w:cs="宋体"/>
                <w:b/>
                <w:color w:val="000000"/>
                <w:sz w:val="18"/>
                <w:szCs w:val="18"/>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168875C7">
            <w:pPr>
              <w:spacing w:line="44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7F55BDB9">
            <w:pPr>
              <w:spacing w:line="440" w:lineRule="exact"/>
              <w:jc w:val="center"/>
              <w:rPr>
                <w:rFonts w:cs="宋体"/>
                <w:b/>
                <w:color w:val="000000"/>
                <w:sz w:val="18"/>
                <w:szCs w:val="18"/>
                <w:lang w:val="en-US"/>
              </w:rPr>
            </w:pPr>
            <w:r>
              <w:rPr>
                <w:rFonts w:hint="eastAsia" w:cs="宋体"/>
                <w:b/>
                <w:color w:val="000000"/>
                <w:sz w:val="18"/>
                <w:szCs w:val="18"/>
                <w:lang w:val="en-US"/>
              </w:rPr>
              <w:t>达标判断</w:t>
            </w:r>
          </w:p>
        </w:tc>
      </w:tr>
      <w:tr w14:paraId="6090C84E">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76DD4DB2">
            <w:pPr>
              <w:spacing w:line="440" w:lineRule="exact"/>
              <w:jc w:val="center"/>
              <w:rPr>
                <w:rFonts w:cs="宋体"/>
                <w:sz w:val="18"/>
                <w:szCs w:val="18"/>
              </w:rPr>
            </w:pPr>
            <w:r>
              <w:rPr>
                <w:rFonts w:hint="eastAsia" w:cs="宋体"/>
                <w:sz w:val="18"/>
                <w:szCs w:val="18"/>
              </w:rPr>
              <w:t>无风区</w:t>
            </w:r>
          </w:p>
        </w:tc>
        <w:tc>
          <w:tcPr>
            <w:tcW w:w="2551" w:type="dxa"/>
            <w:tcBorders>
              <w:top w:val="nil"/>
              <w:left w:val="nil"/>
              <w:bottom w:val="single" w:color="auto" w:sz="4" w:space="0"/>
              <w:right w:val="single" w:color="auto" w:sz="4" w:space="0"/>
            </w:tcBorders>
            <w:shd w:val="clear" w:color="auto" w:fill="auto"/>
            <w:noWrap/>
            <w:vAlign w:val="center"/>
          </w:tcPr>
          <w:p w14:paraId="48AEE3E1">
            <w:pPr>
              <w:spacing w:line="440" w:lineRule="exact"/>
              <w:jc w:val="center"/>
              <w:rPr>
                <w:rFonts w:cs="宋体"/>
                <w:sz w:val="18"/>
                <w:szCs w:val="18"/>
              </w:rPr>
            </w:pPr>
            <w:r>
              <w:rPr>
                <w:rFonts w:hint="eastAsia" w:cs="宋体"/>
                <w:sz w:val="18"/>
                <w:szCs w:val="18"/>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7E7AB077">
            <w:pPr>
              <w:spacing w:line="440" w:lineRule="exact"/>
              <w:jc w:val="center"/>
              <w:rPr>
                <w:rFonts w:cs="宋体"/>
                <w:color w:val="000000"/>
                <w:sz w:val="18"/>
                <w:szCs w:val="18"/>
                <w:lang w:val="en-US"/>
              </w:rPr>
            </w:pPr>
            <w:bookmarkStart w:id="93" w:name="是否有无风区"/>
            <w:r>
              <w:rPr>
                <w:rFonts w:hint="eastAsia" w:cs="宋体"/>
                <w:color w:val="000000"/>
                <w:sz w:val="18"/>
                <w:szCs w:val="18"/>
                <w:lang w:val="en-US"/>
              </w:rPr>
              <w:t>否</w:t>
            </w:r>
            <w:bookmarkEnd w:id="93"/>
          </w:p>
        </w:tc>
        <w:tc>
          <w:tcPr>
            <w:tcW w:w="1702" w:type="dxa"/>
            <w:tcBorders>
              <w:top w:val="nil"/>
              <w:left w:val="nil"/>
              <w:bottom w:val="single" w:color="auto" w:sz="4" w:space="0"/>
              <w:right w:val="single" w:color="auto" w:sz="4" w:space="0"/>
            </w:tcBorders>
            <w:shd w:val="clear" w:color="auto" w:fill="auto"/>
            <w:noWrap/>
            <w:vAlign w:val="center"/>
          </w:tcPr>
          <w:p w14:paraId="4209FE47">
            <w:pPr>
              <w:spacing w:line="440" w:lineRule="exact"/>
              <w:jc w:val="center"/>
              <w:rPr>
                <w:rFonts w:cs="宋体"/>
                <w:color w:val="000000"/>
                <w:sz w:val="18"/>
                <w:szCs w:val="18"/>
                <w:lang w:val="en-US"/>
              </w:rPr>
            </w:pPr>
            <w:bookmarkStart w:id="94" w:name="无风区达标判断"/>
            <w:r>
              <w:rPr>
                <w:rFonts w:hint="eastAsia" w:cs="宋体"/>
                <w:color w:val="000000"/>
                <w:sz w:val="18"/>
                <w:szCs w:val="18"/>
                <w:lang w:val="en-US"/>
              </w:rPr>
              <w:t>是</w:t>
            </w:r>
            <w:bookmarkEnd w:id="94"/>
          </w:p>
        </w:tc>
      </w:tr>
      <w:tr w14:paraId="4E1F9806">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30E962F9">
            <w:pPr>
              <w:spacing w:line="440" w:lineRule="exact"/>
              <w:jc w:val="center"/>
              <w:rPr>
                <w:rFonts w:cs="宋体"/>
                <w:sz w:val="18"/>
                <w:szCs w:val="18"/>
              </w:rPr>
            </w:pPr>
            <w:r>
              <w:rPr>
                <w:rFonts w:hint="eastAsia" w:cs="宋体"/>
                <w:sz w:val="18"/>
                <w:szCs w:val="18"/>
              </w:rPr>
              <w:t>旋涡区</w:t>
            </w:r>
          </w:p>
        </w:tc>
        <w:tc>
          <w:tcPr>
            <w:tcW w:w="2551" w:type="dxa"/>
            <w:tcBorders>
              <w:top w:val="nil"/>
              <w:left w:val="nil"/>
              <w:bottom w:val="single" w:color="auto" w:sz="4" w:space="0"/>
              <w:right w:val="single" w:color="auto" w:sz="4" w:space="0"/>
            </w:tcBorders>
            <w:shd w:val="clear" w:color="auto" w:fill="auto"/>
            <w:noWrap/>
            <w:vAlign w:val="center"/>
          </w:tcPr>
          <w:p w14:paraId="2FCD767F">
            <w:pPr>
              <w:spacing w:line="440" w:lineRule="exact"/>
              <w:jc w:val="center"/>
              <w:rPr>
                <w:rFonts w:cs="宋体"/>
                <w:sz w:val="18"/>
                <w:szCs w:val="18"/>
              </w:rPr>
            </w:pPr>
            <w:r>
              <w:rPr>
                <w:rFonts w:hint="eastAsia" w:cs="宋体"/>
                <w:sz w:val="18"/>
                <w:szCs w:val="18"/>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256F838A">
            <w:pPr>
              <w:spacing w:line="440" w:lineRule="exact"/>
              <w:jc w:val="center"/>
              <w:rPr>
                <w:rFonts w:cs="宋体"/>
                <w:color w:val="000000"/>
                <w:sz w:val="18"/>
                <w:szCs w:val="18"/>
                <w:lang w:val="en-US"/>
              </w:rPr>
            </w:pPr>
            <w:bookmarkStart w:id="95" w:name="是否有旋涡区"/>
            <w:r>
              <w:rPr>
                <w:rFonts w:cs="宋体"/>
                <w:color w:val="000000"/>
                <w:sz w:val="18"/>
                <w:szCs w:val="18"/>
                <w:lang w:val="en-US"/>
              </w:rPr>
              <w:t>否</w:t>
            </w:r>
            <w:bookmarkEnd w:id="95"/>
          </w:p>
        </w:tc>
        <w:tc>
          <w:tcPr>
            <w:tcW w:w="1702" w:type="dxa"/>
            <w:tcBorders>
              <w:top w:val="nil"/>
              <w:left w:val="nil"/>
              <w:bottom w:val="single" w:color="auto" w:sz="4" w:space="0"/>
              <w:right w:val="single" w:color="auto" w:sz="4" w:space="0"/>
            </w:tcBorders>
            <w:shd w:val="clear" w:color="auto" w:fill="auto"/>
            <w:noWrap/>
            <w:vAlign w:val="center"/>
          </w:tcPr>
          <w:p w14:paraId="374629D1">
            <w:pPr>
              <w:spacing w:line="440" w:lineRule="exact"/>
              <w:jc w:val="center"/>
              <w:rPr>
                <w:rFonts w:cs="宋体"/>
                <w:color w:val="000000"/>
                <w:sz w:val="18"/>
                <w:szCs w:val="18"/>
                <w:lang w:val="en-US"/>
              </w:rPr>
            </w:pPr>
            <w:bookmarkStart w:id="96" w:name="旋涡区达标判断"/>
            <w:r>
              <w:rPr>
                <w:rFonts w:cs="宋体"/>
                <w:color w:val="000000"/>
                <w:sz w:val="18"/>
                <w:szCs w:val="18"/>
                <w:lang w:val="en-US"/>
              </w:rPr>
              <w:t>是</w:t>
            </w:r>
            <w:bookmarkEnd w:id="96"/>
          </w:p>
        </w:tc>
      </w:tr>
    </w:tbl>
    <w:p w14:paraId="6BBE83B9">
      <w:pPr>
        <w:pStyle w:val="5"/>
      </w:pPr>
      <w:bookmarkStart w:id="97" w:name="_Toc504501018"/>
      <w:bookmarkStart w:id="98" w:name="_Toc509844763"/>
      <w:r>
        <w:rPr>
          <w:rFonts w:hint="eastAsia"/>
        </w:rPr>
        <w:t>外窗内外表面风压</w:t>
      </w:r>
      <w:bookmarkEnd w:id="97"/>
      <w:r>
        <w:rPr>
          <w:rFonts w:hint="eastAsia"/>
        </w:rPr>
        <w:t>差达标分析</w:t>
      </w:r>
      <w:bookmarkEnd w:id="98"/>
    </w:p>
    <w:p w14:paraId="44F5B9AD">
      <w:pPr>
        <w:ind w:firstLine="420"/>
      </w:pPr>
      <w:r>
        <w:rPr>
          <w:rFonts w:hint="eastAsia"/>
          <w:lang w:val="en-US"/>
        </w:rPr>
        <w:t>分析《绿色建筑评价标准》，</w:t>
      </w:r>
      <w:bookmarkStart w:id="99" w:name="季节9"/>
      <w:r>
        <w:rPr>
          <w:rFonts w:hint="eastAsia"/>
          <w:lang w:val="en-US"/>
        </w:rPr>
        <w:t>夏季</w:t>
      </w:r>
      <w:bookmarkEnd w:id="99"/>
      <w:r>
        <w:rPr>
          <w:rFonts w:hint="eastAsia"/>
          <w:lang w:val="en-US"/>
        </w:rPr>
        <w:t>为充分利用自然通风获得良好的室内风环境，要求50%以上可开启外窗室内外表面的风压差大于0.5Pa。</w:t>
      </w:r>
    </w:p>
    <w:p w14:paraId="006C9825">
      <w:pPr>
        <w:ind w:firstLine="420"/>
      </w:pPr>
      <w:r>
        <w:rPr>
          <w:rFonts w:hint="eastAsia"/>
          <w:lang w:val="en-US"/>
        </w:rPr>
        <w:t>可见在夏季，为了获得良好室内风环境，首先要有良好的室外风环境。当外窗关闭时，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17E44B76">
      <w:pPr>
        <w:ind w:firstLine="420"/>
      </w:pPr>
      <w:r>
        <w:rPr>
          <w:rFonts w:hint="eastAsia"/>
          <w:lang w:val="en-US"/>
        </w:rPr>
        <w:t>下图为夏季工况下，建筑迎风面和背风面对应外窗表面的风压分布图，结合图例数值可以清晰看到外窗表面风压小于0.5Pa的外窗区域。</w:t>
      </w:r>
    </w:p>
    <w:p w14:paraId="7FD8AC08">
      <w:pPr>
        <w:pStyle w:val="3"/>
        <w:ind w:firstLine="0" w:firstLineChars="0"/>
        <w:jc w:val="center"/>
        <w:rPr>
          <w:rFonts w:ascii="微软雅黑" w:hAnsi="微软雅黑" w:eastAsia="微软雅黑"/>
        </w:rPr>
      </w:pPr>
      <w:bookmarkStart w:id="100" w:name="迎风面风压云图"/>
      <w:bookmarkEnd w:id="100"/>
      <w:r>
        <w:drawing>
          <wp:inline distT="0" distB="0" distL="0" distR="0">
            <wp:extent cx="5667375" cy="33528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2"/>
                    <a:stretch>
                      <a:fillRect/>
                    </a:stretch>
                  </pic:blipFill>
                  <pic:spPr>
                    <a:xfrm>
                      <a:off x="0" y="0"/>
                      <a:ext cx="5667375" cy="3352800"/>
                    </a:xfrm>
                    <a:prstGeom prst="rect">
                      <a:avLst/>
                    </a:prstGeom>
                  </pic:spPr>
                </pic:pic>
              </a:graphicData>
            </a:graphic>
          </wp:inline>
        </w:drawing>
      </w:r>
    </w:p>
    <w:p w14:paraId="56A5F7E0">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1" w:name="季节10"/>
      <w:r>
        <w:rPr>
          <w:rFonts w:hint="eastAsia" w:ascii="微软雅黑" w:hAnsi="微软雅黑" w:eastAsia="微软雅黑"/>
          <w:sz w:val="18"/>
          <w:szCs w:val="18"/>
        </w:rPr>
        <w:t>夏季</w:t>
      </w:r>
      <w:bookmarkEnd w:id="101"/>
    </w:p>
    <w:p w14:paraId="289C3931">
      <w:pPr>
        <w:jc w:val="center"/>
        <w:rPr>
          <w:rFonts w:ascii="微软雅黑" w:hAnsi="微软雅黑" w:eastAsia="微软雅黑"/>
          <w:sz w:val="21"/>
        </w:rPr>
      </w:pPr>
      <w:bookmarkStart w:id="102" w:name="背风面风压云图"/>
      <w:bookmarkEnd w:id="102"/>
      <w:r>
        <w:drawing>
          <wp:inline distT="0" distB="0" distL="0" distR="0">
            <wp:extent cx="5667375" cy="33623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362325"/>
                    </a:xfrm>
                    <a:prstGeom prst="rect">
                      <a:avLst/>
                    </a:prstGeom>
                  </pic:spPr>
                </pic:pic>
              </a:graphicData>
            </a:graphic>
          </wp:inline>
        </w:drawing>
      </w:r>
    </w:p>
    <w:p w14:paraId="45C8841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3" w:name="季节11"/>
      <w:r>
        <w:rPr>
          <w:rFonts w:hint="eastAsia" w:ascii="微软雅黑" w:hAnsi="微软雅黑" w:eastAsia="微软雅黑"/>
          <w:sz w:val="18"/>
          <w:szCs w:val="18"/>
        </w:rPr>
        <w:t>夏季</w:t>
      </w:r>
      <w:bookmarkEnd w:id="103"/>
      <w:r>
        <w:rPr>
          <w:rFonts w:hint="eastAsia" w:ascii="微软雅黑" w:hAnsi="微软雅黑" w:eastAsia="微软雅黑"/>
          <w:sz w:val="18"/>
          <w:szCs w:val="18"/>
        </w:rPr>
        <w:t xml:space="preserve"> </w:t>
      </w:r>
    </w:p>
    <w:p w14:paraId="5F027F9D">
      <w:pPr>
        <w:ind w:firstLine="420"/>
      </w:pPr>
      <w:r>
        <w:rPr>
          <w:rFonts w:hint="eastAsia"/>
        </w:rPr>
        <w:t>下表为依据上图提取的外窗外表面平均风压数据，相当于外窗室内外表面风压差数据，并依据标准做出达标判断：</w:t>
      </w:r>
    </w:p>
    <w:p w14:paraId="32FC9530">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843"/>
        <w:gridCol w:w="2552"/>
        <w:gridCol w:w="1559"/>
        <w:gridCol w:w="1276"/>
      </w:tblGrid>
      <w:tr w14:paraId="499B7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0C871D9A">
            <w:pPr>
              <w:jc w:val="center"/>
              <w:rPr>
                <w:sz w:val="18"/>
                <w:szCs w:val="18"/>
                <w:lang w:val="en-US"/>
              </w:rPr>
            </w:pPr>
            <w:bookmarkStart w:id="104" w:name="建筑外窗室内外风压差达标判定"/>
            <w:r>
              <w:rPr>
                <w:rFonts w:hint="eastAsia"/>
                <w:sz w:val="18"/>
                <w:szCs w:val="18"/>
                <w:lang w:val="en-US"/>
              </w:rPr>
              <w:t>建筑编号</w:t>
            </w:r>
          </w:p>
        </w:tc>
        <w:tc>
          <w:tcPr>
            <w:tcW w:w="1843" w:type="dxa"/>
            <w:shd w:val="clear" w:color="auto" w:fill="E6E6E6"/>
            <w:vAlign w:val="center"/>
          </w:tcPr>
          <w:p w14:paraId="7EA25CD3">
            <w:pPr>
              <w:jc w:val="center"/>
              <w:rPr>
                <w:sz w:val="18"/>
                <w:szCs w:val="18"/>
                <w:lang w:val="en-US"/>
              </w:rPr>
            </w:pPr>
            <w:r>
              <w:rPr>
                <w:rFonts w:hint="eastAsia"/>
                <w:sz w:val="18"/>
                <w:szCs w:val="18"/>
                <w:lang w:val="en-US"/>
              </w:rPr>
              <w:t>可开启外窗总数</w:t>
            </w:r>
          </w:p>
        </w:tc>
        <w:tc>
          <w:tcPr>
            <w:tcW w:w="2552" w:type="dxa"/>
            <w:shd w:val="clear" w:color="auto" w:fill="E6E6E6"/>
            <w:vAlign w:val="center"/>
          </w:tcPr>
          <w:p w14:paraId="13054193">
            <w:pPr>
              <w:jc w:val="center"/>
              <w:rPr>
                <w:sz w:val="18"/>
                <w:szCs w:val="18"/>
                <w:lang w:val="en-US"/>
              </w:rPr>
            </w:pPr>
            <w:r>
              <w:rPr>
                <w:rFonts w:hint="eastAsia"/>
                <w:sz w:val="18"/>
                <w:szCs w:val="18"/>
                <w:lang w:val="en-US"/>
              </w:rPr>
              <w:t>室内外风压差大于0.5Pa的外窗总数</w:t>
            </w:r>
          </w:p>
        </w:tc>
        <w:tc>
          <w:tcPr>
            <w:tcW w:w="1559" w:type="dxa"/>
            <w:shd w:val="clear" w:color="auto" w:fill="E6E6E6"/>
            <w:vAlign w:val="center"/>
          </w:tcPr>
          <w:p w14:paraId="5C196A86">
            <w:pPr>
              <w:jc w:val="center"/>
              <w:rPr>
                <w:sz w:val="18"/>
                <w:szCs w:val="18"/>
                <w:lang w:val="en-US"/>
              </w:rPr>
            </w:pPr>
            <w:r>
              <w:rPr>
                <w:rFonts w:hint="eastAsia"/>
                <w:sz w:val="18"/>
                <w:szCs w:val="18"/>
                <w:lang w:val="en-US"/>
              </w:rPr>
              <w:t>达标比例（%）</w:t>
            </w:r>
          </w:p>
        </w:tc>
        <w:tc>
          <w:tcPr>
            <w:tcW w:w="1276" w:type="dxa"/>
            <w:shd w:val="clear" w:color="auto" w:fill="E6E6E6"/>
            <w:vAlign w:val="center"/>
          </w:tcPr>
          <w:p w14:paraId="6E85DCD4">
            <w:pPr>
              <w:jc w:val="center"/>
              <w:rPr>
                <w:sz w:val="18"/>
                <w:szCs w:val="18"/>
                <w:lang w:val="en-US"/>
              </w:rPr>
            </w:pPr>
            <w:r>
              <w:rPr>
                <w:rFonts w:hint="eastAsia"/>
                <w:sz w:val="18"/>
                <w:szCs w:val="18"/>
                <w:lang w:val="en-US"/>
              </w:rPr>
              <w:t>是否达标</w:t>
            </w:r>
          </w:p>
        </w:tc>
      </w:tr>
      <w:tr w14:paraId="5D082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3D273CD3">
            <w:pPr>
              <w:jc w:val="center"/>
              <w:rPr>
                <w:sz w:val="18"/>
                <w:szCs w:val="18"/>
                <w:lang w:val="en-US"/>
              </w:rPr>
            </w:pPr>
            <w:r>
              <w:rPr>
                <w:sz w:val="18"/>
                <w:szCs w:val="18"/>
                <w:lang w:val="en-US"/>
              </w:rPr>
              <w:t>单体</w:t>
            </w:r>
          </w:p>
        </w:tc>
        <w:tc>
          <w:tcPr>
            <w:tcW w:w="1843" w:type="dxa"/>
            <w:shd w:val="clear" w:color="auto" w:fill="auto"/>
            <w:vAlign w:val="center"/>
          </w:tcPr>
          <w:p w14:paraId="1DE74547">
            <w:pPr>
              <w:jc w:val="center"/>
              <w:rPr>
                <w:sz w:val="18"/>
                <w:szCs w:val="18"/>
                <w:lang w:val="en-US"/>
              </w:rPr>
            </w:pPr>
            <w:r>
              <w:rPr>
                <w:sz w:val="18"/>
                <w:szCs w:val="18"/>
                <w:lang w:val="en-US"/>
              </w:rPr>
              <w:t>202</w:t>
            </w:r>
          </w:p>
        </w:tc>
        <w:tc>
          <w:tcPr>
            <w:tcW w:w="2552" w:type="dxa"/>
            <w:shd w:val="clear" w:color="auto" w:fill="auto"/>
            <w:vAlign w:val="center"/>
          </w:tcPr>
          <w:p w14:paraId="65E40EA5">
            <w:pPr>
              <w:jc w:val="center"/>
              <w:rPr>
                <w:sz w:val="18"/>
                <w:szCs w:val="18"/>
                <w:lang w:val="en-US"/>
              </w:rPr>
            </w:pPr>
            <w:r>
              <w:rPr>
                <w:sz w:val="18"/>
                <w:szCs w:val="18"/>
                <w:lang w:val="en-US"/>
              </w:rPr>
              <w:t>151</w:t>
            </w:r>
          </w:p>
        </w:tc>
        <w:tc>
          <w:tcPr>
            <w:tcW w:w="1559" w:type="dxa"/>
            <w:shd w:val="clear" w:color="auto" w:fill="auto"/>
            <w:vAlign w:val="center"/>
          </w:tcPr>
          <w:p w14:paraId="2C2B65FB">
            <w:pPr>
              <w:jc w:val="center"/>
              <w:rPr>
                <w:sz w:val="18"/>
                <w:szCs w:val="18"/>
                <w:lang w:val="en-US"/>
              </w:rPr>
            </w:pPr>
            <w:r>
              <w:rPr>
                <w:sz w:val="18"/>
                <w:szCs w:val="18"/>
                <w:lang w:val="en-US"/>
              </w:rPr>
              <w:t>74.75</w:t>
            </w:r>
          </w:p>
        </w:tc>
        <w:tc>
          <w:tcPr>
            <w:tcW w:w="1276" w:type="dxa"/>
            <w:shd w:val="clear" w:color="auto" w:fill="auto"/>
            <w:vAlign w:val="center"/>
          </w:tcPr>
          <w:p w14:paraId="21083FE4">
            <w:pPr>
              <w:jc w:val="center"/>
              <w:rPr>
                <w:sz w:val="18"/>
                <w:szCs w:val="18"/>
                <w:lang w:val="en-US"/>
              </w:rPr>
            </w:pPr>
            <w:r>
              <w:rPr>
                <w:sz w:val="18"/>
                <w:szCs w:val="18"/>
                <w:lang w:val="en-US"/>
              </w:rPr>
              <w:t>是</w:t>
            </w:r>
          </w:p>
        </w:tc>
      </w:tr>
      <w:bookmarkEnd w:id="104"/>
    </w:tbl>
    <w:p w14:paraId="091A9B72">
      <w:pPr>
        <w:rPr>
          <w:sz w:val="18"/>
          <w:szCs w:val="18"/>
        </w:rPr>
      </w:pPr>
      <w:r>
        <w:rPr>
          <w:rFonts w:hint="eastAsia"/>
          <w:sz w:val="18"/>
          <w:szCs w:val="18"/>
          <w:lang w:val="en-US"/>
        </w:rPr>
        <w:t>说明：达标比例＝（室内外风压差大于0.5Pa的总数/可开启外窗总数）*100％</w:t>
      </w:r>
    </w:p>
    <w:bookmarkEnd w:id="24"/>
    <w:p w14:paraId="7886BA0F">
      <w:pPr>
        <w:rPr>
          <w:lang w:val="en-US"/>
        </w:rPr>
      </w:pPr>
    </w:p>
    <w:p w14:paraId="5A4FBCF0"/>
    <w:p w14:paraId="2F4290C8">
      <w:pPr>
        <w:ind w:firstLine="420"/>
        <w:rPr>
          <w:lang w:val="en-US"/>
        </w:rPr>
      </w:pPr>
      <w:bookmarkStart w:id="105" w:name="建筑室内外风压差达标判定结论"/>
      <w:r>
        <w:rPr>
          <w:rFonts w:hint="eastAsia"/>
          <w:lang w:val="en-US"/>
        </w:rPr>
        <w:t>结论：本项目中所有建筑均满足“50%以上可开启外窗室内外表面的风压差大于0.5Pa”的要求。</w:t>
      </w:r>
      <w:bookmarkEnd w:id="105"/>
      <w:r>
        <w:rPr>
          <w:rFonts w:hint="eastAsia"/>
          <w:lang w:val="en-US"/>
        </w:rPr>
        <w:t xml:space="preserve"> </w:t>
      </w:r>
    </w:p>
    <w:p w14:paraId="26557920">
      <w:pPr>
        <w:rPr>
          <w:lang w:val="en-US"/>
        </w:rPr>
      </w:pPr>
      <w:bookmarkStart w:id="106" w:name="其他工况"/>
      <w:bookmarkEnd w:id="106"/>
      <w:r>
        <w:rPr>
          <w:rFonts w:hint="eastAsia"/>
          <w:lang w:val="en-US"/>
        </w:rPr>
        <w:t xml:space="preserve"> </w:t>
      </w:r>
    </w:p>
    <w:p w14:paraId="660A46B0">
      <w:pPr>
        <w:pStyle w:val="2"/>
      </w:pPr>
      <w:bookmarkStart w:id="107" w:name="_Toc509844764"/>
      <w:bookmarkStart w:id="108" w:name="_Toc1504"/>
      <w:r>
        <w:rPr>
          <w:rFonts w:hint="eastAsia"/>
        </w:rPr>
        <w:t>结论</w:t>
      </w:r>
      <w:bookmarkEnd w:id="107"/>
      <w:bookmarkEnd w:id="108"/>
    </w:p>
    <w:p w14:paraId="14B99A6B">
      <w:pPr>
        <w:pStyle w:val="4"/>
      </w:pPr>
      <w:bookmarkStart w:id="109" w:name="_Toc509844768"/>
      <w:bookmarkEnd w:id="109"/>
      <w:bookmarkStart w:id="110" w:name="_Toc509844767"/>
      <w:bookmarkEnd w:id="110"/>
      <w:bookmarkStart w:id="111" w:name="_Toc509844769"/>
      <w:bookmarkStart w:id="112" w:name="_Toc11060"/>
      <w:bookmarkStart w:id="122" w:name="_GoBack"/>
      <w:bookmarkEnd w:id="122"/>
      <w:r>
        <w:rPr>
          <w:rFonts w:hint="eastAsia"/>
        </w:rPr>
        <w:t>过渡季、夏季工况达标判断</w:t>
      </w:r>
      <w:bookmarkEnd w:id="111"/>
      <w:bookmarkEnd w:id="112"/>
    </w:p>
    <w:p w14:paraId="4EBE987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44"/>
        <w:gridCol w:w="2410"/>
        <w:gridCol w:w="1134"/>
        <w:gridCol w:w="992"/>
      </w:tblGrid>
      <w:tr w14:paraId="4395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74F2291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444" w:type="dxa"/>
            <w:shd w:val="clear" w:color="auto" w:fill="E6E6E6"/>
          </w:tcPr>
          <w:p w14:paraId="18E0019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2410" w:type="dxa"/>
            <w:shd w:val="clear" w:color="auto" w:fill="E6E6E6"/>
            <w:vAlign w:val="center"/>
          </w:tcPr>
          <w:p w14:paraId="035DF33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134" w:type="dxa"/>
            <w:shd w:val="clear" w:color="auto" w:fill="E6E6E6"/>
          </w:tcPr>
          <w:p w14:paraId="4286B79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992" w:type="dxa"/>
            <w:shd w:val="clear" w:color="auto" w:fill="E6E6E6"/>
          </w:tcPr>
          <w:p w14:paraId="5B02595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027F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4EF0BD3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444" w:type="dxa"/>
            <w:vMerge w:val="restart"/>
            <w:shd w:val="clear" w:color="auto" w:fill="auto"/>
          </w:tcPr>
          <w:p w14:paraId="4B1D1C6E">
            <w:pP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3" w:name="标准要求夏季风速得分"/>
            <w:r>
              <w:rPr>
                <w:rFonts w:hint="eastAsia" w:ascii="微软雅黑" w:hAnsi="微软雅黑" w:eastAsia="微软雅黑"/>
                <w:sz w:val="18"/>
                <w:szCs w:val="18"/>
                <w:lang w:val="en-US"/>
              </w:rPr>
              <w:t>3</w:t>
            </w:r>
            <w:bookmarkEnd w:id="113"/>
            <w:r>
              <w:rPr>
                <w:rFonts w:hint="eastAsia" w:ascii="微软雅黑" w:hAnsi="微软雅黑" w:eastAsia="微软雅黑"/>
                <w:sz w:val="18"/>
                <w:szCs w:val="18"/>
                <w:lang w:val="en-US"/>
              </w:rPr>
              <w:t>分</w:t>
            </w:r>
            <w:r>
              <w:rPr>
                <w:rFonts w:ascii="微软雅黑" w:hAnsi="微软雅黑" w:eastAsia="微软雅黑"/>
                <w:sz w:val="18"/>
                <w:szCs w:val="18"/>
                <w:lang w:val="en-US"/>
              </w:rPr>
              <w:t xml:space="preserve"> </w:t>
            </w:r>
          </w:p>
        </w:tc>
        <w:tc>
          <w:tcPr>
            <w:tcW w:w="2410" w:type="dxa"/>
            <w:shd w:val="clear" w:color="auto" w:fill="auto"/>
            <w:vAlign w:val="center"/>
          </w:tcPr>
          <w:p w14:paraId="01344BA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w:t>
            </w:r>
            <w:bookmarkStart w:id="114" w:name="夏季无风区结果计算域"/>
            <w:r>
              <w:rPr>
                <w:rFonts w:hint="eastAsia" w:ascii="微软雅黑" w:hAnsi="微软雅黑" w:eastAsia="微软雅黑"/>
                <w:sz w:val="18"/>
                <w:szCs w:val="18"/>
                <w:lang w:val="en-US"/>
              </w:rPr>
              <w:t>无</w:t>
            </w:r>
            <w:bookmarkEnd w:id="114"/>
            <w:r>
              <w:rPr>
                <w:rFonts w:hint="eastAsia" w:ascii="微软雅黑" w:hAnsi="微软雅黑" w:eastAsia="微软雅黑"/>
                <w:sz w:val="18"/>
                <w:szCs w:val="18"/>
                <w:lang w:val="en-US"/>
              </w:rPr>
              <w:t>无风区</w:t>
            </w:r>
          </w:p>
        </w:tc>
        <w:tc>
          <w:tcPr>
            <w:tcW w:w="1134" w:type="dxa"/>
            <w:vMerge w:val="restart"/>
            <w:shd w:val="clear" w:color="auto" w:fill="auto"/>
            <w:vAlign w:val="center"/>
          </w:tcPr>
          <w:p w14:paraId="215CF162">
            <w:pPr>
              <w:jc w:val="center"/>
              <w:rPr>
                <w:rFonts w:ascii="微软雅黑" w:hAnsi="微软雅黑" w:eastAsia="微软雅黑"/>
                <w:sz w:val="18"/>
                <w:szCs w:val="18"/>
                <w:lang w:val="en-US"/>
              </w:rPr>
            </w:pPr>
            <w:bookmarkStart w:id="115" w:name="夏季无风区达标判定"/>
            <w:r>
              <w:rPr>
                <w:rFonts w:hint="eastAsia" w:ascii="微软雅黑" w:hAnsi="微软雅黑" w:eastAsia="微软雅黑"/>
                <w:b/>
                <w:sz w:val="18"/>
                <w:szCs w:val="18"/>
                <w:lang w:val="en-US"/>
              </w:rPr>
              <w:t>达标</w:t>
            </w:r>
            <w:bookmarkEnd w:id="115"/>
          </w:p>
        </w:tc>
        <w:tc>
          <w:tcPr>
            <w:tcW w:w="992" w:type="dxa"/>
            <w:vMerge w:val="restart"/>
            <w:shd w:val="clear" w:color="auto" w:fill="auto"/>
            <w:vAlign w:val="center"/>
          </w:tcPr>
          <w:p w14:paraId="2A252901">
            <w:pPr>
              <w:jc w:val="center"/>
              <w:rPr>
                <w:rFonts w:ascii="微软雅黑" w:hAnsi="微软雅黑" w:eastAsia="微软雅黑"/>
                <w:sz w:val="18"/>
                <w:szCs w:val="18"/>
                <w:lang w:val="en-US"/>
              </w:rPr>
            </w:pPr>
            <w:bookmarkStart w:id="116" w:name="夏季无风区得分"/>
            <w:r>
              <w:rPr>
                <w:rFonts w:hint="eastAsia" w:ascii="微软雅黑" w:hAnsi="微软雅黑" w:eastAsia="微软雅黑"/>
                <w:sz w:val="18"/>
                <w:szCs w:val="18"/>
                <w:lang w:val="en-US"/>
              </w:rPr>
              <w:t>3</w:t>
            </w:r>
            <w:bookmarkEnd w:id="116"/>
            <w:r>
              <w:rPr>
                <w:rFonts w:hint="eastAsia" w:ascii="微软雅黑" w:hAnsi="微软雅黑" w:eastAsia="微软雅黑"/>
                <w:sz w:val="18"/>
                <w:szCs w:val="18"/>
                <w:lang w:val="en-US"/>
              </w:rPr>
              <w:t>分</w:t>
            </w:r>
          </w:p>
        </w:tc>
      </w:tr>
      <w:tr w14:paraId="56E7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47AC6DD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444" w:type="dxa"/>
            <w:vMerge w:val="continue"/>
            <w:shd w:val="clear" w:color="auto" w:fill="auto"/>
          </w:tcPr>
          <w:p w14:paraId="3F41A25C">
            <w:pPr>
              <w:jc w:val="center"/>
              <w:rPr>
                <w:rFonts w:ascii="微软雅黑" w:hAnsi="微软雅黑" w:eastAsia="微软雅黑"/>
                <w:sz w:val="18"/>
                <w:szCs w:val="18"/>
                <w:lang w:val="en-US"/>
              </w:rPr>
            </w:pPr>
          </w:p>
        </w:tc>
        <w:tc>
          <w:tcPr>
            <w:tcW w:w="2410" w:type="dxa"/>
            <w:shd w:val="clear" w:color="auto" w:fill="auto"/>
            <w:vAlign w:val="center"/>
          </w:tcPr>
          <w:p w14:paraId="2351D034">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计算域无旋涡区</w:t>
            </w:r>
          </w:p>
        </w:tc>
        <w:tc>
          <w:tcPr>
            <w:tcW w:w="1134" w:type="dxa"/>
            <w:vMerge w:val="continue"/>
            <w:shd w:val="clear" w:color="auto" w:fill="auto"/>
          </w:tcPr>
          <w:p w14:paraId="71A4D9C5">
            <w:pPr>
              <w:jc w:val="center"/>
              <w:rPr>
                <w:rFonts w:ascii="微软雅黑" w:hAnsi="微软雅黑" w:eastAsia="微软雅黑"/>
                <w:sz w:val="18"/>
                <w:szCs w:val="18"/>
                <w:lang w:val="en-US"/>
              </w:rPr>
            </w:pPr>
          </w:p>
        </w:tc>
        <w:tc>
          <w:tcPr>
            <w:tcW w:w="992" w:type="dxa"/>
            <w:vMerge w:val="continue"/>
            <w:shd w:val="clear" w:color="auto" w:fill="auto"/>
          </w:tcPr>
          <w:p w14:paraId="2BBDAFCE">
            <w:pPr>
              <w:jc w:val="center"/>
              <w:rPr>
                <w:rFonts w:ascii="微软雅黑" w:hAnsi="微软雅黑" w:eastAsia="微软雅黑"/>
                <w:sz w:val="18"/>
                <w:szCs w:val="18"/>
                <w:lang w:val="en-US"/>
              </w:rPr>
            </w:pPr>
          </w:p>
        </w:tc>
      </w:tr>
      <w:tr w14:paraId="147E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15ED350C">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444" w:type="dxa"/>
            <w:shd w:val="clear" w:color="auto" w:fill="auto"/>
          </w:tcPr>
          <w:p w14:paraId="05F5C641">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17" w:name="标准要求夏季风压得分"/>
            <w:r>
              <w:rPr>
                <w:rFonts w:hint="eastAsia" w:ascii="微软雅黑" w:hAnsi="微软雅黑" w:eastAsia="微软雅黑"/>
                <w:sz w:val="18"/>
                <w:szCs w:val="18"/>
                <w:lang w:val="en-US"/>
              </w:rPr>
              <w:t>2</w:t>
            </w:r>
            <w:bookmarkEnd w:id="117"/>
            <w:r>
              <w:rPr>
                <w:rFonts w:hint="eastAsia" w:ascii="微软雅黑" w:hAnsi="微软雅黑" w:eastAsia="微软雅黑"/>
                <w:sz w:val="18"/>
                <w:szCs w:val="18"/>
                <w:lang w:val="en-US"/>
              </w:rPr>
              <w:t>分。</w:t>
            </w:r>
          </w:p>
        </w:tc>
        <w:tc>
          <w:tcPr>
            <w:tcW w:w="2410" w:type="dxa"/>
            <w:shd w:val="clear" w:color="auto" w:fill="auto"/>
            <w:vAlign w:val="center"/>
          </w:tcPr>
          <w:p w14:paraId="36980E33">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18" w:name="夏季窗内外风压差结果"/>
            <w:r>
              <w:rPr>
                <w:rFonts w:hint="eastAsia" w:ascii="微软雅黑" w:hAnsi="微软雅黑" w:eastAsia="微软雅黑"/>
                <w:sz w:val="18"/>
                <w:szCs w:val="18"/>
                <w:lang w:val="en-US"/>
              </w:rPr>
              <w:t>满足</w:t>
            </w:r>
            <w:bookmarkEnd w:id="118"/>
            <w:r>
              <w:rPr>
                <w:rFonts w:hint="eastAsia" w:ascii="微软雅黑" w:hAnsi="微软雅黑" w:eastAsia="微软雅黑"/>
                <w:sz w:val="18"/>
                <w:szCs w:val="18"/>
                <w:lang w:val="en-US"/>
              </w:rPr>
              <w:t>标准要求</w:t>
            </w:r>
          </w:p>
        </w:tc>
        <w:tc>
          <w:tcPr>
            <w:tcW w:w="1134" w:type="dxa"/>
            <w:shd w:val="clear" w:color="auto" w:fill="auto"/>
            <w:vAlign w:val="center"/>
          </w:tcPr>
          <w:p w14:paraId="03788859">
            <w:pPr>
              <w:jc w:val="center"/>
              <w:rPr>
                <w:rFonts w:ascii="微软雅黑" w:hAnsi="微软雅黑" w:eastAsia="微软雅黑"/>
                <w:b/>
                <w:sz w:val="18"/>
                <w:szCs w:val="18"/>
                <w:lang w:val="en-US"/>
              </w:rPr>
            </w:pPr>
            <w:bookmarkStart w:id="119" w:name="夏季窗内外风压差达标判定"/>
            <w:r>
              <w:rPr>
                <w:rFonts w:hint="eastAsia" w:ascii="微软雅黑" w:hAnsi="微软雅黑" w:eastAsia="微软雅黑"/>
                <w:b/>
                <w:sz w:val="18"/>
                <w:szCs w:val="18"/>
                <w:lang w:val="en-US"/>
              </w:rPr>
              <w:t>达标</w:t>
            </w:r>
            <w:bookmarkEnd w:id="119"/>
          </w:p>
        </w:tc>
        <w:tc>
          <w:tcPr>
            <w:tcW w:w="992" w:type="dxa"/>
            <w:shd w:val="clear" w:color="auto" w:fill="auto"/>
            <w:vAlign w:val="center"/>
          </w:tcPr>
          <w:p w14:paraId="329CB63B">
            <w:pPr>
              <w:jc w:val="center"/>
              <w:rPr>
                <w:rFonts w:ascii="微软雅黑" w:hAnsi="微软雅黑" w:eastAsia="微软雅黑"/>
                <w:sz w:val="18"/>
                <w:szCs w:val="18"/>
                <w:lang w:val="en-US"/>
              </w:rPr>
            </w:pPr>
            <w:bookmarkStart w:id="120" w:name="夏季窗内外风压差得分"/>
            <w:r>
              <w:rPr>
                <w:rFonts w:hint="eastAsia" w:ascii="微软雅黑" w:hAnsi="微软雅黑" w:eastAsia="微软雅黑"/>
                <w:sz w:val="18"/>
                <w:szCs w:val="18"/>
                <w:lang w:val="en-US"/>
              </w:rPr>
              <w:t>2</w:t>
            </w:r>
            <w:bookmarkEnd w:id="120"/>
            <w:r>
              <w:rPr>
                <w:rFonts w:hint="eastAsia" w:ascii="微软雅黑" w:hAnsi="微软雅黑" w:eastAsia="微软雅黑"/>
                <w:sz w:val="18"/>
                <w:szCs w:val="18"/>
                <w:lang w:val="en-US"/>
              </w:rPr>
              <w:t>分</w:t>
            </w:r>
          </w:p>
        </w:tc>
      </w:tr>
    </w:tbl>
    <w:p w14:paraId="33B8775F">
      <w:pPr>
        <w:rPr>
          <w:rFonts w:ascii="微软雅黑" w:hAnsi="微软雅黑" w:eastAsia="微软雅黑"/>
          <w:szCs w:val="21"/>
          <w:lang w:val="en-US"/>
        </w:rPr>
      </w:pPr>
    </w:p>
    <w:p w14:paraId="3A915031">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1" w:name="总得分"/>
      <w:r>
        <w:rPr>
          <w:rFonts w:hint="eastAsia" w:ascii="微软雅黑" w:hAnsi="微软雅黑" w:eastAsia="微软雅黑"/>
          <w:lang w:val="en-US"/>
        </w:rPr>
        <w:t>5</w:t>
      </w:r>
      <w:bookmarkEnd w:id="121"/>
      <w:r>
        <w:rPr>
          <w:rFonts w:hint="eastAsia" w:ascii="微软雅黑" w:hAnsi="微软雅黑" w:eastAsia="微软雅黑"/>
          <w:lang w:val="en-US"/>
        </w:rPr>
        <w:t>分。</w:t>
      </w:r>
    </w:p>
    <w:p w14:paraId="0BE16A31">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F63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60171B7">
          <w:pPr>
            <w:pStyle w:val="17"/>
            <w:spacing w:line="360" w:lineRule="exact"/>
            <w:rPr>
              <w:sz w:val="20"/>
              <w:szCs w:val="21"/>
            </w:rPr>
          </w:pPr>
        </w:p>
      </w:tc>
      <w:tc>
        <w:tcPr>
          <w:tcW w:w="2841" w:type="dxa"/>
        </w:tcPr>
        <w:p w14:paraId="1C86F5B6">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54CD4C9B">
          <w:pPr>
            <w:pStyle w:val="17"/>
            <w:spacing w:line="360" w:lineRule="exact"/>
            <w:jc w:val="right"/>
            <w:rPr>
              <w:sz w:val="20"/>
              <w:szCs w:val="21"/>
            </w:rPr>
          </w:pPr>
        </w:p>
      </w:tc>
    </w:tr>
  </w:tbl>
  <w:p w14:paraId="7CEA815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B8FD">
    <w:pPr>
      <w:pStyle w:val="17"/>
      <w:jc w:val="center"/>
      <w:rPr>
        <w:rFonts w:asciiTheme="minorEastAsia" w:hAnsiTheme="minorEastAsia" w:eastAsiaTheme="minorEastAsia"/>
        <w:szCs w:val="21"/>
      </w:rPr>
    </w:pPr>
  </w:p>
  <w:p w14:paraId="57E0E49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1FDC">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274CF">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259DF"/>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0B6259DF"/>
    <w:rsid w:val="24CF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alice\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tmp7.dotx</Template>
  <Pages>16</Pages>
  <Words>4374</Words>
  <Characters>4926</Characters>
  <Lines>47</Lines>
  <Paragraphs>13</Paragraphs>
  <TotalTime>0</TotalTime>
  <ScaleCrop>false</ScaleCrop>
  <LinksUpToDate>false</LinksUpToDate>
  <CharactersWithSpaces>6329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2025-12-25T01:59:00Z</dcterms:created>
  <dc:creator>ttalice</dc:creator>
  <cp:lastModifiedBy>ttalice</cp:lastModifiedBy>
  <dcterms:modified xsi:type="dcterms:W3CDTF">2025-12-25T02:00:16Z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D0FF689756AC43168F414F2BA69D61DE_11</vt:lpwstr>
  </property>
  <property fmtid="{D5CDD505-2E9C-101B-9397-08002B2CF9AE}" pid="4" name="KSOTemplateDocerSaveRecord">
    <vt:lpwstr>eyJoZGlkIjoiNTNjNTYwNjQzMWNiNTRlODRlNGZkMDVhNDkxNmZjY2MiLCJ1c2VySWQiOiI0MTIwNTY2NjcifQ==</vt:lpwstr>
  </property>
</Properties>
</file>