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456C6">
      <w:pPr>
        <w:rPr>
          <w:rFonts w:ascii="Times New Roman" w:hAnsi="Times New Roman" w:eastAsia="Times New Roman" w:cs="Times New Roman"/>
          <w:sz w:val="20"/>
          <w:szCs w:val="20"/>
        </w:rPr>
      </w:pPr>
    </w:p>
    <w:p w14:paraId="402F2ED4">
      <w:pPr>
        <w:rPr>
          <w:rFonts w:ascii="Times New Roman" w:hAnsi="Times New Roman" w:eastAsia="Times New Roman" w:cs="Times New Roman"/>
          <w:sz w:val="20"/>
          <w:szCs w:val="20"/>
        </w:rPr>
      </w:pPr>
    </w:p>
    <w:p w14:paraId="2A8B17EE">
      <w:pPr>
        <w:rPr>
          <w:rFonts w:ascii="Times New Roman" w:hAnsi="Times New Roman" w:eastAsia="Times New Roman" w:cs="Times New Roman"/>
          <w:sz w:val="20"/>
          <w:szCs w:val="20"/>
        </w:rPr>
      </w:pPr>
    </w:p>
    <w:p w14:paraId="33264036">
      <w:pPr>
        <w:rPr>
          <w:rFonts w:ascii="Times New Roman" w:hAnsi="Times New Roman" w:eastAsia="Times New Roman" w:cs="Times New Roman"/>
          <w:sz w:val="20"/>
          <w:szCs w:val="20"/>
        </w:rPr>
      </w:pPr>
    </w:p>
    <w:p w14:paraId="04BEA192">
      <w:pPr>
        <w:rPr>
          <w:rFonts w:ascii="Times New Roman" w:hAnsi="Times New Roman" w:eastAsia="Times New Roman" w:cs="Times New Roman"/>
          <w:sz w:val="20"/>
          <w:szCs w:val="20"/>
        </w:rPr>
      </w:pPr>
    </w:p>
    <w:p w14:paraId="079C9F12">
      <w:pPr>
        <w:rPr>
          <w:rFonts w:ascii="Times New Roman" w:hAnsi="Times New Roman" w:eastAsia="Times New Roman" w:cs="Times New Roman"/>
          <w:sz w:val="20"/>
          <w:szCs w:val="20"/>
        </w:rPr>
      </w:pPr>
    </w:p>
    <w:p w14:paraId="7080E6E0">
      <w:pPr>
        <w:rPr>
          <w:rFonts w:ascii="Times New Roman" w:hAnsi="Times New Roman" w:eastAsia="Times New Roman" w:cs="Times New Roman"/>
          <w:sz w:val="20"/>
          <w:szCs w:val="20"/>
        </w:rPr>
      </w:pPr>
    </w:p>
    <w:p w14:paraId="4242345E">
      <w:pPr>
        <w:rPr>
          <w:rFonts w:ascii="Times New Roman" w:hAnsi="Times New Roman" w:eastAsia="Times New Roman" w:cs="Times New Roman"/>
          <w:sz w:val="20"/>
          <w:szCs w:val="20"/>
        </w:rPr>
      </w:pPr>
    </w:p>
    <w:p w14:paraId="37FECD9F">
      <w:pPr>
        <w:rPr>
          <w:rFonts w:ascii="Times New Roman" w:hAnsi="Times New Roman" w:eastAsia="Times New Roman" w:cs="Times New Roman"/>
          <w:sz w:val="20"/>
          <w:szCs w:val="20"/>
        </w:rPr>
      </w:pPr>
    </w:p>
    <w:p w14:paraId="5C9A1618">
      <w:pPr>
        <w:rPr>
          <w:rFonts w:ascii="Times New Roman" w:hAnsi="Times New Roman" w:eastAsia="Times New Roman" w:cs="Times New Roman"/>
          <w:sz w:val="20"/>
          <w:szCs w:val="20"/>
        </w:rPr>
      </w:pPr>
    </w:p>
    <w:p w14:paraId="178E65D1">
      <w:pPr>
        <w:rPr>
          <w:rFonts w:ascii="Times New Roman" w:hAnsi="Times New Roman" w:eastAsia="Times New Roman" w:cs="Times New Roman"/>
          <w:sz w:val="20"/>
          <w:szCs w:val="20"/>
        </w:rPr>
      </w:pPr>
    </w:p>
    <w:p w14:paraId="58339371">
      <w:pPr>
        <w:spacing w:before="10"/>
        <w:rPr>
          <w:rFonts w:ascii="Times New Roman" w:hAnsi="Times New Roman" w:eastAsia="Times New Roman" w:cs="Times New Roman"/>
          <w:sz w:val="18"/>
          <w:szCs w:val="18"/>
        </w:rPr>
      </w:pPr>
    </w:p>
    <w:p w14:paraId="6D2B166F">
      <w:pPr>
        <w:pStyle w:val="2"/>
        <w:jc w:val="center"/>
        <w:rPr>
          <w:rFonts w:hint="eastAsia" w:ascii="Times New Roman" w:hAnsi="Times New Roman" w:eastAsiaTheme="minorEastAsia"/>
          <w:sz w:val="36"/>
          <w:szCs w:val="36"/>
          <w:lang w:eastAsia="zh-CN"/>
        </w:rPr>
        <w:sectPr>
          <w:type w:val="continuous"/>
          <w:pgSz w:w="11910" w:h="16850"/>
          <w:pgMar w:top="1600" w:right="1680" w:bottom="280" w:left="1680" w:header="720" w:footer="720" w:gutter="0"/>
          <w:cols w:space="720" w:num="1"/>
        </w:sectPr>
      </w:pPr>
      <w:r>
        <w:rPr>
          <w:rFonts w:ascii="Times New Roman" w:hAnsi="Times New Roman"/>
          <w:sz w:val="36"/>
          <w:szCs w:val="36"/>
          <w:lang w:eastAsia="zh-CN"/>
        </w:rPr>
        <w:t>可变换功能空间采用灵活隔断的比例计算书</w:t>
      </w:r>
    </w:p>
    <w:p w14:paraId="39E0654D">
      <w:pPr>
        <w:pStyle w:val="2"/>
        <w:rPr>
          <w:rFonts w:ascii="Times New Roman" w:hAnsi="Times New Roman" w:eastAsiaTheme="minorEastAsia"/>
          <w:sz w:val="32"/>
          <w:szCs w:val="32"/>
          <w:lang w:eastAsia="zh-CN"/>
        </w:rPr>
      </w:pPr>
      <w:r>
        <w:rPr>
          <w:rFonts w:hint="eastAsia" w:ascii="Times New Roman" w:hAnsi="Times New Roman" w:cs="Times New Roman"/>
          <w:sz w:val="32"/>
          <w:szCs w:val="32"/>
          <w:lang w:eastAsia="zh-CN"/>
        </w:rPr>
        <w:t>1.</w:t>
      </w:r>
      <w:r>
        <w:rPr>
          <w:rFonts w:hint="eastAsia" w:ascii="Times New Roman" w:hAnsi="Times New Roman"/>
          <w:sz w:val="32"/>
          <w:szCs w:val="32"/>
          <w:lang w:eastAsia="zh-CN"/>
        </w:rPr>
        <w:t>计算概述</w:t>
      </w:r>
    </w:p>
    <w:p w14:paraId="430FE56D">
      <w:pPr>
        <w:pStyle w:val="2"/>
        <w:rPr>
          <w:rFonts w:hint="eastAsia" w:ascii="Times New Roman" w:hAnsi="Times New Roman" w:cs="Times New Roman" w:eastAsiaTheme="minorEastAsia"/>
          <w:lang w:eastAsia="zh-CN"/>
        </w:rPr>
      </w:pPr>
    </w:p>
    <w:p w14:paraId="794C5EBE">
      <w:pPr>
        <w:tabs>
          <w:tab w:val="left" w:pos="605"/>
        </w:tabs>
        <w:rPr>
          <w:rStyle w:val="7"/>
          <w:rFonts w:ascii="Times New Roman" w:hAnsi="Times New Roman"/>
          <w:sz w:val="28"/>
          <w:szCs w:val="28"/>
        </w:rPr>
      </w:pPr>
      <w:r>
        <w:rPr>
          <w:rStyle w:val="7"/>
          <w:rFonts w:hint="eastAsia" w:ascii="Times New Roman" w:hAnsi="Times New Roman"/>
          <w:sz w:val="28"/>
          <w:szCs w:val="28"/>
          <w:lang w:eastAsia="zh-CN"/>
        </w:rPr>
        <w:t>1.1.项目概况</w:t>
      </w:r>
    </w:p>
    <w:p w14:paraId="75194219">
      <w:pPr>
        <w:tabs>
          <w:tab w:val="left" w:pos="605"/>
        </w:tabs>
        <w:rPr>
          <w:rFonts w:hint="eastAsia" w:ascii="Times New Roman" w:hAnsi="Times New Roman" w:eastAsia="Times New Roman" w:cs="Times New Roman"/>
          <w:sz w:val="20"/>
          <w:szCs w:val="20"/>
          <w:lang w:eastAsia="zh-CN"/>
        </w:rPr>
      </w:pPr>
    </w:p>
    <w:p w14:paraId="55346E08">
      <w:pPr>
        <w:tabs>
          <w:tab w:val="left" w:pos="605"/>
        </w:tabs>
        <w:spacing w:line="360" w:lineRule="auto"/>
        <w:rPr>
          <w:rFonts w:ascii="Times New Roman" w:hAnsi="Times New Roman" w:cs="宋体"/>
          <w:sz w:val="21"/>
          <w:szCs w:val="21"/>
          <w:lang w:eastAsia="zh-CN"/>
        </w:rPr>
      </w:pPr>
      <w:r>
        <w:rPr>
          <w:rFonts w:hint="eastAsia" w:ascii="Times New Roman" w:hAnsi="Times New Roman" w:cs="宋体"/>
          <w:sz w:val="21"/>
          <w:szCs w:val="21"/>
          <w:lang w:eastAsia="zh-CN"/>
        </w:rPr>
        <w:t xml:space="preserve"> </w:t>
      </w:r>
      <w:r>
        <w:rPr>
          <w:rFonts w:hint="eastAsia" w:ascii="Times New Roman" w:hAnsi="Times New Roman" w:cs="宋体"/>
          <w:sz w:val="21"/>
          <w:szCs w:val="21"/>
          <w:lang w:val="en-US" w:eastAsia="zh-CN"/>
        </w:rPr>
        <w:t xml:space="preserve">      </w:t>
      </w:r>
      <w:r>
        <w:rPr>
          <w:rFonts w:hint="eastAsia" w:ascii="Times New Roman" w:hAnsi="Times New Roman" w:cs="宋体"/>
          <w:sz w:val="21"/>
          <w:szCs w:val="21"/>
          <w:lang w:eastAsia="zh-CN"/>
        </w:rPr>
        <w:t>本项目位于山东省泰安市某高校内，基地北部为西礼堂，西部临近篮球场与操场，南部则有学生宿舍楼。基地原为食堂与便利超市等集合空间，地势平坦，东侧为人行道路，西侧为车行道路。基地东西长85米左右，南北宽65米左右，项目规划总用地面积5525m2，项目建筑总面积5565.17m2。建筑外观既为融入校园环境选用清水混凝土和其他环保低保和色彩材料，又为校园使用者亲近自然而设有植物绿墙和屋顶花园。建筑的错层设计不仅丰富了立面效果为建筑增添了趣味性，还为建筑的绿色发展提供了空间。项目内部功能包括展览，学生自习室，报告厅，休息空间及辅助空间；美术工作室，音乐工作室及书法工作室等学生活动用房；教室办公室，小型会议厅及心理疗愈办公室等办公用房。</w:t>
      </w:r>
    </w:p>
    <w:p w14:paraId="345A504B">
      <w:pPr>
        <w:tabs>
          <w:tab w:val="left" w:pos="605"/>
        </w:tabs>
        <w:rPr>
          <w:rStyle w:val="7"/>
          <w:rFonts w:ascii="Times New Roman" w:hAnsi="Times New Roman"/>
          <w:sz w:val="28"/>
          <w:szCs w:val="28"/>
          <w:lang w:eastAsia="zh-CN"/>
        </w:rPr>
      </w:pPr>
      <w:r>
        <w:rPr>
          <w:rStyle w:val="7"/>
          <w:rFonts w:ascii="Times New Roman" w:hAnsi="Times New Roman"/>
          <w:sz w:val="28"/>
          <w:szCs w:val="28"/>
          <w:lang w:eastAsia="zh-CN"/>
        </w:rPr>
        <w:t>1.2.计算目的</w:t>
      </w:r>
    </w:p>
    <w:p w14:paraId="159CCD66">
      <w:pPr>
        <w:tabs>
          <w:tab w:val="left" w:pos="605"/>
        </w:tabs>
        <w:rPr>
          <w:rStyle w:val="7"/>
          <w:rFonts w:hint="eastAsia" w:ascii="Times New Roman" w:hAnsi="Times New Roman"/>
          <w:sz w:val="28"/>
          <w:szCs w:val="28"/>
          <w:lang w:eastAsia="zh-CN"/>
        </w:rPr>
      </w:pPr>
    </w:p>
    <w:p w14:paraId="52C1AEF7">
      <w:pPr>
        <w:tabs>
          <w:tab w:val="left" w:pos="290"/>
        </w:tabs>
        <w:spacing w:line="360" w:lineRule="auto"/>
        <w:ind w:firstLine="420" w:firstLineChars="200"/>
        <w:rPr>
          <w:rFonts w:ascii="Times New Roman" w:hAnsi="Times New Roman" w:cs="宋体"/>
          <w:sz w:val="21"/>
          <w:szCs w:val="21"/>
          <w:lang w:eastAsia="zh-CN"/>
        </w:rPr>
      </w:pPr>
      <w:r>
        <w:rPr>
          <w:rFonts w:ascii="Times New Roman" w:hAnsi="Times New Roman" w:cs="宋体"/>
          <w:sz w:val="21"/>
          <w:szCs w:val="21"/>
          <w:lang w:eastAsia="zh-CN"/>
        </w:rPr>
        <w:t>判断本项目是否满足《绿色建筑评价标准》GB/T50378-2019第4.2.6条“采取提升建筑适变性的措施”。</w:t>
      </w:r>
    </w:p>
    <w:p w14:paraId="54EBD811">
      <w:pPr>
        <w:tabs>
          <w:tab w:val="left" w:pos="290"/>
        </w:tabs>
        <w:spacing w:line="360" w:lineRule="auto"/>
        <w:ind w:firstLine="420" w:firstLineChars="200"/>
        <w:rPr>
          <w:rFonts w:ascii="Times New Roman" w:hAnsi="Times New Roman" w:cs="宋体"/>
          <w:sz w:val="21"/>
          <w:szCs w:val="21"/>
          <w:lang w:eastAsia="zh-CN"/>
        </w:rPr>
      </w:pPr>
    </w:p>
    <w:p w14:paraId="5A8A8D17">
      <w:pPr>
        <w:tabs>
          <w:tab w:val="left" w:pos="605"/>
        </w:tabs>
        <w:rPr>
          <w:rStyle w:val="7"/>
          <w:rFonts w:ascii="Times New Roman" w:hAnsi="Times New Roman"/>
          <w:sz w:val="28"/>
          <w:szCs w:val="28"/>
          <w:lang w:eastAsia="zh-CN"/>
        </w:rPr>
      </w:pPr>
      <w:r>
        <w:rPr>
          <w:rStyle w:val="7"/>
          <w:rFonts w:ascii="Times New Roman" w:hAnsi="Times New Roman"/>
          <w:sz w:val="28"/>
          <w:szCs w:val="28"/>
          <w:lang w:eastAsia="zh-CN"/>
        </w:rPr>
        <w:t>1.3.计算依据</w:t>
      </w:r>
    </w:p>
    <w:p w14:paraId="20A3BC15">
      <w:pPr>
        <w:tabs>
          <w:tab w:val="left" w:pos="605"/>
        </w:tabs>
        <w:spacing w:line="360" w:lineRule="auto"/>
        <w:ind w:firstLine="420" w:firstLineChars="200"/>
        <w:rPr>
          <w:rFonts w:ascii="Times New Roman" w:hAnsi="Times New Roman" w:cs="宋体"/>
          <w:sz w:val="21"/>
          <w:szCs w:val="21"/>
          <w:lang w:eastAsia="zh-CN"/>
        </w:rPr>
      </w:pPr>
      <w:r>
        <w:rPr>
          <w:rFonts w:ascii="Times New Roman" w:hAnsi="Times New Roman" w:cs="宋体"/>
          <w:sz w:val="21"/>
          <w:szCs w:val="21"/>
          <w:lang w:eastAsia="zh-CN"/>
        </w:rPr>
        <w:t>《绿色建筑评价技术细则》</w:t>
      </w:r>
    </w:p>
    <w:p w14:paraId="3340EBC9">
      <w:pPr>
        <w:tabs>
          <w:tab w:val="left" w:pos="605"/>
        </w:tabs>
        <w:spacing w:line="360" w:lineRule="auto"/>
        <w:ind w:firstLine="420" w:firstLineChars="200"/>
        <w:rPr>
          <w:rFonts w:ascii="Times New Roman" w:hAnsi="Times New Roman" w:cs="宋体"/>
          <w:sz w:val="21"/>
          <w:szCs w:val="21"/>
          <w:lang w:eastAsia="zh-CN"/>
        </w:rPr>
      </w:pPr>
      <w:r>
        <w:rPr>
          <w:rFonts w:ascii="Times New Roman" w:hAnsi="Times New Roman" w:cs="宋体"/>
          <w:sz w:val="21"/>
          <w:szCs w:val="21"/>
          <w:lang w:eastAsia="zh-CN"/>
        </w:rPr>
        <w:t>《绿色建筑评价技术细则补充说明》（规划设计部分）</w:t>
      </w:r>
    </w:p>
    <w:p w14:paraId="26E328B6">
      <w:pPr>
        <w:tabs>
          <w:tab w:val="left" w:pos="605"/>
        </w:tabs>
        <w:spacing w:line="360" w:lineRule="auto"/>
        <w:ind w:firstLine="420" w:firstLineChars="200"/>
        <w:rPr>
          <w:rFonts w:ascii="Times New Roman" w:hAnsi="Times New Roman" w:cs="宋体"/>
          <w:sz w:val="21"/>
          <w:szCs w:val="21"/>
          <w:lang w:eastAsia="zh-CN"/>
        </w:rPr>
      </w:pPr>
      <w:r>
        <w:rPr>
          <w:rFonts w:ascii="Times New Roman" w:hAnsi="Times New Roman" w:cs="宋体"/>
          <w:sz w:val="21"/>
          <w:szCs w:val="21"/>
          <w:lang w:eastAsia="zh-CN"/>
        </w:rPr>
        <w:t>业主提供的建筑设计文件</w:t>
      </w:r>
    </w:p>
    <w:p w14:paraId="3018472F">
      <w:pPr>
        <w:tabs>
          <w:tab w:val="left" w:pos="605"/>
        </w:tabs>
        <w:spacing w:line="360" w:lineRule="auto"/>
        <w:ind w:firstLine="420" w:firstLineChars="200"/>
        <w:rPr>
          <w:rFonts w:ascii="Times New Roman" w:hAnsi="Times New Roman" w:cs="宋体"/>
          <w:sz w:val="21"/>
          <w:szCs w:val="21"/>
          <w:lang w:eastAsia="zh-CN"/>
        </w:rPr>
      </w:pPr>
    </w:p>
    <w:p w14:paraId="32367818">
      <w:pPr>
        <w:pStyle w:val="2"/>
        <w:rPr>
          <w:rFonts w:ascii="Times New Roman" w:hAnsi="Times New Roman" w:cs="Times New Roman" w:eastAsiaTheme="minorEastAsia"/>
          <w:sz w:val="32"/>
          <w:szCs w:val="32"/>
          <w:lang w:eastAsia="zh-CN"/>
        </w:rPr>
      </w:pPr>
      <w:r>
        <w:rPr>
          <w:rFonts w:ascii="Times New Roman" w:hAnsi="Times New Roman" w:cs="Times New Roman"/>
          <w:sz w:val="32"/>
          <w:szCs w:val="32"/>
          <w:lang w:eastAsia="zh-CN"/>
        </w:rPr>
        <w:t>2.计算分析</w:t>
      </w:r>
    </w:p>
    <w:p w14:paraId="33CAE428">
      <w:pPr>
        <w:pStyle w:val="2"/>
        <w:rPr>
          <w:rFonts w:hint="eastAsia" w:ascii="Times New Roman" w:hAnsi="Times New Roman" w:cs="Times New Roman" w:eastAsiaTheme="minorEastAsia"/>
          <w:sz w:val="32"/>
          <w:szCs w:val="32"/>
          <w:lang w:eastAsia="zh-CN"/>
        </w:rPr>
      </w:pPr>
    </w:p>
    <w:p w14:paraId="5C3342D2">
      <w:pPr>
        <w:tabs>
          <w:tab w:val="left" w:pos="605"/>
        </w:tabs>
        <w:rPr>
          <w:rStyle w:val="7"/>
          <w:rFonts w:ascii="Times New Roman" w:hAnsi="Times New Roman"/>
          <w:sz w:val="28"/>
          <w:szCs w:val="28"/>
          <w:lang w:eastAsia="zh-CN"/>
        </w:rPr>
      </w:pPr>
      <w:r>
        <w:rPr>
          <w:rStyle w:val="7"/>
          <w:rFonts w:ascii="Times New Roman" w:hAnsi="Times New Roman"/>
          <w:sz w:val="28"/>
          <w:szCs w:val="28"/>
          <w:lang w:eastAsia="zh-CN"/>
        </w:rPr>
        <w:t>2.1.可变换功能的室内空间</w:t>
      </w:r>
    </w:p>
    <w:p w14:paraId="65B21F17">
      <w:pPr>
        <w:tabs>
          <w:tab w:val="left" w:pos="605"/>
        </w:tabs>
        <w:rPr>
          <w:rStyle w:val="7"/>
          <w:rFonts w:hint="eastAsia" w:ascii="Times New Roman" w:hAnsi="Times New Roman"/>
          <w:sz w:val="28"/>
          <w:szCs w:val="28"/>
          <w:lang w:eastAsia="zh-CN"/>
        </w:rPr>
      </w:pPr>
    </w:p>
    <w:p w14:paraId="0FF77791">
      <w:pPr>
        <w:tabs>
          <w:tab w:val="left" w:pos="605"/>
        </w:tabs>
        <w:spacing w:line="360" w:lineRule="auto"/>
        <w:ind w:firstLine="420" w:firstLineChars="200"/>
        <w:rPr>
          <w:rFonts w:ascii="Times New Roman" w:hAnsi="Times New Roman" w:cs="宋体"/>
          <w:sz w:val="21"/>
          <w:szCs w:val="21"/>
          <w:lang w:eastAsia="zh-CN"/>
        </w:rPr>
      </w:pPr>
      <w:r>
        <w:rPr>
          <w:rFonts w:ascii="Times New Roman" w:hAnsi="Times New Roman" w:cs="宋体"/>
          <w:sz w:val="21"/>
          <w:szCs w:val="21"/>
          <w:lang w:eastAsia="zh-CN"/>
        </w:rPr>
        <w:t>可变换功能的室内空间为总建筑面积减去不可改变功能的室内空间（如走廊、楼梯、电梯井、卫生间、设备用房、公共管井等），本项目此类区域面积如下表。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3"/>
        <w:gridCol w:w="1067"/>
        <w:gridCol w:w="1025"/>
        <w:gridCol w:w="1126"/>
        <w:gridCol w:w="1332"/>
      </w:tblGrid>
      <w:tr w14:paraId="0604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3" w:type="dxa"/>
            <w:vAlign w:val="center"/>
          </w:tcPr>
          <w:p w14:paraId="4438039A">
            <w:pPr>
              <w:tabs>
                <w:tab w:val="left" w:pos="605"/>
              </w:tabs>
              <w:jc w:val="center"/>
              <w:rPr>
                <w:rFonts w:hint="eastAsia" w:ascii="Times New Roman" w:hAnsi="Times New Roman" w:cs="宋体"/>
                <w:sz w:val="21"/>
                <w:szCs w:val="21"/>
                <w:lang w:eastAsia="zh-CN"/>
              </w:rPr>
            </w:pPr>
            <w:r>
              <w:rPr>
                <w:rFonts w:hint="eastAsia" w:ascii="Times New Roman" w:hAnsi="Times New Roman" w:cs="宋体"/>
                <w:sz w:val="21"/>
                <w:szCs w:val="21"/>
                <w:lang w:eastAsia="zh-CN"/>
              </w:rPr>
              <w:pict>
                <v:shape id="_x0000_s1027" o:spid="_x0000_s1027" o:spt="32" type="#_x0000_t32" style="position:absolute;left:0pt;margin-left:-5.1pt;margin-top:1.6pt;height:10.2pt;width:122.95pt;z-index:251659264;mso-width-relative:page;mso-height-relative:page;" filled="f" stroked="t" coordsize="21600,21600">
                  <v:path arrowok="t"/>
                  <v:fill on="f" focussize="0,0"/>
                  <v:stroke color="#000000"/>
                  <v:imagedata o:title=""/>
                  <o:lock v:ext="edit" aspectratio="f"/>
                </v:shape>
              </w:pict>
            </w:r>
          </w:p>
        </w:tc>
        <w:tc>
          <w:tcPr>
            <w:tcW w:w="1067" w:type="dxa"/>
            <w:vAlign w:val="center"/>
          </w:tcPr>
          <w:p w14:paraId="4D488E67">
            <w:pPr>
              <w:tabs>
                <w:tab w:val="left" w:pos="605"/>
              </w:tabs>
              <w:jc w:val="center"/>
              <w:rPr>
                <w:rFonts w:hint="eastAsia" w:ascii="Times New Roman" w:hAnsi="Times New Roman" w:cs="宋体"/>
                <w:sz w:val="21"/>
                <w:szCs w:val="21"/>
                <w:lang w:eastAsia="zh-CN"/>
              </w:rPr>
            </w:pPr>
            <w:r>
              <w:rPr>
                <w:rFonts w:hint="eastAsia" w:ascii="Times New Roman" w:hAnsi="Times New Roman" w:cs="宋体"/>
                <w:sz w:val="21"/>
                <w:szCs w:val="21"/>
                <w:lang w:eastAsia="zh-CN"/>
              </w:rPr>
              <w:t>1层</w:t>
            </w:r>
          </w:p>
        </w:tc>
        <w:tc>
          <w:tcPr>
            <w:tcW w:w="1025" w:type="dxa"/>
            <w:vAlign w:val="center"/>
          </w:tcPr>
          <w:p w14:paraId="7613C73A">
            <w:pPr>
              <w:tabs>
                <w:tab w:val="left" w:pos="605"/>
              </w:tabs>
              <w:jc w:val="center"/>
              <w:rPr>
                <w:rFonts w:hint="eastAsia" w:ascii="Times New Roman" w:hAnsi="Times New Roman" w:cs="宋体"/>
                <w:sz w:val="21"/>
                <w:szCs w:val="21"/>
                <w:lang w:eastAsia="zh-CN"/>
              </w:rPr>
            </w:pPr>
            <w:r>
              <w:rPr>
                <w:rFonts w:hint="eastAsia" w:ascii="Times New Roman" w:hAnsi="Times New Roman" w:cs="宋体"/>
                <w:sz w:val="21"/>
                <w:szCs w:val="21"/>
                <w:lang w:val="en-US" w:eastAsia="zh-CN"/>
              </w:rPr>
              <w:t>2</w:t>
            </w:r>
            <w:r>
              <w:rPr>
                <w:rFonts w:hint="eastAsia" w:ascii="Times New Roman" w:hAnsi="Times New Roman" w:cs="宋体"/>
                <w:sz w:val="21"/>
                <w:szCs w:val="21"/>
                <w:lang w:eastAsia="zh-CN"/>
              </w:rPr>
              <w:t>层</w:t>
            </w:r>
          </w:p>
        </w:tc>
        <w:tc>
          <w:tcPr>
            <w:tcW w:w="1126" w:type="dxa"/>
            <w:vAlign w:val="center"/>
          </w:tcPr>
          <w:p w14:paraId="630894A4">
            <w:pPr>
              <w:tabs>
                <w:tab w:val="left" w:pos="605"/>
              </w:tabs>
              <w:jc w:val="center"/>
              <w:rPr>
                <w:rFonts w:hint="eastAsia" w:ascii="Times New Roman" w:hAnsi="Times New Roman" w:cs="宋体"/>
                <w:sz w:val="21"/>
                <w:szCs w:val="21"/>
                <w:lang w:eastAsia="zh-CN"/>
              </w:rPr>
            </w:pPr>
            <w:r>
              <w:rPr>
                <w:rFonts w:hint="eastAsia" w:ascii="Times New Roman" w:hAnsi="Times New Roman" w:cs="宋体"/>
                <w:sz w:val="21"/>
                <w:szCs w:val="21"/>
                <w:lang w:val="en-US" w:eastAsia="zh-CN"/>
              </w:rPr>
              <w:t>3</w:t>
            </w:r>
            <w:r>
              <w:rPr>
                <w:rFonts w:hint="eastAsia" w:ascii="Times New Roman" w:hAnsi="Times New Roman" w:cs="宋体"/>
                <w:sz w:val="21"/>
                <w:szCs w:val="21"/>
                <w:lang w:eastAsia="zh-CN"/>
              </w:rPr>
              <w:t>层</w:t>
            </w:r>
          </w:p>
        </w:tc>
        <w:tc>
          <w:tcPr>
            <w:tcW w:w="1332" w:type="dxa"/>
            <w:vAlign w:val="center"/>
          </w:tcPr>
          <w:p w14:paraId="63BE0FBD">
            <w:pPr>
              <w:tabs>
                <w:tab w:val="left" w:pos="605"/>
              </w:tabs>
              <w:jc w:val="center"/>
              <w:rPr>
                <w:rFonts w:hint="eastAsia" w:ascii="Times New Roman" w:hAnsi="Times New Roman" w:cs="宋体"/>
                <w:sz w:val="21"/>
                <w:szCs w:val="21"/>
                <w:lang w:eastAsia="zh-CN"/>
              </w:rPr>
            </w:pPr>
            <w:r>
              <w:rPr>
                <w:rFonts w:hint="eastAsia" w:ascii="Times New Roman" w:hAnsi="Times New Roman" w:cs="宋体"/>
                <w:sz w:val="21"/>
                <w:szCs w:val="21"/>
                <w:lang w:val="en-US" w:eastAsia="zh-CN"/>
              </w:rPr>
              <w:t>4</w:t>
            </w:r>
            <w:r>
              <w:rPr>
                <w:rFonts w:hint="eastAsia" w:ascii="Times New Roman" w:hAnsi="Times New Roman" w:cs="宋体"/>
                <w:sz w:val="21"/>
                <w:szCs w:val="21"/>
                <w:lang w:eastAsia="zh-CN"/>
              </w:rPr>
              <w:t>层</w:t>
            </w:r>
          </w:p>
        </w:tc>
      </w:tr>
      <w:tr w14:paraId="6C1A9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3" w:type="dxa"/>
            <w:vAlign w:val="center"/>
          </w:tcPr>
          <w:p w14:paraId="753BA2A2">
            <w:pPr>
              <w:tabs>
                <w:tab w:val="left" w:pos="605"/>
              </w:tabs>
              <w:jc w:val="center"/>
              <w:rPr>
                <w:rFonts w:hint="eastAsia" w:ascii="Times New Roman" w:hAnsi="Times New Roman" w:cs="宋体"/>
                <w:sz w:val="21"/>
                <w:szCs w:val="21"/>
                <w:lang w:eastAsia="zh-CN"/>
              </w:rPr>
            </w:pPr>
            <w:r>
              <w:rPr>
                <w:rFonts w:hint="eastAsia" w:ascii="Times New Roman" w:hAnsi="Times New Roman" w:cs="宋体"/>
                <w:sz w:val="21"/>
                <w:szCs w:val="21"/>
                <w:lang w:eastAsia="zh-CN"/>
              </w:rPr>
              <w:t>建筑面积</w:t>
            </w:r>
            <w:r>
              <w:rPr>
                <w:rFonts w:ascii="Times New Roman" w:hAnsi="Times New Roman" w:cs="宋体"/>
                <w:sz w:val="21"/>
                <w:szCs w:val="21"/>
                <w:lang w:eastAsia="zh-CN"/>
              </w:rPr>
              <w:t>（</w:t>
            </w:r>
            <w:r>
              <w:rPr>
                <w:rFonts w:hint="eastAsia" w:ascii="Times New Roman" w:hAnsi="Times New Roman" w:cs="宋体"/>
                <w:sz w:val="21"/>
                <w:szCs w:val="21"/>
                <w:lang w:eastAsia="zh-CN"/>
              </w:rPr>
              <w:t>㎡</w:t>
            </w:r>
            <w:r>
              <w:rPr>
                <w:rFonts w:ascii="Times New Roman" w:hAnsi="Times New Roman" w:cs="宋体"/>
                <w:sz w:val="21"/>
                <w:szCs w:val="21"/>
                <w:lang w:eastAsia="zh-CN"/>
              </w:rPr>
              <w:t>）</w:t>
            </w:r>
          </w:p>
        </w:tc>
        <w:tc>
          <w:tcPr>
            <w:tcW w:w="1067" w:type="dxa"/>
            <w:vAlign w:val="center"/>
          </w:tcPr>
          <w:p w14:paraId="444A38C0">
            <w:pPr>
              <w:tabs>
                <w:tab w:val="left" w:pos="605"/>
              </w:tabs>
              <w:jc w:val="center"/>
              <w:rPr>
                <w:rFonts w:hint="default" w:ascii="Times New Roman" w:hAnsi="Times New Roman" w:cs="宋体"/>
                <w:sz w:val="21"/>
                <w:szCs w:val="21"/>
                <w:lang w:val="en-US" w:eastAsia="zh-CN"/>
              </w:rPr>
            </w:pPr>
            <w:r>
              <w:rPr>
                <w:rFonts w:hint="eastAsia" w:ascii="Times New Roman" w:hAnsi="Times New Roman" w:cs="宋体"/>
                <w:sz w:val="21"/>
                <w:szCs w:val="21"/>
                <w:lang w:val="en-US" w:eastAsia="zh-CN"/>
              </w:rPr>
              <w:t>1957.33</w:t>
            </w:r>
          </w:p>
        </w:tc>
        <w:tc>
          <w:tcPr>
            <w:tcW w:w="1025" w:type="dxa"/>
            <w:vAlign w:val="center"/>
          </w:tcPr>
          <w:p w14:paraId="70B71365">
            <w:pPr>
              <w:tabs>
                <w:tab w:val="left" w:pos="605"/>
              </w:tabs>
              <w:jc w:val="center"/>
              <w:rPr>
                <w:rFonts w:hint="default" w:ascii="Times New Roman" w:hAnsi="Times New Roman" w:cs="宋体"/>
                <w:sz w:val="21"/>
                <w:szCs w:val="21"/>
                <w:lang w:val="en-US" w:eastAsia="zh-CN"/>
              </w:rPr>
            </w:pPr>
            <w:r>
              <w:rPr>
                <w:rFonts w:hint="eastAsia" w:ascii="Times New Roman" w:hAnsi="Times New Roman" w:cs="宋体"/>
                <w:sz w:val="21"/>
                <w:szCs w:val="21"/>
                <w:lang w:val="en-US" w:eastAsia="zh-CN"/>
              </w:rPr>
              <w:t>1957.33</w:t>
            </w:r>
          </w:p>
        </w:tc>
        <w:tc>
          <w:tcPr>
            <w:tcW w:w="1126" w:type="dxa"/>
            <w:vAlign w:val="center"/>
          </w:tcPr>
          <w:p w14:paraId="6A5406F3">
            <w:pPr>
              <w:tabs>
                <w:tab w:val="left" w:pos="605"/>
              </w:tabs>
              <w:jc w:val="center"/>
              <w:rPr>
                <w:rFonts w:hint="default" w:ascii="Times New Roman" w:hAnsi="Times New Roman" w:cs="宋体"/>
                <w:sz w:val="21"/>
                <w:szCs w:val="21"/>
                <w:lang w:val="en-US" w:eastAsia="zh-CN"/>
              </w:rPr>
            </w:pPr>
            <w:r>
              <w:rPr>
                <w:rFonts w:hint="eastAsia" w:ascii="Times New Roman" w:hAnsi="Times New Roman" w:cs="宋体"/>
                <w:sz w:val="21"/>
                <w:szCs w:val="21"/>
                <w:lang w:val="en-US" w:eastAsia="zh-CN"/>
              </w:rPr>
              <w:t>1600.93</w:t>
            </w:r>
          </w:p>
        </w:tc>
        <w:tc>
          <w:tcPr>
            <w:tcW w:w="1332" w:type="dxa"/>
            <w:vAlign w:val="center"/>
          </w:tcPr>
          <w:p w14:paraId="6CEA14A7">
            <w:pPr>
              <w:tabs>
                <w:tab w:val="left" w:pos="605"/>
              </w:tabs>
              <w:jc w:val="center"/>
              <w:rPr>
                <w:rFonts w:hint="default" w:ascii="Times New Roman" w:hAnsi="Times New Roman" w:cs="宋体"/>
                <w:sz w:val="21"/>
                <w:szCs w:val="21"/>
                <w:lang w:val="en-US" w:eastAsia="zh-CN"/>
              </w:rPr>
            </w:pPr>
            <w:r>
              <w:rPr>
                <w:rFonts w:hint="eastAsia" w:ascii="Times New Roman" w:hAnsi="Times New Roman" w:cs="宋体"/>
                <w:sz w:val="21"/>
                <w:szCs w:val="21"/>
                <w:lang w:val="en-US" w:eastAsia="zh-CN"/>
              </w:rPr>
              <w:t>694.4</w:t>
            </w:r>
          </w:p>
        </w:tc>
      </w:tr>
      <w:tr w14:paraId="49FAC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3" w:type="dxa"/>
            <w:vAlign w:val="center"/>
          </w:tcPr>
          <w:p w14:paraId="4AC8F175">
            <w:pPr>
              <w:tabs>
                <w:tab w:val="left" w:pos="605"/>
              </w:tabs>
              <w:jc w:val="center"/>
              <w:rPr>
                <w:rFonts w:hint="eastAsia" w:ascii="Times New Roman" w:hAnsi="Times New Roman" w:cs="宋体"/>
                <w:sz w:val="21"/>
                <w:szCs w:val="21"/>
                <w:lang w:eastAsia="zh-CN"/>
              </w:rPr>
            </w:pPr>
            <w:r>
              <w:rPr>
                <w:rFonts w:hint="eastAsia" w:ascii="Times New Roman" w:hAnsi="Times New Roman" w:cs="宋体"/>
                <w:sz w:val="21"/>
                <w:szCs w:val="21"/>
                <w:lang w:eastAsia="zh-CN"/>
              </w:rPr>
              <w:t>不可变换</w:t>
            </w:r>
            <w:r>
              <w:rPr>
                <w:rFonts w:ascii="Times New Roman" w:hAnsi="Times New Roman" w:cs="宋体"/>
                <w:sz w:val="21"/>
                <w:szCs w:val="21"/>
                <w:lang w:eastAsia="zh-CN"/>
              </w:rPr>
              <w:t>功能空间</w:t>
            </w:r>
            <w:r>
              <w:rPr>
                <w:rFonts w:hint="eastAsia" w:ascii="Times New Roman" w:hAnsi="Times New Roman" w:cs="宋体"/>
                <w:sz w:val="21"/>
                <w:szCs w:val="21"/>
                <w:lang w:eastAsia="zh-CN"/>
              </w:rPr>
              <w:t>(㎡)</w:t>
            </w:r>
          </w:p>
        </w:tc>
        <w:tc>
          <w:tcPr>
            <w:tcW w:w="1067" w:type="dxa"/>
            <w:vAlign w:val="center"/>
          </w:tcPr>
          <w:p w14:paraId="38A149C9">
            <w:pPr>
              <w:tabs>
                <w:tab w:val="left" w:pos="605"/>
              </w:tabs>
              <w:jc w:val="center"/>
              <w:rPr>
                <w:rFonts w:hint="default" w:ascii="Times New Roman" w:hAnsi="Times New Roman" w:cs="宋体"/>
                <w:sz w:val="21"/>
                <w:szCs w:val="21"/>
                <w:lang w:val="en-US" w:eastAsia="zh-CN"/>
              </w:rPr>
            </w:pPr>
            <w:r>
              <w:rPr>
                <w:rFonts w:hint="eastAsia" w:ascii="Times New Roman" w:hAnsi="Times New Roman" w:cs="宋体"/>
                <w:sz w:val="21"/>
                <w:szCs w:val="21"/>
                <w:lang w:val="en-US" w:eastAsia="zh-CN"/>
              </w:rPr>
              <w:t>897.02</w:t>
            </w:r>
          </w:p>
        </w:tc>
        <w:tc>
          <w:tcPr>
            <w:tcW w:w="1025" w:type="dxa"/>
            <w:vAlign w:val="center"/>
          </w:tcPr>
          <w:p w14:paraId="702A9C3B">
            <w:pPr>
              <w:tabs>
                <w:tab w:val="left" w:pos="605"/>
              </w:tabs>
              <w:jc w:val="center"/>
              <w:rPr>
                <w:rFonts w:hint="default" w:ascii="Times New Roman" w:hAnsi="Times New Roman" w:cs="宋体"/>
                <w:sz w:val="21"/>
                <w:szCs w:val="21"/>
                <w:lang w:val="en-US" w:eastAsia="zh-CN"/>
              </w:rPr>
            </w:pPr>
            <w:r>
              <w:rPr>
                <w:rFonts w:hint="eastAsia" w:ascii="Times New Roman" w:hAnsi="Times New Roman" w:cs="宋体"/>
                <w:sz w:val="21"/>
                <w:szCs w:val="21"/>
                <w:lang w:val="en-US" w:eastAsia="zh-CN"/>
              </w:rPr>
              <w:t>829.47</w:t>
            </w:r>
          </w:p>
        </w:tc>
        <w:tc>
          <w:tcPr>
            <w:tcW w:w="1126" w:type="dxa"/>
            <w:vAlign w:val="center"/>
          </w:tcPr>
          <w:p w14:paraId="066EBEC8">
            <w:pPr>
              <w:tabs>
                <w:tab w:val="left" w:pos="605"/>
              </w:tabs>
              <w:jc w:val="center"/>
              <w:rPr>
                <w:rFonts w:hint="default" w:ascii="Times New Roman" w:hAnsi="Times New Roman" w:cs="宋体"/>
                <w:sz w:val="21"/>
                <w:szCs w:val="21"/>
                <w:lang w:val="en-US" w:eastAsia="zh-CN"/>
              </w:rPr>
            </w:pPr>
            <w:r>
              <w:rPr>
                <w:rFonts w:hint="eastAsia" w:ascii="Times New Roman" w:hAnsi="Times New Roman" w:cs="宋体"/>
                <w:sz w:val="21"/>
                <w:szCs w:val="21"/>
                <w:lang w:val="en-US" w:eastAsia="zh-CN"/>
              </w:rPr>
              <w:t>487.15</w:t>
            </w:r>
          </w:p>
        </w:tc>
        <w:tc>
          <w:tcPr>
            <w:tcW w:w="1332" w:type="dxa"/>
            <w:vAlign w:val="center"/>
          </w:tcPr>
          <w:p w14:paraId="49414E4C">
            <w:pPr>
              <w:tabs>
                <w:tab w:val="left" w:pos="605"/>
              </w:tabs>
              <w:jc w:val="center"/>
              <w:rPr>
                <w:rFonts w:hint="default" w:ascii="Times New Roman" w:hAnsi="Times New Roman" w:cs="宋体"/>
                <w:sz w:val="21"/>
                <w:szCs w:val="21"/>
                <w:lang w:val="en-US" w:eastAsia="zh-CN"/>
              </w:rPr>
            </w:pPr>
            <w:r>
              <w:rPr>
                <w:rFonts w:hint="eastAsia" w:ascii="Times New Roman" w:hAnsi="Times New Roman" w:cs="宋体"/>
                <w:sz w:val="21"/>
                <w:szCs w:val="21"/>
                <w:lang w:val="en-US" w:eastAsia="zh-CN"/>
              </w:rPr>
              <w:t>232.54</w:t>
            </w:r>
          </w:p>
        </w:tc>
      </w:tr>
      <w:tr w14:paraId="4A1C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3" w:type="dxa"/>
            <w:vAlign w:val="center"/>
          </w:tcPr>
          <w:p w14:paraId="5DB2C44D">
            <w:pPr>
              <w:tabs>
                <w:tab w:val="left" w:pos="605"/>
              </w:tabs>
              <w:jc w:val="center"/>
              <w:rPr>
                <w:rFonts w:hint="eastAsia" w:ascii="Times New Roman" w:hAnsi="Times New Roman" w:cs="宋体"/>
                <w:sz w:val="21"/>
                <w:szCs w:val="21"/>
                <w:lang w:eastAsia="zh-CN"/>
              </w:rPr>
            </w:pPr>
            <w:r>
              <w:rPr>
                <w:rFonts w:hint="eastAsia" w:ascii="Times New Roman" w:hAnsi="Times New Roman" w:cs="宋体"/>
                <w:sz w:val="21"/>
                <w:szCs w:val="21"/>
                <w:lang w:eastAsia="zh-CN"/>
              </w:rPr>
              <w:t>可变换</w:t>
            </w:r>
            <w:r>
              <w:rPr>
                <w:rFonts w:ascii="Times New Roman" w:hAnsi="Times New Roman" w:cs="宋体"/>
                <w:sz w:val="21"/>
                <w:szCs w:val="21"/>
                <w:lang w:eastAsia="zh-CN"/>
              </w:rPr>
              <w:t>功能空间</w:t>
            </w:r>
            <w:r>
              <w:rPr>
                <w:rFonts w:hint="eastAsia" w:ascii="Times New Roman" w:hAnsi="Times New Roman" w:cs="宋体"/>
                <w:sz w:val="21"/>
                <w:szCs w:val="21"/>
                <w:lang w:eastAsia="zh-CN"/>
              </w:rPr>
              <w:t>(㎡)</w:t>
            </w:r>
          </w:p>
        </w:tc>
        <w:tc>
          <w:tcPr>
            <w:tcW w:w="1067" w:type="dxa"/>
            <w:vAlign w:val="center"/>
          </w:tcPr>
          <w:p w14:paraId="4C2AAA76">
            <w:pPr>
              <w:tabs>
                <w:tab w:val="left" w:pos="605"/>
              </w:tabs>
              <w:jc w:val="center"/>
              <w:rPr>
                <w:rFonts w:hint="default" w:ascii="Times New Roman" w:hAnsi="Times New Roman" w:cs="宋体"/>
                <w:sz w:val="21"/>
                <w:szCs w:val="21"/>
                <w:lang w:val="en-US" w:eastAsia="zh-CN"/>
              </w:rPr>
            </w:pPr>
            <w:r>
              <w:rPr>
                <w:rFonts w:hint="eastAsia" w:ascii="Times New Roman" w:hAnsi="Times New Roman" w:cs="宋体"/>
                <w:sz w:val="21"/>
                <w:szCs w:val="21"/>
                <w:lang w:val="en-US" w:eastAsia="zh-CN"/>
              </w:rPr>
              <w:t>1060.31</w:t>
            </w:r>
          </w:p>
        </w:tc>
        <w:tc>
          <w:tcPr>
            <w:tcW w:w="1025" w:type="dxa"/>
            <w:vAlign w:val="center"/>
          </w:tcPr>
          <w:p w14:paraId="551954FC">
            <w:pPr>
              <w:tabs>
                <w:tab w:val="left" w:pos="605"/>
              </w:tabs>
              <w:jc w:val="center"/>
              <w:rPr>
                <w:rFonts w:hint="default" w:ascii="Times New Roman" w:hAnsi="Times New Roman" w:cs="宋体"/>
                <w:sz w:val="21"/>
                <w:szCs w:val="21"/>
                <w:lang w:val="en-US" w:eastAsia="zh-CN"/>
              </w:rPr>
            </w:pPr>
            <w:r>
              <w:rPr>
                <w:rFonts w:hint="eastAsia" w:ascii="Times New Roman" w:hAnsi="Times New Roman" w:cs="宋体"/>
                <w:sz w:val="21"/>
                <w:szCs w:val="21"/>
                <w:lang w:val="en-US" w:eastAsia="zh-CN"/>
              </w:rPr>
              <w:t>1127.86</w:t>
            </w:r>
          </w:p>
        </w:tc>
        <w:tc>
          <w:tcPr>
            <w:tcW w:w="1126" w:type="dxa"/>
            <w:vAlign w:val="center"/>
          </w:tcPr>
          <w:p w14:paraId="19256D24">
            <w:pPr>
              <w:tabs>
                <w:tab w:val="left" w:pos="605"/>
              </w:tabs>
              <w:jc w:val="center"/>
              <w:rPr>
                <w:rFonts w:hint="default" w:ascii="Times New Roman" w:hAnsi="Times New Roman" w:cs="宋体"/>
                <w:sz w:val="21"/>
                <w:szCs w:val="21"/>
                <w:lang w:val="en-US" w:eastAsia="zh-CN"/>
              </w:rPr>
            </w:pPr>
            <w:r>
              <w:rPr>
                <w:rFonts w:hint="eastAsia" w:ascii="Times New Roman" w:hAnsi="Times New Roman" w:cs="宋体"/>
                <w:sz w:val="21"/>
                <w:szCs w:val="21"/>
                <w:lang w:val="en-US" w:eastAsia="zh-CN"/>
              </w:rPr>
              <w:t>1113.78</w:t>
            </w:r>
          </w:p>
        </w:tc>
        <w:tc>
          <w:tcPr>
            <w:tcW w:w="1332" w:type="dxa"/>
            <w:vAlign w:val="center"/>
          </w:tcPr>
          <w:p w14:paraId="78DF6BF3">
            <w:pPr>
              <w:tabs>
                <w:tab w:val="left" w:pos="605"/>
              </w:tabs>
              <w:jc w:val="center"/>
              <w:rPr>
                <w:rFonts w:hint="default" w:ascii="Times New Roman" w:hAnsi="Times New Roman" w:cs="宋体"/>
                <w:sz w:val="21"/>
                <w:szCs w:val="21"/>
                <w:lang w:val="en-US" w:eastAsia="zh-CN"/>
              </w:rPr>
            </w:pPr>
            <w:r>
              <w:rPr>
                <w:rFonts w:hint="eastAsia" w:ascii="Times New Roman" w:hAnsi="Times New Roman" w:cs="宋体"/>
                <w:sz w:val="21"/>
                <w:szCs w:val="21"/>
                <w:lang w:val="en-US" w:eastAsia="zh-CN"/>
              </w:rPr>
              <w:t>461.86</w:t>
            </w:r>
          </w:p>
        </w:tc>
      </w:tr>
      <w:tr w14:paraId="04AAD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2473" w:type="dxa"/>
            <w:vAlign w:val="center"/>
          </w:tcPr>
          <w:p w14:paraId="39687671">
            <w:pPr>
              <w:tabs>
                <w:tab w:val="left" w:pos="605"/>
              </w:tabs>
              <w:spacing w:line="360" w:lineRule="auto"/>
              <w:rPr>
                <w:rFonts w:hint="eastAsia" w:ascii="Times New Roman" w:hAnsi="Times New Roman" w:cs="宋体"/>
                <w:sz w:val="21"/>
                <w:szCs w:val="21"/>
                <w:lang w:eastAsia="zh-CN"/>
              </w:rPr>
            </w:pPr>
            <w:r>
              <w:rPr>
                <w:rFonts w:hint="eastAsia" w:ascii="Times New Roman" w:hAnsi="Times New Roman" w:cs="宋体"/>
                <w:sz w:val="21"/>
                <w:szCs w:val="21"/>
                <w:lang w:eastAsia="zh-CN"/>
              </w:rPr>
              <w:t>可变换</w:t>
            </w:r>
            <w:r>
              <w:rPr>
                <w:rFonts w:ascii="Times New Roman" w:hAnsi="Times New Roman" w:cs="宋体"/>
                <w:sz w:val="21"/>
                <w:szCs w:val="21"/>
                <w:lang w:eastAsia="zh-CN"/>
              </w:rPr>
              <w:t>功能空间</w:t>
            </w:r>
            <w:r>
              <w:rPr>
                <w:rFonts w:hint="eastAsia" w:ascii="Times New Roman" w:hAnsi="Times New Roman" w:cs="宋体"/>
                <w:sz w:val="21"/>
                <w:szCs w:val="21"/>
                <w:lang w:eastAsia="zh-CN"/>
              </w:rPr>
              <w:t>总计(㎡)</w:t>
            </w:r>
          </w:p>
        </w:tc>
        <w:tc>
          <w:tcPr>
            <w:tcW w:w="4550" w:type="dxa"/>
            <w:gridSpan w:val="4"/>
            <w:vAlign w:val="center"/>
          </w:tcPr>
          <w:p w14:paraId="167AC332">
            <w:pPr>
              <w:tabs>
                <w:tab w:val="left" w:pos="605"/>
              </w:tabs>
              <w:jc w:val="center"/>
              <w:rPr>
                <w:rFonts w:hint="default" w:ascii="Times New Roman" w:hAnsi="Times New Roman" w:cs="宋体"/>
                <w:sz w:val="21"/>
                <w:szCs w:val="21"/>
                <w:lang w:val="en-US" w:eastAsia="zh-CN"/>
              </w:rPr>
            </w:pPr>
            <w:r>
              <w:rPr>
                <w:rFonts w:hint="eastAsia" w:ascii="Times New Roman" w:hAnsi="Times New Roman" w:cs="宋体"/>
                <w:sz w:val="21"/>
                <w:szCs w:val="21"/>
                <w:lang w:val="en-US" w:eastAsia="zh-CN"/>
              </w:rPr>
              <w:t>4225.67</w:t>
            </w:r>
          </w:p>
        </w:tc>
      </w:tr>
    </w:tbl>
    <w:p w14:paraId="5DDED2C6">
      <w:pPr>
        <w:tabs>
          <w:tab w:val="left" w:pos="605"/>
        </w:tabs>
        <w:spacing w:line="360" w:lineRule="auto"/>
        <w:ind w:firstLine="420" w:firstLineChars="200"/>
        <w:rPr>
          <w:rFonts w:ascii="Times New Roman" w:hAnsi="Times New Roman" w:cs="宋体"/>
          <w:sz w:val="21"/>
          <w:szCs w:val="21"/>
          <w:lang w:eastAsia="zh-CN"/>
        </w:rPr>
      </w:pPr>
    </w:p>
    <w:p w14:paraId="64861573">
      <w:pPr>
        <w:tabs>
          <w:tab w:val="left" w:pos="605"/>
        </w:tabs>
        <w:spacing w:line="360" w:lineRule="auto"/>
        <w:ind w:firstLine="420" w:firstLineChars="200"/>
        <w:rPr>
          <w:rFonts w:ascii="Times New Roman" w:hAnsi="Times New Roman" w:cs="宋体"/>
          <w:sz w:val="21"/>
          <w:szCs w:val="21"/>
          <w:lang w:eastAsia="zh-CN"/>
        </w:rPr>
      </w:pPr>
    </w:p>
    <w:p w14:paraId="1ABE70FB">
      <w:pPr>
        <w:tabs>
          <w:tab w:val="left" w:pos="605"/>
        </w:tabs>
        <w:spacing w:line="360" w:lineRule="auto"/>
        <w:ind w:firstLine="420" w:firstLineChars="200"/>
        <w:rPr>
          <w:rFonts w:ascii="Times New Roman" w:hAnsi="Times New Roman" w:cs="宋体"/>
          <w:sz w:val="21"/>
          <w:szCs w:val="21"/>
          <w:lang w:eastAsia="zh-CN"/>
        </w:rPr>
      </w:pPr>
    </w:p>
    <w:p w14:paraId="3E15E6BE">
      <w:pPr>
        <w:tabs>
          <w:tab w:val="left" w:pos="605"/>
        </w:tabs>
        <w:rPr>
          <w:rStyle w:val="7"/>
          <w:rFonts w:ascii="Times New Roman" w:hAnsi="Times New Roman"/>
          <w:sz w:val="28"/>
          <w:szCs w:val="28"/>
          <w:lang w:eastAsia="zh-CN"/>
        </w:rPr>
      </w:pPr>
      <w:r>
        <w:rPr>
          <w:rStyle w:val="7"/>
          <w:rFonts w:ascii="Times New Roman" w:hAnsi="Times New Roman"/>
          <w:sz w:val="28"/>
          <w:szCs w:val="28"/>
          <w:lang w:eastAsia="zh-CN"/>
        </w:rPr>
        <w:t>2.</w:t>
      </w:r>
      <w:r>
        <w:rPr>
          <w:rStyle w:val="7"/>
          <w:rFonts w:hint="eastAsia" w:ascii="Times New Roman" w:hAnsi="Times New Roman"/>
          <w:sz w:val="28"/>
          <w:szCs w:val="28"/>
          <w:lang w:val="en-US" w:eastAsia="zh-CN"/>
        </w:rPr>
        <w:t>2</w:t>
      </w:r>
      <w:r>
        <w:rPr>
          <w:rStyle w:val="7"/>
          <w:rFonts w:ascii="Times New Roman" w:hAnsi="Times New Roman"/>
          <w:sz w:val="28"/>
          <w:szCs w:val="28"/>
          <w:lang w:eastAsia="zh-CN"/>
        </w:rPr>
        <w:t>.</w:t>
      </w:r>
      <w:r>
        <w:rPr>
          <w:rStyle w:val="7"/>
          <w:rFonts w:ascii="Times New Roman" w:hAnsi="Times New Roman" w:eastAsia="宋体" w:cs="Times New Roman"/>
          <w:sz w:val="28"/>
          <w:szCs w:val="28"/>
          <w:lang w:eastAsia="zh-CN"/>
        </w:rPr>
        <w:t>开放、灵活可变的使用空间</w:t>
      </w:r>
      <w:r>
        <w:rPr>
          <w:rStyle w:val="7"/>
          <w:rFonts w:ascii="Times New Roman" w:hAnsi="Times New Roman"/>
          <w:sz w:val="28"/>
          <w:szCs w:val="28"/>
          <w:lang w:eastAsia="zh-CN"/>
        </w:rPr>
        <w:t>面积比例</w:t>
      </w:r>
    </w:p>
    <w:p w14:paraId="1E88F569">
      <w:pPr>
        <w:tabs>
          <w:tab w:val="left" w:pos="605"/>
        </w:tabs>
        <w:rPr>
          <w:rStyle w:val="7"/>
          <w:rFonts w:hint="eastAsia" w:ascii="Times New Roman" w:hAnsi="Times New Roman"/>
          <w:sz w:val="28"/>
          <w:szCs w:val="28"/>
          <w:lang w:eastAsia="zh-CN"/>
        </w:rPr>
      </w:pPr>
    </w:p>
    <w:p w14:paraId="19AFF893">
      <w:pPr>
        <w:tabs>
          <w:tab w:val="left" w:pos="605"/>
        </w:tabs>
        <w:spacing w:line="360" w:lineRule="auto"/>
        <w:ind w:firstLine="420" w:firstLineChars="200"/>
        <w:rPr>
          <w:rFonts w:ascii="Times New Roman" w:hAnsi="Times New Roman" w:cs="宋体"/>
          <w:sz w:val="21"/>
          <w:szCs w:val="21"/>
          <w:lang w:eastAsia="zh-CN"/>
        </w:rPr>
      </w:pPr>
      <w:r>
        <w:rPr>
          <w:rFonts w:ascii="Times New Roman" w:hAnsi="Times New Roman" w:cs="宋体"/>
          <w:sz w:val="21"/>
          <w:szCs w:val="21"/>
          <w:lang w:eastAsia="zh-CN"/>
        </w:rPr>
        <w:t>开放、灵活可变的使用空间面积比例=</w:t>
      </w:r>
      <w:r>
        <w:rPr>
          <w:rFonts w:hint="eastAsia" w:ascii="Times New Roman" w:hAnsi="Times New Roman" w:cs="宋体"/>
          <w:sz w:val="21"/>
          <w:szCs w:val="21"/>
          <w:lang w:val="en-US" w:eastAsia="zh-CN"/>
        </w:rPr>
        <w:t>4225.67</w:t>
      </w:r>
      <w:r>
        <w:rPr>
          <w:rFonts w:ascii="Times New Roman" w:hAnsi="Times New Roman" w:cs="宋体"/>
          <w:sz w:val="21"/>
          <w:szCs w:val="21"/>
          <w:lang w:eastAsia="zh-CN"/>
        </w:rPr>
        <w:t>/</w:t>
      </w:r>
      <w:r>
        <w:rPr>
          <w:rFonts w:hint="eastAsia" w:ascii="Times New Roman" w:hAnsi="Times New Roman" w:cs="宋体"/>
          <w:sz w:val="21"/>
          <w:szCs w:val="21"/>
          <w:lang w:eastAsia="zh-CN"/>
        </w:rPr>
        <w:t>5565.17</w:t>
      </w:r>
      <w:r>
        <w:rPr>
          <w:rFonts w:ascii="Times New Roman" w:hAnsi="Times New Roman" w:cs="宋体"/>
          <w:sz w:val="21"/>
          <w:szCs w:val="21"/>
          <w:lang w:eastAsia="zh-CN"/>
        </w:rPr>
        <w:t>×100%=</w:t>
      </w:r>
      <w:r>
        <w:rPr>
          <w:rFonts w:hint="eastAsia" w:ascii="Times New Roman" w:hAnsi="Times New Roman" w:cs="宋体"/>
          <w:sz w:val="21"/>
          <w:szCs w:val="21"/>
          <w:lang w:val="en-US" w:eastAsia="zh-CN"/>
        </w:rPr>
        <w:t>75.9</w:t>
      </w:r>
      <w:r>
        <w:rPr>
          <w:rFonts w:ascii="Times New Roman" w:hAnsi="Times New Roman" w:cs="宋体"/>
          <w:sz w:val="21"/>
          <w:szCs w:val="21"/>
          <w:lang w:eastAsia="zh-CN"/>
        </w:rPr>
        <w:t>%；</w:t>
      </w:r>
    </w:p>
    <w:p w14:paraId="11BB8439">
      <w:pPr>
        <w:tabs>
          <w:tab w:val="left" w:pos="605"/>
        </w:tabs>
        <w:spacing w:line="360" w:lineRule="auto"/>
        <w:ind w:firstLine="420" w:firstLineChars="200"/>
        <w:rPr>
          <w:rFonts w:ascii="Times New Roman" w:hAnsi="Times New Roman" w:cs="宋体"/>
          <w:sz w:val="21"/>
          <w:szCs w:val="21"/>
          <w:lang w:eastAsia="zh-CN"/>
        </w:rPr>
      </w:pPr>
      <w:r>
        <w:rPr>
          <w:rFonts w:ascii="Times New Roman" w:hAnsi="Times New Roman" w:cs="宋体"/>
          <w:sz w:val="21"/>
          <w:szCs w:val="21"/>
          <w:lang w:eastAsia="zh-CN"/>
        </w:rPr>
        <w:t>非开放、灵活可变的使用空间面积比例=1-</w:t>
      </w:r>
      <w:r>
        <w:rPr>
          <w:rFonts w:hint="eastAsia" w:ascii="Times New Roman" w:hAnsi="Times New Roman" w:cs="宋体"/>
          <w:sz w:val="21"/>
          <w:szCs w:val="21"/>
          <w:lang w:val="en-US" w:eastAsia="zh-CN"/>
        </w:rPr>
        <w:t>75.9</w:t>
      </w:r>
      <w:r>
        <w:rPr>
          <w:rFonts w:ascii="Times New Roman" w:hAnsi="Times New Roman" w:cs="宋体"/>
          <w:sz w:val="21"/>
          <w:szCs w:val="21"/>
          <w:lang w:eastAsia="zh-CN"/>
        </w:rPr>
        <w:t>%=</w:t>
      </w:r>
      <w:r>
        <w:rPr>
          <w:rFonts w:hint="eastAsia" w:ascii="Times New Roman" w:hAnsi="Times New Roman" w:cs="宋体"/>
          <w:sz w:val="21"/>
          <w:szCs w:val="21"/>
          <w:lang w:val="en-US" w:eastAsia="zh-CN"/>
        </w:rPr>
        <w:t>24.1</w:t>
      </w:r>
      <w:r>
        <w:rPr>
          <w:rFonts w:ascii="Times New Roman" w:hAnsi="Times New Roman" w:cs="宋体"/>
          <w:sz w:val="21"/>
          <w:szCs w:val="21"/>
          <w:lang w:eastAsia="zh-CN"/>
        </w:rPr>
        <w:t>%。</w:t>
      </w:r>
      <w:bookmarkStart w:id="0" w:name="_GoBack"/>
      <w:bookmarkEnd w:id="0"/>
    </w:p>
    <w:p w14:paraId="3A366537">
      <w:pPr>
        <w:tabs>
          <w:tab w:val="left" w:pos="605"/>
        </w:tabs>
        <w:spacing w:line="360" w:lineRule="auto"/>
        <w:ind w:firstLine="420" w:firstLineChars="200"/>
        <w:rPr>
          <w:rFonts w:ascii="Times New Roman" w:hAnsi="Times New Roman" w:cs="宋体"/>
          <w:sz w:val="21"/>
          <w:szCs w:val="21"/>
          <w:lang w:eastAsia="zh-CN"/>
        </w:rPr>
      </w:pPr>
    </w:p>
    <w:p w14:paraId="71C116D4">
      <w:pPr>
        <w:pStyle w:val="2"/>
        <w:rPr>
          <w:rFonts w:ascii="Times New Roman" w:hAnsi="Times New Roman" w:cs="Times New Roman" w:eastAsiaTheme="minorEastAsia"/>
          <w:sz w:val="32"/>
          <w:szCs w:val="32"/>
          <w:lang w:eastAsia="zh-CN"/>
        </w:rPr>
      </w:pPr>
      <w:r>
        <w:rPr>
          <w:rFonts w:ascii="Times New Roman" w:hAnsi="Times New Roman" w:cs="Times New Roman"/>
          <w:sz w:val="32"/>
          <w:szCs w:val="32"/>
          <w:lang w:eastAsia="zh-CN"/>
        </w:rPr>
        <w:t>3.结论</w:t>
      </w:r>
    </w:p>
    <w:p w14:paraId="11512C42">
      <w:pPr>
        <w:pStyle w:val="2"/>
        <w:rPr>
          <w:rFonts w:hint="eastAsia" w:ascii="Times New Roman" w:hAnsi="Times New Roman" w:cs="Times New Roman" w:eastAsiaTheme="minorEastAsia"/>
          <w:sz w:val="32"/>
          <w:szCs w:val="32"/>
          <w:lang w:eastAsia="zh-CN"/>
        </w:rPr>
      </w:pPr>
    </w:p>
    <w:p w14:paraId="4A0DBC7A">
      <w:pPr>
        <w:tabs>
          <w:tab w:val="left" w:pos="605"/>
        </w:tabs>
        <w:spacing w:line="360" w:lineRule="auto"/>
        <w:ind w:firstLine="420" w:firstLineChars="200"/>
        <w:rPr>
          <w:rFonts w:hint="eastAsia" w:ascii="Times New Roman" w:hAnsi="Times New Roman" w:cs="宋体"/>
          <w:sz w:val="21"/>
          <w:szCs w:val="21"/>
          <w:lang w:eastAsia="zh-CN"/>
        </w:rPr>
      </w:pPr>
      <w:r>
        <w:rPr>
          <w:rFonts w:ascii="Times New Roman" w:hAnsi="Times New Roman" w:cs="宋体"/>
          <w:sz w:val="21"/>
          <w:szCs w:val="21"/>
          <w:lang w:eastAsia="zh-CN"/>
        </w:rPr>
        <w:t>针对《绿色建筑评价标准》GB50378-2019的第4.2.6</w:t>
      </w:r>
      <w:r>
        <w:rPr>
          <w:rFonts w:hint="eastAsia" w:ascii="Times New Roman" w:hAnsi="Times New Roman" w:cs="宋体"/>
          <w:sz w:val="21"/>
          <w:szCs w:val="21"/>
          <w:lang w:eastAsia="zh-CN"/>
        </w:rPr>
        <w:t>条</w:t>
      </w:r>
      <w:r>
        <w:rPr>
          <w:rFonts w:ascii="Times New Roman" w:hAnsi="Times New Roman" w:cs="宋体"/>
          <w:sz w:val="21"/>
          <w:szCs w:val="21"/>
          <w:lang w:eastAsia="zh-CN"/>
        </w:rPr>
        <w:t>“采取提升建筑适变性的措施，评价总分值为18分”</w:t>
      </w:r>
      <w:r>
        <w:rPr>
          <w:rFonts w:hint="eastAsia" w:ascii="Times New Roman" w:hAnsi="Times New Roman" w:cs="宋体"/>
          <w:sz w:val="21"/>
          <w:szCs w:val="21"/>
          <w:lang w:eastAsia="zh-CN"/>
        </w:rPr>
        <w:t>，</w:t>
      </w:r>
      <w:r>
        <w:rPr>
          <w:rFonts w:ascii="Times New Roman" w:hAnsi="Times New Roman" w:cs="宋体"/>
          <w:sz w:val="21"/>
          <w:szCs w:val="21"/>
          <w:lang w:eastAsia="zh-CN"/>
        </w:rPr>
        <w:t>满足第一点“采取通用开放、灵活可变的使用空间设计，或采取建筑使用功能可变措施，得7分”。该评分项可得7分。</w:t>
      </w:r>
    </w:p>
    <w:sectPr>
      <w:pgSz w:w="11910" w:h="16850"/>
      <w:pgMar w:top="1480" w:right="168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2"/>
  </w:compat>
  <w:rsids>
    <w:rsidRoot w:val="00E40C34"/>
    <w:rsid w:val="00022519"/>
    <w:rsid w:val="00897ADE"/>
    <w:rsid w:val="00900B4A"/>
    <w:rsid w:val="00E40C34"/>
    <w:rsid w:val="49D63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qFormat/>
    <w:uiPriority w:val="1"/>
    <w:pPr>
      <w:outlineLvl w:val="0"/>
    </w:pPr>
    <w:rPr>
      <w:rFonts w:ascii="Microsoft JhengHei" w:hAnsi="Microsoft JhengHei" w:eastAsia="Microsoft JhengHei"/>
      <w:b/>
      <w:bCs/>
      <w:sz w:val="28"/>
      <w:szCs w:val="28"/>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spacing w:before="8"/>
      <w:ind w:left="120"/>
    </w:pPr>
    <w:rPr>
      <w:rFonts w:ascii="宋体" w:hAnsi="宋体" w:eastAsia="宋体"/>
      <w:sz w:val="23"/>
      <w:szCs w:val="23"/>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rPr>
      <w:b/>
      <w:bCs/>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BC3A2E-A9D9-4CEE-89E0-DF0EBB613CA7}">
  <ds:schemaRefs/>
</ds:datastoreItem>
</file>

<file path=docProps/app.xml><?xml version="1.0" encoding="utf-8"?>
<Properties xmlns="http://schemas.openxmlformats.org/officeDocument/2006/extended-properties" xmlns:vt="http://schemas.openxmlformats.org/officeDocument/2006/docPropsVTypes">
  <Template>Normal.dotm</Template>
  <Pages>3</Pages>
  <Words>811</Words>
  <Characters>1046</Characters>
  <Lines>8</Lines>
  <Paragraphs>2</Paragraphs>
  <TotalTime>32</TotalTime>
  <ScaleCrop>false</ScaleCrop>
  <LinksUpToDate>false</LinksUpToDate>
  <CharactersWithSpaces>1046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2020-01-09T09:42:00Z</dcterms:created>
  <dc:creator>金晶</dc:creator>
  <cp:lastModifiedBy>WPS_1642742701</cp:lastModifiedBy>
  <dcterms:modified xsi:type="dcterms:W3CDTF">2026-03-23T06:53:37Z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2017-10-09T00:00:00Z</vt:filetime>
  </property>
  <property fmtid="{D5CDD505-2E9C-101B-9397-08002B2CF9AE}" pid="3" name="LastSaved">
    <vt:filetime>2020-01-09T00:00:00Z</vt:filetime>
  </property>
  <property fmtid="{D5CDD505-2E9C-101B-9397-08002B2CF9AE}" pid="4" name="KSOTemplateDocerSaveRecord">
    <vt:lpwstr>eyJoZGlkIjoiMzk4NjFiZjBiYzA1OGI5OGQxMzM5NDgzNTY3Y2YyYTEiLCJ1c2VySWQiOiIxMzIxMzUyMDQ2In0=</vt:lpwstr>
  </property>
  <property fmtid="{D5CDD505-2E9C-101B-9397-08002B2CF9AE}" pid="5" name="KSOProductBuildVer">
    <vt:lpwstr>2052-12.1.0.24657</vt:lpwstr>
  </property>
  <property fmtid="{D5CDD505-2E9C-101B-9397-08002B2CF9AE}" pid="6" name="ICV">
    <vt:lpwstr>26B3ECFFBD164F9BAA41D0929A12C816_12</vt:lpwstr>
  </property>
</Properties>
</file>