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BC232">
      <w:pPr>
        <w:rPr>
          <w:rFonts w:ascii="Times New Roman" w:hAnsi="Times New Roman" w:eastAsia="Times New Roman" w:cs="Times New Roman"/>
          <w:sz w:val="20"/>
          <w:szCs w:val="20"/>
        </w:rPr>
      </w:pPr>
    </w:p>
    <w:p w14:paraId="45A724C1">
      <w:pPr>
        <w:rPr>
          <w:rFonts w:ascii="Times New Roman" w:hAnsi="Times New Roman" w:eastAsia="Times New Roman" w:cs="Times New Roman"/>
          <w:sz w:val="20"/>
          <w:szCs w:val="20"/>
        </w:rPr>
      </w:pPr>
    </w:p>
    <w:p w14:paraId="3CE95CE7">
      <w:pPr>
        <w:rPr>
          <w:rFonts w:ascii="Times New Roman" w:hAnsi="Times New Roman" w:eastAsia="Times New Roman" w:cs="Times New Roman"/>
          <w:sz w:val="20"/>
          <w:szCs w:val="20"/>
        </w:rPr>
      </w:pPr>
    </w:p>
    <w:p w14:paraId="3E513B45">
      <w:pPr>
        <w:rPr>
          <w:rFonts w:ascii="Times New Roman" w:hAnsi="Times New Roman" w:eastAsia="Times New Roman" w:cs="Times New Roman"/>
          <w:sz w:val="20"/>
          <w:szCs w:val="20"/>
        </w:rPr>
      </w:pPr>
    </w:p>
    <w:p w14:paraId="36DB21D5">
      <w:pPr>
        <w:rPr>
          <w:rFonts w:ascii="Times New Roman" w:hAnsi="Times New Roman" w:eastAsia="Times New Roman" w:cs="Times New Roman"/>
          <w:sz w:val="20"/>
          <w:szCs w:val="20"/>
        </w:rPr>
      </w:pPr>
    </w:p>
    <w:p w14:paraId="00AA4AA6">
      <w:pPr>
        <w:rPr>
          <w:rFonts w:ascii="Times New Roman" w:hAnsi="Times New Roman" w:eastAsia="Times New Roman" w:cs="Times New Roman"/>
          <w:sz w:val="20"/>
          <w:szCs w:val="20"/>
        </w:rPr>
      </w:pPr>
    </w:p>
    <w:p w14:paraId="13B95AC0">
      <w:pPr>
        <w:rPr>
          <w:rFonts w:ascii="Times New Roman" w:hAnsi="Times New Roman" w:eastAsia="Times New Roman" w:cs="Times New Roman"/>
          <w:sz w:val="20"/>
          <w:szCs w:val="20"/>
        </w:rPr>
      </w:pPr>
    </w:p>
    <w:p w14:paraId="067836B5">
      <w:pPr>
        <w:rPr>
          <w:rFonts w:ascii="Times New Roman" w:hAnsi="Times New Roman" w:eastAsia="Times New Roman" w:cs="Times New Roman"/>
          <w:sz w:val="20"/>
          <w:szCs w:val="20"/>
        </w:rPr>
      </w:pPr>
    </w:p>
    <w:p w14:paraId="5D1AF46F">
      <w:pPr>
        <w:rPr>
          <w:rFonts w:ascii="Times New Roman" w:hAnsi="Times New Roman" w:eastAsia="Times New Roman" w:cs="Times New Roman"/>
          <w:sz w:val="20"/>
          <w:szCs w:val="20"/>
        </w:rPr>
      </w:pPr>
    </w:p>
    <w:p w14:paraId="799B957A">
      <w:pPr>
        <w:rPr>
          <w:rFonts w:ascii="Times New Roman" w:hAnsi="Times New Roman" w:eastAsia="Times New Roman" w:cs="Times New Roman"/>
          <w:sz w:val="20"/>
          <w:szCs w:val="20"/>
        </w:rPr>
      </w:pPr>
    </w:p>
    <w:p w14:paraId="03721FCC">
      <w:pPr>
        <w:rPr>
          <w:rFonts w:ascii="Times New Roman" w:hAnsi="Times New Roman" w:eastAsia="Times New Roman" w:cs="Times New Roman"/>
          <w:sz w:val="20"/>
          <w:szCs w:val="20"/>
        </w:rPr>
      </w:pPr>
    </w:p>
    <w:p w14:paraId="6570B282">
      <w:pPr>
        <w:spacing w:before="10"/>
        <w:rPr>
          <w:rFonts w:ascii="Times New Roman" w:hAnsi="Times New Roman" w:eastAsia="Times New Roman" w:cs="Times New Roman"/>
          <w:sz w:val="18"/>
          <w:szCs w:val="18"/>
        </w:rPr>
      </w:pPr>
    </w:p>
    <w:p w14:paraId="748D8C5B">
      <w:pPr>
        <w:pStyle w:val="2"/>
        <w:jc w:val="center"/>
        <w:rPr>
          <w:rFonts w:hint="eastAsia" w:ascii="Times New Roman" w:hAnsi="Times New Roman" w:eastAsiaTheme="minorEastAsia"/>
          <w:sz w:val="36"/>
          <w:szCs w:val="36"/>
          <w:lang w:eastAsia="zh-CN"/>
        </w:rPr>
        <w:sectPr>
          <w:type w:val="continuous"/>
          <w:pgSz w:w="11910" w:h="16850"/>
          <w:pgMar w:top="1600" w:right="1680" w:bottom="280" w:left="1680" w:header="720" w:footer="720" w:gutter="0"/>
          <w:cols w:space="720" w:num="1"/>
        </w:sectPr>
      </w:pPr>
      <w:r>
        <w:rPr>
          <w:rFonts w:ascii="Times New Roman" w:hAnsi="Times New Roman"/>
          <w:sz w:val="36"/>
          <w:szCs w:val="36"/>
          <w:lang w:eastAsia="zh-CN"/>
        </w:rPr>
        <w:t>可变换功能空间采用灵活隔断的比例计算书</w:t>
      </w:r>
    </w:p>
    <w:p w14:paraId="1AD766A3">
      <w:pPr>
        <w:pStyle w:val="2"/>
        <w:rPr>
          <w:rFonts w:ascii="Times New Roman" w:hAnsi="Times New Roman" w:eastAsiaTheme="minorEastAsia"/>
          <w:sz w:val="32"/>
          <w:szCs w:val="32"/>
          <w:lang w:eastAsia="zh-CN"/>
        </w:rPr>
      </w:pPr>
      <w:r>
        <w:rPr>
          <w:rFonts w:hint="eastAsia" w:ascii="Times New Roman" w:hAnsi="Times New Roman" w:cs="Times New Roman"/>
          <w:sz w:val="32"/>
          <w:szCs w:val="32"/>
          <w:lang w:eastAsia="zh-CN"/>
        </w:rPr>
        <w:t>1.</w:t>
      </w:r>
      <w:r>
        <w:rPr>
          <w:rFonts w:hint="eastAsia" w:ascii="Times New Roman" w:hAnsi="Times New Roman"/>
          <w:sz w:val="32"/>
          <w:szCs w:val="32"/>
          <w:lang w:eastAsia="zh-CN"/>
        </w:rPr>
        <w:t>计算概述</w:t>
      </w:r>
    </w:p>
    <w:p w14:paraId="3ED76EC7">
      <w:pPr>
        <w:pStyle w:val="2"/>
        <w:rPr>
          <w:rFonts w:hint="eastAsia" w:ascii="Times New Roman" w:hAnsi="Times New Roman" w:cs="Times New Roman" w:eastAsiaTheme="minorEastAsia"/>
          <w:lang w:eastAsia="zh-CN"/>
        </w:rPr>
      </w:pPr>
    </w:p>
    <w:p w14:paraId="270D35CF">
      <w:pPr>
        <w:tabs>
          <w:tab w:val="left" w:pos="605"/>
        </w:tabs>
        <w:rPr>
          <w:rStyle w:val="8"/>
          <w:rFonts w:ascii="Times New Roman" w:hAnsi="Times New Roman"/>
          <w:sz w:val="28"/>
          <w:szCs w:val="28"/>
        </w:rPr>
      </w:pPr>
      <w:r>
        <w:rPr>
          <w:rStyle w:val="8"/>
          <w:rFonts w:hint="eastAsia" w:ascii="Times New Roman" w:hAnsi="Times New Roman"/>
          <w:sz w:val="28"/>
          <w:szCs w:val="28"/>
          <w:lang w:eastAsia="zh-CN"/>
        </w:rPr>
        <w:t>1.1.项目概况</w:t>
      </w:r>
    </w:p>
    <w:p w14:paraId="04AE047F">
      <w:pPr>
        <w:tabs>
          <w:tab w:val="left" w:pos="605"/>
        </w:tabs>
        <w:rPr>
          <w:rFonts w:hint="eastAsia" w:ascii="Times New Roman" w:hAnsi="Times New Roman" w:eastAsia="Times New Roman" w:cs="Times New Roman"/>
          <w:sz w:val="20"/>
          <w:szCs w:val="20"/>
          <w:lang w:eastAsia="zh-CN"/>
        </w:rPr>
      </w:pPr>
    </w:p>
    <w:p w14:paraId="02AB0A36">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乌兰哈达火山公园充电站项目选址位于内蒙古自治区乌兰哈达火山地质公园内，紧邻三号火山。项目总建筑面积3500平方米，地上两层，主要功能包括：酒店客房、餐饮服务、休息区、火山文化展览、充电设施配套等。建筑采用红砖砌筑，屋顶铺设光伏发电玻璃，是集绿色能源、旅游服务与火山文化体验于一体的综合性建筑。</w:t>
      </w:r>
    </w:p>
    <w:p w14:paraId="5B5D724C">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项目地处严寒C区，建筑强调被动式节能与主动式光伏相结合，同时在室内空间设计上注重功能灵活可变，以适应不同季节游客流量的变化及未来使用需求的调整。</w:t>
      </w:r>
    </w:p>
    <w:p w14:paraId="1B2F5EF8">
      <w:pPr>
        <w:tabs>
          <w:tab w:val="left" w:pos="605"/>
        </w:tabs>
        <w:spacing w:line="360" w:lineRule="auto"/>
        <w:rPr>
          <w:rFonts w:ascii="Times New Roman" w:hAnsi="Times New Roman" w:cs="宋体"/>
          <w:sz w:val="21"/>
          <w:szCs w:val="21"/>
          <w:lang w:eastAsia="zh-CN"/>
        </w:rPr>
      </w:pPr>
    </w:p>
    <w:p w14:paraId="31C1045A">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1.2.计算目的</w:t>
      </w:r>
    </w:p>
    <w:p w14:paraId="69B12E0C">
      <w:pPr>
        <w:tabs>
          <w:tab w:val="left" w:pos="605"/>
        </w:tabs>
        <w:rPr>
          <w:rStyle w:val="8"/>
          <w:rFonts w:hint="eastAsia" w:ascii="Times New Roman" w:hAnsi="Times New Roman"/>
          <w:sz w:val="28"/>
          <w:szCs w:val="28"/>
          <w:lang w:eastAsia="zh-CN"/>
        </w:rPr>
      </w:pPr>
    </w:p>
    <w:p w14:paraId="1AEE0009">
      <w:pPr>
        <w:tabs>
          <w:tab w:val="left" w:pos="290"/>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判断本项目是否满足《绿色建筑评价标准》GB/T 50378-2019 第4.2.6条“采取提升建筑适变性的措施”中，关于“采用灵活隔断的比例”相关要求，并计算该项得分。</w:t>
      </w:r>
    </w:p>
    <w:p w14:paraId="4E8210D8">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1.3.计算依据</w:t>
      </w:r>
    </w:p>
    <w:p w14:paraId="351E7F9F">
      <w:pPr>
        <w:pStyle w:val="2"/>
        <w:rPr>
          <w:rFonts w:ascii="Times New Roman" w:hAnsi="Times New Roman" w:cs="宋体"/>
          <w:sz w:val="21"/>
          <w:szCs w:val="21"/>
          <w:lang w:eastAsia="zh-CN"/>
        </w:rPr>
      </w:pPr>
    </w:p>
    <w:p w14:paraId="5C4BABC6">
      <w:pPr>
        <w:pStyle w:val="2"/>
        <w:rPr>
          <w:rFonts w:ascii="Times New Roman" w:hAnsi="Times New Roman" w:cs="宋体"/>
          <w:b w:val="0"/>
          <w:bCs w:val="0"/>
          <w:sz w:val="21"/>
          <w:szCs w:val="21"/>
          <w:lang w:eastAsia="zh-CN"/>
        </w:rPr>
      </w:pPr>
      <w:r>
        <w:rPr>
          <w:rFonts w:ascii="Times New Roman" w:hAnsi="Times New Roman" w:cs="宋体"/>
          <w:b w:val="0"/>
          <w:bCs w:val="0"/>
          <w:sz w:val="21"/>
          <w:szCs w:val="21"/>
          <w:lang w:eastAsia="zh-CN"/>
        </w:rPr>
        <w:t>《绿色建筑评价标准》GB/T 50378-2019</w:t>
      </w:r>
    </w:p>
    <w:p w14:paraId="6CF483EF">
      <w:pPr>
        <w:pStyle w:val="2"/>
        <w:rPr>
          <w:rFonts w:ascii="Times New Roman" w:hAnsi="Times New Roman" w:cs="宋体"/>
          <w:b w:val="0"/>
          <w:bCs w:val="0"/>
          <w:sz w:val="21"/>
          <w:szCs w:val="21"/>
          <w:lang w:eastAsia="zh-CN"/>
        </w:rPr>
      </w:pPr>
      <w:r>
        <w:rPr>
          <w:rFonts w:hint="default" w:ascii="Times New Roman" w:hAnsi="Times New Roman" w:cs="宋体"/>
          <w:b w:val="0"/>
          <w:bCs w:val="0"/>
          <w:sz w:val="21"/>
          <w:szCs w:val="21"/>
          <w:lang w:eastAsia="zh-CN"/>
        </w:rPr>
        <w:t>《绿色建筑评价技术细则》</w:t>
      </w:r>
    </w:p>
    <w:p w14:paraId="3D9CBFEC">
      <w:pPr>
        <w:pStyle w:val="2"/>
        <w:rPr>
          <w:rFonts w:ascii="Times New Roman" w:hAnsi="Times New Roman" w:cs="宋体"/>
          <w:b w:val="0"/>
          <w:bCs w:val="0"/>
          <w:sz w:val="21"/>
          <w:szCs w:val="21"/>
          <w:lang w:eastAsia="zh-CN"/>
        </w:rPr>
      </w:pPr>
      <w:r>
        <w:rPr>
          <w:rFonts w:hint="default" w:ascii="Times New Roman" w:hAnsi="Times New Roman" w:cs="宋体"/>
          <w:b w:val="0"/>
          <w:bCs w:val="0"/>
          <w:sz w:val="21"/>
          <w:szCs w:val="21"/>
          <w:lang w:eastAsia="zh-CN"/>
        </w:rPr>
        <w:t>业主提供的建筑施工图及室内设计文件</w:t>
      </w:r>
    </w:p>
    <w:p w14:paraId="0F6A23C0">
      <w:pPr>
        <w:pStyle w:val="2"/>
        <w:rPr>
          <w:rFonts w:ascii="Times New Roman" w:hAnsi="Times New Roman" w:cs="宋体"/>
          <w:sz w:val="21"/>
          <w:szCs w:val="21"/>
          <w:lang w:eastAsia="zh-CN"/>
        </w:rPr>
      </w:pPr>
      <w:r>
        <w:rPr>
          <w:rFonts w:hint="default" w:ascii="Times New Roman" w:hAnsi="Times New Roman" w:cs="宋体"/>
          <w:b w:val="0"/>
          <w:bCs w:val="0"/>
          <w:sz w:val="21"/>
          <w:szCs w:val="21"/>
          <w:lang w:eastAsia="zh-CN"/>
        </w:rPr>
        <w:t>本项目功能空间布局设计说明</w:t>
      </w:r>
    </w:p>
    <w:p w14:paraId="72140119">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2.计算分析</w:t>
      </w:r>
    </w:p>
    <w:p w14:paraId="12D9C69D">
      <w:pPr>
        <w:pStyle w:val="2"/>
        <w:rPr>
          <w:rFonts w:hint="eastAsia" w:ascii="Times New Roman" w:hAnsi="Times New Roman" w:cs="Times New Roman" w:eastAsiaTheme="minorEastAsia"/>
          <w:sz w:val="32"/>
          <w:szCs w:val="32"/>
          <w:lang w:eastAsia="zh-CN"/>
        </w:rPr>
      </w:pPr>
    </w:p>
    <w:p w14:paraId="73A99024">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2.1.可变换功能的室内空间</w:t>
      </w:r>
    </w:p>
    <w:p w14:paraId="4C0F97AC">
      <w:pPr>
        <w:tabs>
          <w:tab w:val="left" w:pos="605"/>
        </w:tabs>
        <w:rPr>
          <w:rStyle w:val="8"/>
          <w:rFonts w:hint="eastAsia" w:ascii="Times New Roman" w:hAnsi="Times New Roman"/>
          <w:sz w:val="28"/>
          <w:szCs w:val="28"/>
          <w:lang w:eastAsia="zh-CN"/>
        </w:rPr>
      </w:pPr>
    </w:p>
    <w:p w14:paraId="3EA95C47">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功能的室内空间是指：在不改变主体结构的前提下，可进行空间功能调整的区域。其计算方式为：各层总建筑面积减去不可改变功能的室内空间（包括楼梯间、电梯井、卫生间、设备用房、公共管井、配电间、固定厨房等）。</w:t>
      </w:r>
    </w:p>
    <w:p w14:paraId="5F3957FA">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本项目地上两层，各层建筑面积及不可变换功能空间面积如下：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1"/>
        <w:gridCol w:w="2133"/>
        <w:gridCol w:w="2886"/>
        <w:gridCol w:w="2690"/>
      </w:tblGrid>
      <w:tr w14:paraId="6B87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4B4D0680">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楼层</w:t>
            </w:r>
          </w:p>
        </w:tc>
        <w:tc>
          <w:tcPr>
            <w:tcW w:w="0" w:type="auto"/>
            <w:tcBorders>
              <w:top w:val="nil"/>
            </w:tcBorders>
            <w:shd w:val="clear"/>
            <w:tcMar>
              <w:top w:w="100" w:type="dxa"/>
              <w:left w:w="160" w:type="dxa"/>
              <w:bottom w:w="100" w:type="dxa"/>
              <w:right w:w="160" w:type="dxa"/>
            </w:tcMar>
            <w:vAlign w:val="center"/>
          </w:tcPr>
          <w:p w14:paraId="1D3F7087">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建筑面积（㎡）</w:t>
            </w:r>
          </w:p>
        </w:tc>
        <w:tc>
          <w:tcPr>
            <w:tcW w:w="0" w:type="auto"/>
            <w:tcBorders>
              <w:top w:val="nil"/>
            </w:tcBorders>
            <w:shd w:val="clear"/>
            <w:tcMar>
              <w:top w:w="100" w:type="dxa"/>
              <w:left w:w="160" w:type="dxa"/>
              <w:bottom w:w="100" w:type="dxa"/>
              <w:right w:w="160" w:type="dxa"/>
            </w:tcMar>
            <w:vAlign w:val="center"/>
          </w:tcPr>
          <w:p w14:paraId="63888B9F">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不可变换功能空间（㎡）</w:t>
            </w:r>
          </w:p>
        </w:tc>
        <w:tc>
          <w:tcPr>
            <w:tcW w:w="0" w:type="auto"/>
            <w:tcBorders>
              <w:top w:val="nil"/>
            </w:tcBorders>
            <w:shd w:val="clear"/>
            <w:tcMar>
              <w:top w:w="100" w:type="dxa"/>
              <w:left w:w="160" w:type="dxa"/>
              <w:bottom w:w="100" w:type="dxa"/>
              <w:right w:w="160" w:type="dxa"/>
            </w:tcMar>
            <w:vAlign w:val="center"/>
          </w:tcPr>
          <w:p w14:paraId="767F73E0">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可变换功能空间（㎡）</w:t>
            </w:r>
          </w:p>
        </w:tc>
      </w:tr>
      <w:tr w14:paraId="0519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F55130C">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一层</w:t>
            </w:r>
          </w:p>
        </w:tc>
        <w:tc>
          <w:tcPr>
            <w:tcW w:w="0" w:type="auto"/>
            <w:shd w:val="clear"/>
            <w:tcMar>
              <w:top w:w="100" w:type="dxa"/>
              <w:left w:w="160" w:type="dxa"/>
              <w:bottom w:w="100" w:type="dxa"/>
              <w:right w:w="160" w:type="dxa"/>
            </w:tcMar>
            <w:vAlign w:val="center"/>
          </w:tcPr>
          <w:p w14:paraId="4E5A504A">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1750</w:t>
            </w:r>
          </w:p>
        </w:tc>
        <w:tc>
          <w:tcPr>
            <w:tcW w:w="0" w:type="auto"/>
            <w:shd w:val="clear"/>
            <w:tcMar>
              <w:top w:w="100" w:type="dxa"/>
              <w:left w:w="160" w:type="dxa"/>
              <w:bottom w:w="100" w:type="dxa"/>
              <w:right w:w="160" w:type="dxa"/>
            </w:tcMar>
            <w:vAlign w:val="center"/>
          </w:tcPr>
          <w:p w14:paraId="680D59D4">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390</w:t>
            </w:r>
          </w:p>
        </w:tc>
        <w:tc>
          <w:tcPr>
            <w:tcW w:w="0" w:type="auto"/>
            <w:shd w:val="clear"/>
            <w:tcMar>
              <w:top w:w="100" w:type="dxa"/>
              <w:left w:w="160" w:type="dxa"/>
              <w:bottom w:w="100" w:type="dxa"/>
              <w:right w:w="0" w:type="dxa"/>
            </w:tcMar>
            <w:vAlign w:val="center"/>
          </w:tcPr>
          <w:p w14:paraId="2BD7FDC9">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1360</w:t>
            </w:r>
          </w:p>
        </w:tc>
      </w:tr>
      <w:tr w14:paraId="5572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7EC4F07">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二层</w:t>
            </w:r>
          </w:p>
        </w:tc>
        <w:tc>
          <w:tcPr>
            <w:tcW w:w="0" w:type="auto"/>
            <w:shd w:val="clear"/>
            <w:tcMar>
              <w:top w:w="100" w:type="dxa"/>
              <w:left w:w="160" w:type="dxa"/>
              <w:bottom w:w="100" w:type="dxa"/>
              <w:right w:w="160" w:type="dxa"/>
            </w:tcMar>
            <w:vAlign w:val="center"/>
          </w:tcPr>
          <w:p w14:paraId="47984E1D">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1750</w:t>
            </w:r>
          </w:p>
        </w:tc>
        <w:tc>
          <w:tcPr>
            <w:tcW w:w="0" w:type="auto"/>
            <w:shd w:val="clear"/>
            <w:tcMar>
              <w:top w:w="100" w:type="dxa"/>
              <w:left w:w="160" w:type="dxa"/>
              <w:bottom w:w="100" w:type="dxa"/>
              <w:right w:w="160" w:type="dxa"/>
            </w:tcMar>
            <w:vAlign w:val="center"/>
          </w:tcPr>
          <w:p w14:paraId="445DCCF4">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385</w:t>
            </w:r>
          </w:p>
        </w:tc>
        <w:tc>
          <w:tcPr>
            <w:tcW w:w="0" w:type="auto"/>
            <w:shd w:val="clear"/>
            <w:tcMar>
              <w:top w:w="100" w:type="dxa"/>
              <w:left w:w="160" w:type="dxa"/>
              <w:bottom w:w="100" w:type="dxa"/>
              <w:right w:w="0" w:type="dxa"/>
            </w:tcMar>
            <w:vAlign w:val="center"/>
          </w:tcPr>
          <w:p w14:paraId="4C72A8AC">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1365</w:t>
            </w:r>
          </w:p>
        </w:tc>
      </w:tr>
      <w:tr w14:paraId="4BAA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EE73587">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合计</w:t>
            </w:r>
          </w:p>
        </w:tc>
        <w:tc>
          <w:tcPr>
            <w:tcW w:w="0" w:type="auto"/>
            <w:shd w:val="clear"/>
            <w:tcMar>
              <w:top w:w="100" w:type="dxa"/>
              <w:left w:w="160" w:type="dxa"/>
              <w:bottom w:w="100" w:type="dxa"/>
              <w:right w:w="160" w:type="dxa"/>
            </w:tcMar>
            <w:vAlign w:val="center"/>
          </w:tcPr>
          <w:p w14:paraId="78DE34F0">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3500</w:t>
            </w:r>
          </w:p>
        </w:tc>
        <w:tc>
          <w:tcPr>
            <w:tcW w:w="0" w:type="auto"/>
            <w:shd w:val="clear"/>
            <w:tcMar>
              <w:top w:w="100" w:type="dxa"/>
              <w:left w:w="160" w:type="dxa"/>
              <w:bottom w:w="100" w:type="dxa"/>
              <w:right w:w="160" w:type="dxa"/>
            </w:tcMar>
            <w:vAlign w:val="center"/>
          </w:tcPr>
          <w:p w14:paraId="05A3B7CE">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775</w:t>
            </w:r>
          </w:p>
        </w:tc>
        <w:tc>
          <w:tcPr>
            <w:tcW w:w="0" w:type="auto"/>
            <w:shd w:val="clear"/>
            <w:tcMar>
              <w:top w:w="100" w:type="dxa"/>
              <w:left w:w="160" w:type="dxa"/>
              <w:bottom w:w="100" w:type="dxa"/>
              <w:right w:w="0" w:type="dxa"/>
            </w:tcMar>
            <w:vAlign w:val="center"/>
          </w:tcPr>
          <w:p w14:paraId="4676B2E9">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2725</w:t>
            </w:r>
          </w:p>
        </w:tc>
      </w:tr>
    </w:tbl>
    <w:p w14:paraId="4B011195">
      <w:pPr>
        <w:tabs>
          <w:tab w:val="left" w:pos="605"/>
        </w:tabs>
        <w:spacing w:line="360" w:lineRule="auto"/>
        <w:ind w:firstLine="420" w:firstLineChars="200"/>
        <w:rPr>
          <w:rFonts w:ascii="Times New Roman" w:hAnsi="Times New Roman" w:cs="宋体"/>
          <w:sz w:val="21"/>
          <w:szCs w:val="21"/>
          <w:lang w:eastAsia="zh-CN"/>
        </w:rPr>
      </w:pPr>
    </w:p>
    <w:p w14:paraId="3F99F85C">
      <w:pPr>
        <w:tabs>
          <w:tab w:val="left" w:pos="605"/>
        </w:tabs>
        <w:spacing w:line="360" w:lineRule="auto"/>
        <w:ind w:firstLine="420" w:firstLineChars="200"/>
        <w:rPr>
          <w:rFonts w:ascii="Times New Roman" w:hAnsi="Times New Roman" w:cs="宋体"/>
          <w:sz w:val="21"/>
          <w:szCs w:val="21"/>
          <w:lang w:eastAsia="zh-CN"/>
        </w:rPr>
      </w:pPr>
    </w:p>
    <w:p w14:paraId="3B971562">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2.2.灵活隔断的室内空间</w:t>
      </w:r>
    </w:p>
    <w:p w14:paraId="059A056E">
      <w:pPr>
        <w:tabs>
          <w:tab w:val="left" w:pos="605"/>
        </w:tabs>
        <w:rPr>
          <w:rStyle w:val="8"/>
          <w:rFonts w:hint="eastAsia" w:ascii="Times New Roman" w:hAnsi="Times New Roman"/>
          <w:sz w:val="28"/>
          <w:szCs w:val="28"/>
          <w:lang w:eastAsia="zh-CN"/>
        </w:rPr>
      </w:pPr>
    </w:p>
    <w:p w14:paraId="3EAD3EDB">
      <w:pPr>
        <w:tabs>
          <w:tab w:val="left" w:pos="605"/>
        </w:tabs>
        <w:rPr>
          <w:rFonts w:ascii="Times New Roman" w:hAnsi="Times New Roman" w:cs="宋体"/>
          <w:sz w:val="21"/>
          <w:szCs w:val="21"/>
          <w:lang w:eastAsia="zh-CN"/>
        </w:rPr>
      </w:pPr>
      <w:r>
        <w:rPr>
          <w:rFonts w:hint="default" w:ascii="Times New Roman" w:hAnsi="Times New Roman" w:cs="宋体"/>
          <w:sz w:val="21"/>
          <w:szCs w:val="21"/>
          <w:lang w:eastAsia="zh-CN"/>
        </w:rPr>
        <w:t>本项目在可变换功能空间内，优先采用大开间布局，对于需要灵活分隔的区域，选用 活动隔断（移动折叠隔断）或玻璃隔断（带门）作为灵活隔断措施。这些隔断可随时拆装或推移，实现空间功能的快速转换。</w:t>
      </w:r>
    </w:p>
    <w:p w14:paraId="04BD1B21">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eastAsia="zh-CN"/>
        </w:rPr>
        <w:t>各层采用灵活隔断的面积统计如下：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8"/>
        <w:gridCol w:w="1656"/>
        <w:gridCol w:w="5416"/>
      </w:tblGrid>
      <w:tr w14:paraId="6B32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0B35165">
            <w:pPr>
              <w:tabs>
                <w:tab w:val="left" w:pos="605"/>
              </w:tabs>
              <w:rPr>
                <w:rFonts w:ascii="Times New Roman" w:hAnsi="Times New Roman" w:cs="宋体"/>
                <w:sz w:val="21"/>
                <w:szCs w:val="21"/>
                <w:lang w:eastAsia="zh-CN"/>
              </w:rPr>
            </w:pPr>
            <w:r>
              <w:rPr>
                <w:rFonts w:hint="default" w:ascii="Times New Roman" w:hAnsi="Times New Roman" w:cs="宋体"/>
                <w:sz w:val="21"/>
                <w:szCs w:val="21"/>
                <w:lang w:val="en-US" w:eastAsia="zh-CN"/>
              </w:rPr>
              <w:t>楼层</w:t>
            </w:r>
          </w:p>
        </w:tc>
        <w:tc>
          <w:tcPr>
            <w:tcW w:w="0" w:type="auto"/>
            <w:tcBorders>
              <w:top w:val="nil"/>
            </w:tcBorders>
            <w:shd w:val="clear"/>
            <w:tcMar>
              <w:top w:w="100" w:type="dxa"/>
              <w:left w:w="160" w:type="dxa"/>
              <w:bottom w:w="100" w:type="dxa"/>
              <w:right w:w="160" w:type="dxa"/>
            </w:tcMar>
            <w:vAlign w:val="center"/>
          </w:tcPr>
          <w:p w14:paraId="33D5CE47">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采用灵活隔断的面积（㎡）</w:t>
            </w:r>
          </w:p>
        </w:tc>
        <w:tc>
          <w:tcPr>
            <w:tcW w:w="0" w:type="auto"/>
            <w:tcBorders>
              <w:top w:val="nil"/>
            </w:tcBorders>
            <w:shd w:val="clear"/>
            <w:tcMar>
              <w:top w:w="100" w:type="dxa"/>
              <w:left w:w="160" w:type="dxa"/>
              <w:bottom w:w="100" w:type="dxa"/>
              <w:right w:w="160" w:type="dxa"/>
            </w:tcMar>
            <w:vAlign w:val="center"/>
          </w:tcPr>
          <w:p w14:paraId="18A16059">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具体部位及隔断类型</w:t>
            </w:r>
          </w:p>
        </w:tc>
      </w:tr>
      <w:tr w14:paraId="19BC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4C694C6">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一层</w:t>
            </w:r>
          </w:p>
        </w:tc>
        <w:tc>
          <w:tcPr>
            <w:tcW w:w="0" w:type="auto"/>
            <w:shd w:val="clear"/>
            <w:tcMar>
              <w:top w:w="100" w:type="dxa"/>
              <w:left w:w="160" w:type="dxa"/>
              <w:bottom w:w="100" w:type="dxa"/>
              <w:right w:w="160" w:type="dxa"/>
            </w:tcMar>
            <w:vAlign w:val="center"/>
          </w:tcPr>
          <w:p w14:paraId="1ACF45ED">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860</w:t>
            </w:r>
          </w:p>
        </w:tc>
        <w:tc>
          <w:tcPr>
            <w:tcW w:w="0" w:type="auto"/>
            <w:shd w:val="clear"/>
            <w:tcMar>
              <w:top w:w="100" w:type="dxa"/>
              <w:left w:w="160" w:type="dxa"/>
              <w:bottom w:w="100" w:type="dxa"/>
              <w:right w:w="0" w:type="dxa"/>
            </w:tcMar>
            <w:vAlign w:val="center"/>
          </w:tcPr>
          <w:p w14:paraId="505E882E">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餐厅与休息区之间设活动隔断（可合并为大宴会厅）；展览厅内设移动展墙（灵活划分展区）；多功能厅设活动隔断（可分隔为小型会议室）</w:t>
            </w:r>
          </w:p>
        </w:tc>
      </w:tr>
      <w:tr w14:paraId="5682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97432F6">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二层</w:t>
            </w:r>
          </w:p>
        </w:tc>
        <w:tc>
          <w:tcPr>
            <w:tcW w:w="0" w:type="auto"/>
            <w:shd w:val="clear"/>
            <w:tcMar>
              <w:top w:w="100" w:type="dxa"/>
              <w:left w:w="160" w:type="dxa"/>
              <w:bottom w:w="100" w:type="dxa"/>
              <w:right w:w="160" w:type="dxa"/>
            </w:tcMar>
            <w:vAlign w:val="center"/>
          </w:tcPr>
          <w:p w14:paraId="465A55E9">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845</w:t>
            </w:r>
          </w:p>
        </w:tc>
        <w:tc>
          <w:tcPr>
            <w:tcW w:w="0" w:type="auto"/>
            <w:shd w:val="clear"/>
            <w:tcMar>
              <w:top w:w="100" w:type="dxa"/>
              <w:left w:w="160" w:type="dxa"/>
              <w:bottom w:w="100" w:type="dxa"/>
              <w:right w:w="0" w:type="dxa"/>
            </w:tcMar>
            <w:vAlign w:val="center"/>
          </w:tcPr>
          <w:p w14:paraId="25F1E7A8">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酒店客房区部分相邻客房设可拆装轻质隔墙（可根据需要合并为套房）；休闲区设玻璃隔断（可分可合）</w:t>
            </w:r>
          </w:p>
        </w:tc>
      </w:tr>
      <w:tr w14:paraId="4734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A1D8D6A">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合计</w:t>
            </w:r>
          </w:p>
        </w:tc>
        <w:tc>
          <w:tcPr>
            <w:tcW w:w="0" w:type="auto"/>
            <w:shd w:val="clear"/>
            <w:tcMar>
              <w:top w:w="100" w:type="dxa"/>
              <w:left w:w="160" w:type="dxa"/>
              <w:bottom w:w="100" w:type="dxa"/>
              <w:right w:w="160" w:type="dxa"/>
            </w:tcMar>
            <w:vAlign w:val="center"/>
          </w:tcPr>
          <w:p w14:paraId="5E6D633A">
            <w:pPr>
              <w:tabs>
                <w:tab w:val="left" w:pos="605"/>
              </w:tabs>
              <w:rPr>
                <w:rFonts w:hint="default" w:ascii="Times New Roman" w:hAnsi="Times New Roman" w:cs="宋体"/>
                <w:sz w:val="21"/>
                <w:szCs w:val="21"/>
                <w:lang w:eastAsia="zh-CN"/>
              </w:rPr>
            </w:pPr>
            <w:r>
              <w:rPr>
                <w:rFonts w:hint="default" w:ascii="Times New Roman" w:hAnsi="Times New Roman" w:cs="宋体"/>
                <w:sz w:val="21"/>
                <w:szCs w:val="21"/>
                <w:lang w:val="en-US" w:eastAsia="zh-CN"/>
              </w:rPr>
              <w:t>1705</w:t>
            </w:r>
          </w:p>
        </w:tc>
        <w:tc>
          <w:tcPr>
            <w:tcW w:w="0" w:type="auto"/>
            <w:shd w:val="clear"/>
            <w:tcMar>
              <w:top w:w="100" w:type="dxa"/>
              <w:left w:w="160" w:type="dxa"/>
              <w:bottom w:w="100" w:type="dxa"/>
              <w:right w:w="0" w:type="dxa"/>
            </w:tcMar>
            <w:vAlign w:val="center"/>
          </w:tcPr>
          <w:p w14:paraId="43571AFC">
            <w:pPr>
              <w:tabs>
                <w:tab w:val="left" w:pos="605"/>
              </w:tabs>
              <w:rPr>
                <w:rFonts w:hint="default" w:ascii="Times New Roman" w:hAnsi="Times New Roman" w:cs="宋体"/>
                <w:sz w:val="21"/>
                <w:szCs w:val="21"/>
                <w:lang w:eastAsia="zh-CN"/>
              </w:rPr>
            </w:pPr>
          </w:p>
        </w:tc>
      </w:tr>
    </w:tbl>
    <w:p w14:paraId="1EB6AF15">
      <w:pPr>
        <w:tabs>
          <w:tab w:val="left" w:pos="605"/>
        </w:tabs>
        <w:rPr>
          <w:rStyle w:val="8"/>
          <w:rFonts w:ascii="Times New Roman" w:hAnsi="Times New Roman"/>
          <w:sz w:val="28"/>
          <w:szCs w:val="28"/>
          <w:lang w:eastAsia="zh-CN"/>
        </w:rPr>
      </w:pPr>
    </w:p>
    <w:p w14:paraId="5F1B04E9">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2.3.灵活隔断的面积比例</w:t>
      </w:r>
    </w:p>
    <w:p w14:paraId="2F1C9AE4">
      <w:pPr>
        <w:tabs>
          <w:tab w:val="left" w:pos="605"/>
        </w:tabs>
        <w:rPr>
          <w:rStyle w:val="8"/>
          <w:rFonts w:hint="eastAsia" w:ascii="Times New Roman" w:hAnsi="Times New Roman"/>
          <w:sz w:val="28"/>
          <w:szCs w:val="28"/>
          <w:lang w:eastAsia="zh-CN"/>
        </w:rPr>
      </w:pPr>
      <w:r>
        <w:drawing>
          <wp:inline distT="0" distB="0" distL="114300" distR="114300">
            <wp:extent cx="4648200" cy="15716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48200" cy="1571625"/>
                    </a:xfrm>
                    <a:prstGeom prst="rect">
                      <a:avLst/>
                    </a:prstGeom>
                    <a:noFill/>
                    <a:ln>
                      <a:noFill/>
                    </a:ln>
                  </pic:spPr>
                </pic:pic>
              </a:graphicData>
            </a:graphic>
          </wp:inline>
        </w:drawing>
      </w:r>
    </w:p>
    <w:p w14:paraId="517E66DB">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3.结论</w:t>
      </w:r>
    </w:p>
    <w:p w14:paraId="07E9EE12">
      <w:pPr>
        <w:pStyle w:val="2"/>
        <w:rPr>
          <w:rFonts w:hint="eastAsia" w:ascii="Times New Roman" w:hAnsi="Times New Roman" w:cs="Times New Roman" w:eastAsiaTheme="minorEastAsia"/>
          <w:sz w:val="32"/>
          <w:szCs w:val="32"/>
          <w:lang w:eastAsia="zh-CN"/>
        </w:rPr>
      </w:pPr>
    </w:p>
    <w:p w14:paraId="403AFD8A">
      <w:pPr>
        <w:pStyle w:val="4"/>
        <w:keepNext w:val="0"/>
        <w:keepLines w:val="0"/>
        <w:widowControl/>
        <w:suppressLineNumbers w:val="0"/>
        <w:shd w:val="clear" w:fill="FFFFFF"/>
        <w:spacing w:before="160" w:beforeAutospacing="0" w:after="160" w:afterAutospacing="0"/>
        <w:ind w:left="0" w:right="0" w:firstLine="0"/>
        <w:rPr>
          <w:rFonts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根据《绿色建筑评价标准》GB/T 50378-2019 </w:t>
      </w:r>
      <w:r>
        <w:rPr>
          <w:rStyle w:val="8"/>
          <w:rFonts w:hint="default" w:ascii="Segoe UI" w:hAnsi="Segoe UI" w:eastAsia="Segoe UI" w:cs="Segoe UI"/>
          <w:b/>
          <w:bCs/>
          <w:i w:val="0"/>
          <w:iCs w:val="0"/>
          <w:caps w:val="0"/>
          <w:color w:val="0F1115"/>
          <w:spacing w:val="0"/>
          <w:sz w:val="16"/>
          <w:szCs w:val="16"/>
          <w:shd w:val="clear" w:fill="FFFFFF"/>
        </w:rPr>
        <w:t>第4.2.6条“采取提升建筑适变性的措施”</w:t>
      </w:r>
      <w:r>
        <w:rPr>
          <w:rFonts w:hint="default" w:ascii="Segoe UI" w:hAnsi="Segoe UI" w:eastAsia="Segoe UI" w:cs="Segoe UI"/>
          <w:i w:val="0"/>
          <w:iCs w:val="0"/>
          <w:caps w:val="0"/>
          <w:color w:val="0F1115"/>
          <w:spacing w:val="0"/>
          <w:sz w:val="16"/>
          <w:szCs w:val="16"/>
          <w:shd w:val="clear" w:fill="FFFFFF"/>
        </w:rPr>
        <w:t>，评分规则如下：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84"/>
        <w:gridCol w:w="836"/>
      </w:tblGrid>
      <w:tr w14:paraId="73E4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0534FF85">
            <w:pPr>
              <w:keepNext w:val="0"/>
              <w:keepLines w:val="0"/>
              <w:widowControl/>
              <w:suppressLineNumbers w:val="0"/>
              <w:spacing w:line="250" w:lineRule="atLeast"/>
              <w:jc w:val="left"/>
              <w:rPr>
                <w:rFonts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评分项</w:t>
            </w:r>
          </w:p>
        </w:tc>
        <w:tc>
          <w:tcPr>
            <w:tcW w:w="0" w:type="auto"/>
            <w:tcBorders>
              <w:top w:val="nil"/>
            </w:tcBorders>
            <w:shd w:val="clear"/>
            <w:tcMar>
              <w:top w:w="100" w:type="dxa"/>
              <w:left w:w="160" w:type="dxa"/>
              <w:bottom w:w="100" w:type="dxa"/>
              <w:right w:w="160" w:type="dxa"/>
            </w:tcMar>
            <w:vAlign w:val="center"/>
          </w:tcPr>
          <w:p w14:paraId="0CDE0B9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得分</w:t>
            </w:r>
          </w:p>
        </w:tc>
      </w:tr>
      <w:tr w14:paraId="2A05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4624B3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采取通用开放、灵活可变的使用空间设计，或采取建筑使用功能可变措施</w:t>
            </w:r>
          </w:p>
        </w:tc>
        <w:tc>
          <w:tcPr>
            <w:tcW w:w="0" w:type="auto"/>
            <w:shd w:val="clear"/>
            <w:tcMar>
              <w:top w:w="100" w:type="dxa"/>
              <w:left w:w="160" w:type="dxa"/>
              <w:bottom w:w="100" w:type="dxa"/>
              <w:right w:w="0" w:type="dxa"/>
            </w:tcMar>
            <w:vAlign w:val="center"/>
          </w:tcPr>
          <w:p w14:paraId="5D8D11E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7分</w:t>
            </w:r>
          </w:p>
        </w:tc>
      </w:tr>
      <w:tr w14:paraId="715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A04200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采用与建筑功能和空间变化相适应的设备设施或管线分离技术</w:t>
            </w:r>
          </w:p>
        </w:tc>
        <w:tc>
          <w:tcPr>
            <w:tcW w:w="0" w:type="auto"/>
            <w:shd w:val="clear"/>
            <w:tcMar>
              <w:top w:w="100" w:type="dxa"/>
              <w:left w:w="160" w:type="dxa"/>
              <w:bottom w:w="100" w:type="dxa"/>
              <w:right w:w="0" w:type="dxa"/>
            </w:tcMar>
            <w:vAlign w:val="center"/>
          </w:tcPr>
          <w:p w14:paraId="218215D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4分</w:t>
            </w:r>
          </w:p>
        </w:tc>
      </w:tr>
      <w:tr w14:paraId="1C1B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664444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采用可更换、易维护的部品部件</w:t>
            </w:r>
          </w:p>
        </w:tc>
        <w:tc>
          <w:tcPr>
            <w:tcW w:w="0" w:type="auto"/>
            <w:shd w:val="clear"/>
            <w:tcMar>
              <w:top w:w="100" w:type="dxa"/>
              <w:left w:w="160" w:type="dxa"/>
              <w:bottom w:w="100" w:type="dxa"/>
              <w:right w:w="0" w:type="dxa"/>
            </w:tcMar>
            <w:vAlign w:val="center"/>
          </w:tcPr>
          <w:p w14:paraId="7FC44F1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4分</w:t>
            </w:r>
          </w:p>
        </w:tc>
      </w:tr>
      <w:tr w14:paraId="1ADE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090019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采用工业化内装部品</w:t>
            </w:r>
          </w:p>
        </w:tc>
        <w:tc>
          <w:tcPr>
            <w:tcW w:w="0" w:type="auto"/>
            <w:shd w:val="clear"/>
            <w:tcMar>
              <w:top w:w="100" w:type="dxa"/>
              <w:left w:w="160" w:type="dxa"/>
              <w:bottom w:w="100" w:type="dxa"/>
              <w:right w:w="0" w:type="dxa"/>
            </w:tcMar>
            <w:vAlign w:val="center"/>
          </w:tcPr>
          <w:p w14:paraId="6A92A9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3分</w:t>
            </w:r>
          </w:p>
        </w:tc>
      </w:tr>
    </w:tbl>
    <w:p w14:paraId="4DF724A6">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本项目在可变换功能空间（2725㎡）中，对 </w:t>
      </w:r>
      <w:r>
        <w:rPr>
          <w:rStyle w:val="8"/>
          <w:rFonts w:hint="default" w:ascii="Segoe UI" w:hAnsi="Segoe UI" w:eastAsia="Segoe UI" w:cs="Segoe UI"/>
          <w:b/>
          <w:bCs/>
          <w:i w:val="0"/>
          <w:iCs w:val="0"/>
          <w:caps w:val="0"/>
          <w:color w:val="0F1115"/>
          <w:spacing w:val="0"/>
          <w:sz w:val="16"/>
          <w:szCs w:val="16"/>
          <w:shd w:val="clear" w:fill="FFFFFF"/>
        </w:rPr>
        <w:t>1705㎡</w:t>
      </w:r>
      <w:r>
        <w:rPr>
          <w:rFonts w:hint="default" w:ascii="Segoe UI" w:hAnsi="Segoe UI" w:eastAsia="Segoe UI" w:cs="Segoe UI"/>
          <w:i w:val="0"/>
          <w:iCs w:val="0"/>
          <w:caps w:val="0"/>
          <w:color w:val="0F1115"/>
          <w:spacing w:val="0"/>
          <w:sz w:val="16"/>
          <w:szCs w:val="16"/>
          <w:shd w:val="clear" w:fill="FFFFFF"/>
        </w:rPr>
        <w:t> 采用了活动隔断、玻璃隔断等灵活隔断措施，</w:t>
      </w:r>
      <w:r>
        <w:rPr>
          <w:rStyle w:val="8"/>
          <w:rFonts w:hint="default" w:ascii="Segoe UI" w:hAnsi="Segoe UI" w:eastAsia="Segoe UI" w:cs="Segoe UI"/>
          <w:b/>
          <w:bCs/>
          <w:i w:val="0"/>
          <w:iCs w:val="0"/>
          <w:caps w:val="0"/>
          <w:color w:val="0F1115"/>
          <w:spacing w:val="0"/>
          <w:sz w:val="16"/>
          <w:szCs w:val="16"/>
          <w:shd w:val="clear" w:fill="FFFFFF"/>
        </w:rPr>
        <w:t>灵活隔断面积比例达到62.6%</w:t>
      </w:r>
      <w:r>
        <w:rPr>
          <w:rFonts w:hint="default" w:ascii="Segoe UI" w:hAnsi="Segoe UI" w:eastAsia="Segoe UI" w:cs="Segoe UI"/>
          <w:i w:val="0"/>
          <w:iCs w:val="0"/>
          <w:caps w:val="0"/>
          <w:color w:val="0F1115"/>
          <w:spacing w:val="0"/>
          <w:sz w:val="16"/>
          <w:szCs w:val="16"/>
          <w:shd w:val="clear" w:fill="FFFFFF"/>
        </w:rPr>
        <w:t>。同时，该区域采用大开间布局及可重组隔断系统，为后期功能调整提供了通用开放、灵活可变的使用空间。</w:t>
      </w:r>
    </w:p>
    <w:p w14:paraId="39B798AD">
      <w:pPr>
        <w:tabs>
          <w:tab w:val="left" w:pos="605"/>
        </w:tabs>
        <w:spacing w:line="360" w:lineRule="auto"/>
        <w:ind w:firstLine="420" w:firstLineChars="200"/>
        <w:rPr>
          <w:rFonts w:hint="eastAsia" w:ascii="Times New Roman" w:hAnsi="Times New Roman" w:cs="宋体"/>
          <w:sz w:val="21"/>
          <w:szCs w:val="21"/>
          <w:lang w:eastAsia="zh-CN"/>
        </w:rPr>
      </w:pPr>
      <w:bookmarkStart w:id="0" w:name="_GoBack"/>
      <w:bookmarkEnd w:id="0"/>
    </w:p>
    <w:sectPr>
      <w:pgSz w:w="11910" w:h="16850"/>
      <w:pgMar w:top="14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2"/>
  </w:compat>
  <w:rsids>
    <w:rsidRoot w:val="00E40C34"/>
    <w:rsid w:val="00022519"/>
    <w:rsid w:val="00897ADE"/>
    <w:rsid w:val="00900B4A"/>
    <w:rsid w:val="00E40C34"/>
    <w:rsid w:val="0534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outlineLvl w:val="0"/>
    </w:pPr>
    <w:rPr>
      <w:rFonts w:ascii="Microsoft JhengHei" w:hAnsi="Microsoft JhengHei" w:eastAsia="Microsoft JhengHei"/>
      <w:b/>
      <w:bCs/>
      <w:sz w:val="28"/>
      <w:szCs w:val="2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8"/>
      <w:ind w:left="120"/>
    </w:pPr>
    <w:rPr>
      <w:rFonts w:ascii="宋体" w:hAnsi="宋体" w:eastAsia="宋体"/>
      <w:sz w:val="23"/>
      <w:szCs w:val="23"/>
    </w:rPr>
  </w:style>
  <w:style w:type="paragraph" w:styleId="4">
    <w:name w:val="Normal (Web)"/>
    <w:basedOn w:val="1"/>
    <w:semiHidden/>
    <w:unhideWhenUsed/>
    <w:uiPriority w:val="99"/>
    <w:rPr>
      <w:sz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3A2E-A9D9-4CEE-89E0-DF0EBB613C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811</Words>
  <Characters>1046</Characters>
  <Lines>8</Lines>
  <Paragraphs>2</Paragraphs>
  <TotalTime>50</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2020-01-09T09:42:00Z</dcterms:created>
  <dc:creator>金晶</dc:creator>
  <cp:lastModifiedBy>贾璐琪</cp:lastModifiedBy>
  <dcterms:modified xsi:type="dcterms:W3CDTF">2026-03-22T06:51:40Z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2020-01-09T00:00:00Z</vt:filetime>
  </property>
  <property fmtid="{D5CDD505-2E9C-101B-9397-08002B2CF9AE}" pid="4" name="KSOTemplateDocerSaveRecord">
    <vt:lpwstr>eyJoZGlkIjoiZWY2NDRlMTZkMWY5MWUyYzk2ZWI4NDFiMjE2ZDUxMWYiLCJ1c2VySWQiOiI4MDkzNTAyMzYifQ==</vt:lpwstr>
  </property>
  <property fmtid="{D5CDD505-2E9C-101B-9397-08002B2CF9AE}" pid="5" name="KSOProductBuildVer">
    <vt:lpwstr>2052-12.1.0.25225</vt:lpwstr>
  </property>
  <property fmtid="{D5CDD505-2E9C-101B-9397-08002B2CF9AE}" pid="6" name="ICV">
    <vt:lpwstr>A283DE19686A43C2B4857372FFCDFCE2_12</vt:lpwstr>
  </property>
</Properties>
</file>