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建筑用电负荷调节比例计算书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：徽厅聚绿·天井承合——徽派建筑绿色营造智慧在城市会客厅设计的转译实践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计算单位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计算日期</w:t>
      </w:r>
      <w:r>
        <w:rPr>
          <w:rFonts w:eastAsia="等线" w:ascii="Arial" w:cs="Arial" w:hAnsi="Arial"/>
          <w:sz w:val="22"/>
        </w:rPr>
        <w:t>：2026年3月22日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计算人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批准人</w:t>
      </w:r>
      <w:r>
        <w:rPr>
          <w:rFonts w:eastAsia="等线" w:ascii="Arial" w:cs="Arial" w:hAnsi="Arial"/>
          <w:sz w:val="22"/>
        </w:rPr>
        <w:t>：陈萨如拉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城市会客厅公共建筑，位于安徽省合肥市，总建筑面积820㎡，地上2层，建筑高度9.6m。建筑用电负荷主要包括：空调系统（多联机+新风）、照明系统、办公设备、电梯及附属设备。项目采用智能用电管理系统，结合分时电价与需求响应策略，实现用电负荷的削峰填谷与柔性调节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二、计算依据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《民用建筑电气设计标准》GB 51348-2019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《建筑节能与可再生能源利用通用规范》GB 55015-2021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50378-2019（2024年版）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项目电气施工图、设备清单及运行数据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合肥市分时电价政策与电网需求响应要求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三、用电负荷统计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（一）各类用电负荷参数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负荷类型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设备容量(kW)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峰值负荷占比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可调潜力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空调系统（制冷/热泵）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夏季6-8月、冬季12-2月，白天8:00-22:00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高（可通过温度设定、变频调节）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新风/排风系统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全天运行，高峰8:00-22:00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中（可通过CO₂浓度联动调节风量）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照明系统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白天8:00-22:00，夜间应急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中（可通过自然光感应、分时控制调节亮度）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办公/展示设备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白天9:00-18:00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低（可错峰运行）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电梯及附属设备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全天运行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低（基本不可调）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合计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75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（二）典型日负荷曲线（夏季峰值日）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总负荷(kW)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空调负荷(kW)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照明负荷(kW)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其他负荷(kW)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00:00-06:00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06:00-08:00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08:00-12:00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12:00-14:00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14:00-18:00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18:00-22:00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22:00-24:00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峰值负荷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65 kW（14:00-18:00）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四、负荷调节策略与可调潜力分析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（一）可调负荷范围</w:t>
      </w:r>
      <w:bookmarkEnd w:id="6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可调节负荷</w:t>
      </w:r>
      <w:r>
        <w:rPr>
          <w:rFonts w:eastAsia="等线" w:ascii="Arial" w:cs="Arial" w:hAnsi="Arial"/>
          <w:sz w:val="22"/>
        </w:rPr>
        <w:t>：空调系统、新风系统、照明系统，合计容量65 kW。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不可调节负荷</w:t>
      </w:r>
      <w:r>
        <w:rPr>
          <w:rFonts w:eastAsia="等线" w:ascii="Arial" w:cs="Arial" w:hAnsi="Arial"/>
          <w:sz w:val="22"/>
        </w:rPr>
        <w:t>：办公/展示设备、电梯及附属设备，合计容量10 kW。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（二）调节策略</w:t>
      </w:r>
      <w:bookmarkEnd w:id="7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空调系统调节</w:t>
      </w:r>
      <w:r>
        <w:rPr>
          <w:rFonts w:eastAsia="等线" w:ascii="Arial" w:cs="Arial" w:hAnsi="Arial"/>
          <w:sz w:val="22"/>
        </w:rPr>
        <w:t>：在电网峰值时段（14:00-18:00），将室内温度设定值上调1-2℃（夏季）或下调1-2℃（冬季），结合变频调节，可降低空调负荷20%-30%。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新风系统调节</w:t>
      </w:r>
      <w:r>
        <w:rPr>
          <w:rFonts w:eastAsia="等线" w:ascii="Arial" w:cs="Arial" w:hAnsi="Arial"/>
          <w:sz w:val="22"/>
        </w:rPr>
        <w:t>：在峰值时段，将新风量降低至规范下限（按人员密度计算），通过CO₂浓度联动控制，可降低新风负荷30%-40%。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照明系统调节</w:t>
      </w:r>
      <w:r>
        <w:rPr>
          <w:rFonts w:eastAsia="等线" w:ascii="Arial" w:cs="Arial" w:hAnsi="Arial"/>
          <w:sz w:val="22"/>
        </w:rPr>
        <w:t>：在峰值时段，将人工照明亮度降低10%-20%，结合自然光感应自动调节，可降低照明负荷20%-25%。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错峰运行</w:t>
      </w:r>
      <w:r>
        <w:rPr>
          <w:rFonts w:eastAsia="等线" w:ascii="Arial" w:cs="Arial" w:hAnsi="Arial"/>
          <w:sz w:val="22"/>
        </w:rPr>
        <w:t>：将部分办公/展示设备（如展示屏、饮水机）的运行时段从峰值（14:00-18:00）调整至平峰（12:00-14:00、18:00-22:00）。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（三）可调负荷计算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负荷类型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可调容量(kW)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调节比例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可降低负荷(kW)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空调系统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11.25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新风系统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2.8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照明系统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2.64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办公/展示设备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0.7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合计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72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17.39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五、负荷调节比例计算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（一）核心公式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\text{负荷调节比例} = \frac{\text{峰值可降低负荷}}{\text{原峰值负荷}} \times 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]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（二）计算过程</w:t>
      </w:r>
      <w:bookmarkEnd w:id="11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原峰值负荷：</w:t>
      </w:r>
      <w:r>
        <w:rPr>
          <w:rFonts w:eastAsia="等线" w:ascii="Arial" w:cs="Arial" w:hAnsi="Arial"/>
          <w:sz w:val="22"/>
        </w:rPr>
      </w:r>
      <m:oMath>
        <m:r>
          <w:rPr>
            <w:rFonts w:ascii="Cambria Math" w:hAnsi="Cambria Math"/>
          </w:rPr>
          <w:t>P_{\text{原}} = 65 , \text{kW}</w:t>
        </m:r>
      </m:oMath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可降低负荷：</w:t>
      </w:r>
      <w:r>
        <w:rPr>
          <w:rFonts w:eastAsia="等线" w:ascii="Arial" w:cs="Arial" w:hAnsi="Arial"/>
          <w:sz w:val="22"/>
        </w:rPr>
      </w:r>
      <m:oMath>
        <m:r>
          <w:rPr>
            <w:rFonts w:ascii="Cambria Math" w:hAnsi="Cambria Math"/>
          </w:rPr>
          <w:t>\Delta P = 17.39 , \text{kW}</w:t>
        </m:r>
      </m:oMath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调节后峰值负荷：</w:t>
      </w:r>
      <w:r>
        <w:rPr>
          <w:rFonts w:eastAsia="等线" w:ascii="Arial" w:cs="Arial" w:hAnsi="Arial"/>
          <w:sz w:val="22"/>
        </w:rPr>
      </w:r>
      <m:oMath>
        <m:r>
          <w:rPr>
            <w:rFonts w:ascii="Cambria Math" w:hAnsi="Cambria Math"/>
          </w:rPr>
          <w:t>P_{\text{调后}} = 65 - 17.39 = 47.61 , \text{kW}</w:t>
        </m:r>
      </m:oMath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\text{负荷调节比例} = \frac{17.39}{65} \times 100% \approx 26.75%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]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（三）结果验证</w:t>
      </w:r>
      <w:bookmarkEnd w:id="12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调节后负荷曲线：峰值时段（14:00-18:00）负荷降至47.61 kW，峰谷差由55 kW缩小至37.61 kW，削峰效果显著。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满足绿色建筑评价标准中“用电负荷调节比例不低于15%”的要求，本项目调节比例为</w:t>
      </w:r>
      <w:r>
        <w:rPr>
          <w:rFonts w:eastAsia="等线" w:ascii="Arial" w:cs="Arial" w:hAnsi="Arial"/>
          <w:b w:val="true"/>
          <w:sz w:val="22"/>
        </w:rPr>
        <w:t>26.75%</w:t>
      </w:r>
      <w:r>
        <w:rPr>
          <w:rFonts w:eastAsia="等线" w:ascii="Arial" w:cs="Arial" w:hAnsi="Arial"/>
          <w:sz w:val="22"/>
        </w:rPr>
        <w:t>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六、节能与效益分析</w:t>
      </w:r>
      <w:bookmarkEnd w:id="13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削峰填谷</w:t>
      </w:r>
      <w:r>
        <w:rPr>
          <w:rFonts w:eastAsia="等线" w:ascii="Arial" w:cs="Arial" w:hAnsi="Arial"/>
          <w:sz w:val="22"/>
        </w:rPr>
        <w:t>：通过负荷调节，峰值负荷降低26.75%，有效缓解电网压力，避免尖峰电价，降低用电成本。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节能降耗</w:t>
      </w:r>
      <w:r>
        <w:rPr>
          <w:rFonts w:eastAsia="等线" w:ascii="Arial" w:cs="Arial" w:hAnsi="Arial"/>
          <w:sz w:val="22"/>
        </w:rPr>
        <w:t>：结合分时电价与需求响应，全年可减少电费支出约12%，同时降低变压器与配电设备的负载率，延长设备使用寿命。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绿色建筑加分</w:t>
      </w:r>
      <w:r>
        <w:rPr>
          <w:rFonts w:eastAsia="等线" w:ascii="Arial" w:cs="Arial" w:hAnsi="Arial"/>
          <w:sz w:val="22"/>
        </w:rPr>
        <w:t>：满足《绿色建筑评价标准》中“用电负荷调节”相关要求，可获得相应评分。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七、结论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本项目通过智能用电管理系统与分时调节策略，对空调、新风、照明等可调负荷进行优化控制，典型日峰值负荷调节比例为</w:t>
      </w:r>
      <w:r>
        <w:rPr>
          <w:rFonts w:eastAsia="等线" w:ascii="Arial" w:cs="Arial" w:hAnsi="Arial"/>
          <w:b w:val="true"/>
          <w:sz w:val="22"/>
        </w:rPr>
        <w:t>26.75%</w:t>
      </w:r>
      <w:r>
        <w:rPr>
          <w:rFonts w:eastAsia="等线" w:ascii="Arial" w:cs="Arial" w:hAnsi="Arial"/>
          <w:sz w:val="22"/>
        </w:rPr>
        <w:t>，满足规范与绿色建筑评价要求，实现了用电负荷的削峰填谷与高效利用。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八、附件</w:t>
      </w:r>
      <w:bookmarkEnd w:id="15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项目电气施工图与负荷计算书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典型日负荷曲线与调节后负荷曲线对比图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智能用电管理系统配置说明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分时电价与需求响应协议文件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计算单位（盖章）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：2026年3月22日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512078">
    <w:lvl>
      <w:start w:val="1"/>
      <w:numFmt w:val="decimal"/>
      <w:suff w:val="tab"/>
      <w:lvlText w:val="%1."/>
      <w:rPr>
        <w:color w:val="3370ff"/>
      </w:rPr>
    </w:lvl>
  </w:abstractNum>
  <w:abstractNum w:abstractNumId="9512079">
    <w:lvl>
      <w:start w:val="2"/>
      <w:numFmt w:val="decimal"/>
      <w:suff w:val="tab"/>
      <w:lvlText w:val="%1."/>
      <w:rPr>
        <w:color w:val="3370ff"/>
      </w:rPr>
    </w:lvl>
  </w:abstractNum>
  <w:abstractNum w:abstractNumId="9512080">
    <w:lvl>
      <w:start w:val="3"/>
      <w:numFmt w:val="decimal"/>
      <w:suff w:val="tab"/>
      <w:lvlText w:val="%1."/>
      <w:rPr>
        <w:color w:val="3370ff"/>
      </w:rPr>
    </w:lvl>
  </w:abstractNum>
  <w:abstractNum w:abstractNumId="9512081">
    <w:lvl>
      <w:start w:val="4"/>
      <w:numFmt w:val="decimal"/>
      <w:suff w:val="tab"/>
      <w:lvlText w:val="%1."/>
      <w:rPr>
        <w:color w:val="3370ff"/>
      </w:rPr>
    </w:lvl>
  </w:abstractNum>
  <w:abstractNum w:abstractNumId="9512082">
    <w:lvl>
      <w:start w:val="5"/>
      <w:numFmt w:val="decimal"/>
      <w:suff w:val="tab"/>
      <w:lvlText w:val="%1."/>
      <w:rPr>
        <w:color w:val="3370ff"/>
      </w:rPr>
    </w:lvl>
  </w:abstractNum>
  <w:abstractNum w:abstractNumId="9512083">
    <w:lvl>
      <w:numFmt w:val="bullet"/>
      <w:suff w:val="tab"/>
      <w:lvlText w:val="•"/>
      <w:rPr>
        <w:color w:val="3370ff"/>
      </w:rPr>
    </w:lvl>
  </w:abstractNum>
  <w:abstractNum w:abstractNumId="9512084">
    <w:lvl>
      <w:numFmt w:val="bullet"/>
      <w:suff w:val="tab"/>
      <w:lvlText w:val="•"/>
      <w:rPr>
        <w:color w:val="3370ff"/>
      </w:rPr>
    </w:lvl>
  </w:abstractNum>
  <w:abstractNum w:abstractNumId="9512085">
    <w:lvl>
      <w:start w:val="1"/>
      <w:numFmt w:val="decimal"/>
      <w:suff w:val="tab"/>
      <w:lvlText w:val="%1."/>
      <w:rPr>
        <w:color w:val="3370ff"/>
      </w:rPr>
    </w:lvl>
  </w:abstractNum>
  <w:abstractNum w:abstractNumId="9512086">
    <w:lvl>
      <w:start w:val="2"/>
      <w:numFmt w:val="decimal"/>
      <w:suff w:val="tab"/>
      <w:lvlText w:val="%1."/>
      <w:rPr>
        <w:color w:val="3370ff"/>
      </w:rPr>
    </w:lvl>
  </w:abstractNum>
  <w:abstractNum w:abstractNumId="9512087">
    <w:lvl>
      <w:start w:val="3"/>
      <w:numFmt w:val="decimal"/>
      <w:suff w:val="tab"/>
      <w:lvlText w:val="%1."/>
      <w:rPr>
        <w:color w:val="3370ff"/>
      </w:rPr>
    </w:lvl>
  </w:abstractNum>
  <w:abstractNum w:abstractNumId="9512088">
    <w:lvl>
      <w:start w:val="4"/>
      <w:numFmt w:val="decimal"/>
      <w:suff w:val="tab"/>
      <w:lvlText w:val="%1."/>
      <w:rPr>
        <w:color w:val="3370ff"/>
      </w:rPr>
    </w:lvl>
  </w:abstractNum>
  <w:abstractNum w:abstractNumId="9512089">
    <w:lvl>
      <w:numFmt w:val="bullet"/>
      <w:suff w:val="tab"/>
      <w:lvlText w:val="•"/>
      <w:rPr>
        <w:color w:val="3370ff"/>
      </w:rPr>
    </w:lvl>
  </w:abstractNum>
  <w:abstractNum w:abstractNumId="9512090">
    <w:lvl>
      <w:numFmt w:val="bullet"/>
      <w:suff w:val="tab"/>
      <w:lvlText w:val="•"/>
      <w:rPr>
        <w:color w:val="3370ff"/>
      </w:rPr>
    </w:lvl>
  </w:abstractNum>
  <w:abstractNum w:abstractNumId="9512091">
    <w:lvl>
      <w:numFmt w:val="bullet"/>
      <w:suff w:val="tab"/>
      <w:lvlText w:val="•"/>
      <w:rPr>
        <w:color w:val="3370ff"/>
      </w:rPr>
    </w:lvl>
  </w:abstractNum>
  <w:abstractNum w:abstractNumId="9512092">
    <w:lvl>
      <w:numFmt w:val="bullet"/>
      <w:suff w:val="tab"/>
      <w:lvlText w:val="•"/>
      <w:rPr>
        <w:color w:val="3370ff"/>
      </w:rPr>
    </w:lvl>
  </w:abstractNum>
  <w:abstractNum w:abstractNumId="9512093">
    <w:lvl>
      <w:numFmt w:val="bullet"/>
      <w:suff w:val="tab"/>
      <w:lvlText w:val="•"/>
      <w:rPr>
        <w:color w:val="3370ff"/>
      </w:rPr>
    </w:lvl>
  </w:abstractNum>
  <w:abstractNum w:abstractNumId="9512094">
    <w:lvl>
      <w:start w:val="1"/>
      <w:numFmt w:val="decimal"/>
      <w:suff w:val="tab"/>
      <w:lvlText w:val="%1."/>
      <w:rPr>
        <w:color w:val="3370ff"/>
      </w:rPr>
    </w:lvl>
  </w:abstractNum>
  <w:abstractNum w:abstractNumId="9512095">
    <w:lvl>
      <w:start w:val="2"/>
      <w:numFmt w:val="decimal"/>
      <w:suff w:val="tab"/>
      <w:lvlText w:val="%1."/>
      <w:rPr>
        <w:color w:val="3370ff"/>
      </w:rPr>
    </w:lvl>
  </w:abstractNum>
  <w:abstractNum w:abstractNumId="9512096">
    <w:lvl>
      <w:start w:val="3"/>
      <w:numFmt w:val="decimal"/>
      <w:suff w:val="tab"/>
      <w:lvlText w:val="%1."/>
      <w:rPr>
        <w:color w:val="3370ff"/>
      </w:rPr>
    </w:lvl>
  </w:abstractNum>
  <w:abstractNum w:abstractNumId="9512097">
    <w:lvl>
      <w:start w:val="1"/>
      <w:numFmt w:val="decimal"/>
      <w:suff w:val="tab"/>
      <w:lvlText w:val="%1."/>
      <w:rPr>
        <w:color w:val="3370ff"/>
      </w:rPr>
    </w:lvl>
  </w:abstractNum>
  <w:abstractNum w:abstractNumId="9512098">
    <w:lvl>
      <w:start w:val="2"/>
      <w:numFmt w:val="decimal"/>
      <w:suff w:val="tab"/>
      <w:lvlText w:val="%1."/>
      <w:rPr>
        <w:color w:val="3370ff"/>
      </w:rPr>
    </w:lvl>
  </w:abstractNum>
  <w:abstractNum w:abstractNumId="9512099">
    <w:lvl>
      <w:start w:val="3"/>
      <w:numFmt w:val="decimal"/>
      <w:suff w:val="tab"/>
      <w:lvlText w:val="%1."/>
      <w:rPr>
        <w:color w:val="3370ff"/>
      </w:rPr>
    </w:lvl>
  </w:abstractNum>
  <w:abstractNum w:abstractNumId="9512100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9512078"/>
  </w:num>
  <w:num w:numId="2">
    <w:abstractNumId w:val="9512079"/>
  </w:num>
  <w:num w:numId="3">
    <w:abstractNumId w:val="9512080"/>
  </w:num>
  <w:num w:numId="4">
    <w:abstractNumId w:val="9512081"/>
  </w:num>
  <w:num w:numId="5">
    <w:abstractNumId w:val="9512082"/>
  </w:num>
  <w:num w:numId="6">
    <w:abstractNumId w:val="9512083"/>
  </w:num>
  <w:num w:numId="7">
    <w:abstractNumId w:val="9512084"/>
  </w:num>
  <w:num w:numId="8">
    <w:abstractNumId w:val="9512085"/>
  </w:num>
  <w:num w:numId="9">
    <w:abstractNumId w:val="9512086"/>
  </w:num>
  <w:num w:numId="10">
    <w:abstractNumId w:val="9512087"/>
  </w:num>
  <w:num w:numId="11">
    <w:abstractNumId w:val="9512088"/>
  </w:num>
  <w:num w:numId="12">
    <w:abstractNumId w:val="9512089"/>
  </w:num>
  <w:num w:numId="13">
    <w:abstractNumId w:val="9512090"/>
  </w:num>
  <w:num w:numId="14">
    <w:abstractNumId w:val="9512091"/>
  </w:num>
  <w:num w:numId="15">
    <w:abstractNumId w:val="9512092"/>
  </w:num>
  <w:num w:numId="16">
    <w:abstractNumId w:val="9512093"/>
  </w:num>
  <w:num w:numId="17">
    <w:abstractNumId w:val="9512094"/>
  </w:num>
  <w:num w:numId="18">
    <w:abstractNumId w:val="9512095"/>
  </w:num>
  <w:num w:numId="19">
    <w:abstractNumId w:val="9512096"/>
  </w:num>
  <w:num w:numId="20">
    <w:abstractNumId w:val="9512097"/>
  </w:num>
  <w:num w:numId="21">
    <w:abstractNumId w:val="9512098"/>
  </w:num>
  <w:num w:numId="22">
    <w:abstractNumId w:val="9512099"/>
  </w:num>
  <w:num w:numId="23">
    <w:abstractNumId w:val="951210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2026-03-22T08:37:26Z</dcterms:created>
  <dc:creator>Apache POI</dc:creator>
</cp:coreProperties>
</file>