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211B" w14:textId="3A5B3964" w:rsidR="00A602B7" w:rsidRDefault="00000000" w:rsidP="00A93947">
      <w:pPr>
        <w:pStyle w:val="1"/>
      </w:pPr>
      <w:r>
        <w:t>黄山歙县徽城镇历史街区改造项目建筑</w:t>
      </w:r>
      <w:proofErr w:type="gramStart"/>
      <w:r>
        <w:t>适</w:t>
      </w:r>
      <w:proofErr w:type="gramEnd"/>
      <w:r>
        <w:t>变性提升措施专项设计说明</w:t>
      </w:r>
    </w:p>
    <w:p w14:paraId="3DEE14F5" w14:textId="77777777" w:rsidR="00A602B7" w:rsidRDefault="00000000">
      <w:pPr>
        <w:pStyle w:val="20"/>
      </w:pPr>
      <w:r>
        <w:rPr>
          <w:b/>
          <w:bCs/>
        </w:rPr>
        <w:t>核心依据</w:t>
      </w:r>
      <w:r>
        <w:t>：</w:t>
      </w:r>
    </w:p>
    <w:p w14:paraId="71A6C4A8" w14:textId="77777777" w:rsidR="00A602B7" w:rsidRDefault="00000000">
      <w:pPr>
        <w:pStyle w:val="20"/>
        <w:numPr>
          <w:ilvl w:val="0"/>
          <w:numId w:val="1"/>
        </w:numPr>
      </w:pPr>
      <w:r>
        <w:t>《民用建筑设计统一标准》（</w:t>
      </w:r>
      <w:r>
        <w:t>GB 50352-2019</w:t>
      </w:r>
      <w:r>
        <w:t>）</w:t>
      </w:r>
    </w:p>
    <w:p w14:paraId="25D35014" w14:textId="77777777" w:rsidR="00A602B7" w:rsidRDefault="00000000">
      <w:pPr>
        <w:pStyle w:val="20"/>
        <w:numPr>
          <w:ilvl w:val="0"/>
          <w:numId w:val="1"/>
        </w:numPr>
      </w:pPr>
      <w:r>
        <w:t>《历史文化名城保护规划标准》（</w:t>
      </w:r>
      <w:r>
        <w:t>GB/T 50357-2018</w:t>
      </w:r>
      <w:r>
        <w:t>）</w:t>
      </w:r>
    </w:p>
    <w:p w14:paraId="36B3CA3C" w14:textId="77777777" w:rsidR="00A602B7" w:rsidRDefault="00000000">
      <w:pPr>
        <w:pStyle w:val="20"/>
        <w:numPr>
          <w:ilvl w:val="0"/>
          <w:numId w:val="1"/>
        </w:numPr>
      </w:pPr>
      <w:r>
        <w:t>《建筑抗震设计规范》（</w:t>
      </w:r>
      <w:r>
        <w:t>GB 50011-2010</w:t>
      </w:r>
      <w:r>
        <w:t>，</w:t>
      </w:r>
      <w:r>
        <w:t xml:space="preserve">2016 </w:t>
      </w:r>
      <w:r>
        <w:t>年版）</w:t>
      </w:r>
    </w:p>
    <w:p w14:paraId="2A6237C4" w14:textId="77777777" w:rsidR="00A602B7" w:rsidRDefault="00000000">
      <w:pPr>
        <w:pStyle w:val="20"/>
        <w:numPr>
          <w:ilvl w:val="0"/>
          <w:numId w:val="1"/>
        </w:numPr>
      </w:pPr>
      <w:r>
        <w:t>项目照度检测报告、人车分流专项设计文件、安全防护专项报告</w:t>
      </w:r>
    </w:p>
    <w:p w14:paraId="1502171F" w14:textId="77777777" w:rsidR="00A602B7" w:rsidRDefault="00000000">
      <w:pPr>
        <w:pStyle w:val="20"/>
        <w:numPr>
          <w:ilvl w:val="0"/>
          <w:numId w:val="1"/>
        </w:numPr>
      </w:pPr>
      <w:r>
        <w:t>《黄山市历史建筑保护条例》《徽州历史街区风貌管控导则》</w:t>
      </w:r>
    </w:p>
    <w:p w14:paraId="0C3DCD97" w14:textId="77777777" w:rsidR="00A602B7" w:rsidRDefault="00000000">
      <w:pPr>
        <w:pStyle w:val="2"/>
      </w:pPr>
      <w:r>
        <w:t>一、适变性设计核心原则</w:t>
      </w:r>
    </w:p>
    <w:p w14:paraId="3A04DEB7" w14:textId="77777777" w:rsidR="00A602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功能兼容</w:t>
      </w:r>
      <w:r>
        <w:t>：兼顾当前使用需求（历史建筑游览、商业经营）与未来场景变化（业态升级、功能转换），预留调整空间；</w:t>
      </w:r>
    </w:p>
    <w:p w14:paraId="67E0E98C" w14:textId="77777777" w:rsidR="00A602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风貌延续</w:t>
      </w:r>
      <w:r>
        <w:t>：</w:t>
      </w:r>
      <w:proofErr w:type="gramStart"/>
      <w:r>
        <w:t>适</w:t>
      </w:r>
      <w:proofErr w:type="gramEnd"/>
      <w:r>
        <w:t>变性措施不破坏徽派建筑肌理，材料、构造与历史风貌保持一致；</w:t>
      </w:r>
    </w:p>
    <w:p w14:paraId="3A6C7C3F" w14:textId="77777777" w:rsidR="00A602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安全可控</w:t>
      </w:r>
      <w:r>
        <w:t>：弹性设计与抗震、防滑、照明等安全系统衔接，确保调整过程中安全性能不降低；</w:t>
      </w:r>
    </w:p>
    <w:p w14:paraId="6EE7554D" w14:textId="77777777" w:rsidR="00A602B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低碳节能</w:t>
      </w:r>
      <w:r>
        <w:t>：采用可拆卸、可循环的构造形式，减少改造对环境的影响。</w:t>
      </w:r>
    </w:p>
    <w:p w14:paraId="3BC051B3" w14:textId="77777777" w:rsidR="00A602B7" w:rsidRDefault="00000000">
      <w:pPr>
        <w:pStyle w:val="2"/>
      </w:pPr>
      <w:r>
        <w:t>二、分区域</w:t>
      </w:r>
      <w:proofErr w:type="gramStart"/>
      <w:r>
        <w:t>适</w:t>
      </w:r>
      <w:proofErr w:type="gramEnd"/>
      <w:r>
        <w:t>变性提升措施</w:t>
      </w:r>
    </w:p>
    <w:p w14:paraId="5C0B1B10" w14:textId="77777777" w:rsidR="00A602B7" w:rsidRDefault="00000000">
      <w:pPr>
        <w:pStyle w:val="3"/>
      </w:pPr>
      <w:r>
        <w:t xml:space="preserve">2.1 </w:t>
      </w:r>
      <w:r>
        <w:t>历史建筑区（</w:t>
      </w:r>
      <w:r>
        <w:t xml:space="preserve">A </w:t>
      </w:r>
      <w:r>
        <w:t>区）</w:t>
      </w:r>
      <w:r>
        <w:t xml:space="preserve">- </w:t>
      </w:r>
      <w:r>
        <w:t>保护型</w:t>
      </w:r>
      <w:proofErr w:type="gramStart"/>
      <w:r>
        <w:t>适</w:t>
      </w:r>
      <w:proofErr w:type="gramEnd"/>
      <w:r>
        <w:t>变性设计</w:t>
      </w:r>
    </w:p>
    <w:p w14:paraId="311A2941" w14:textId="77777777" w:rsidR="00A602B7" w:rsidRDefault="00000000">
      <w:pPr>
        <w:pStyle w:val="4"/>
      </w:pPr>
      <w:r>
        <w:t xml:space="preserve">2.1.1 </w:t>
      </w:r>
      <w:r>
        <w:t>空间弹性优化</w:t>
      </w:r>
    </w:p>
    <w:p w14:paraId="53AD606E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内部格局适配</w:t>
      </w:r>
      <w:r>
        <w:t>：木构建</w:t>
      </w:r>
      <w:proofErr w:type="gramStart"/>
      <w:r>
        <w:t>筑内部</w:t>
      </w:r>
      <w:proofErr w:type="gramEnd"/>
      <w:r>
        <w:t>采用可拆卸式轻质隔墙（杉木框架</w:t>
      </w:r>
      <w:r>
        <w:t xml:space="preserve"> + </w:t>
      </w:r>
      <w:r>
        <w:t>竹编面板），不破坏原有</w:t>
      </w:r>
      <w:proofErr w:type="gramStart"/>
      <w:r>
        <w:t>榫</w:t>
      </w:r>
      <w:proofErr w:type="gramEnd"/>
      <w:r>
        <w:t>卯结构，可根据使用需求（展览、体验、休憩）灵活划分空间；隔墙厚度</w:t>
      </w:r>
      <w:r>
        <w:t>≤80mm</w:t>
      </w:r>
      <w:r>
        <w:t>，确保通行通道宽度</w:t>
      </w:r>
      <w:r>
        <w:t>≥2.0m</w:t>
      </w:r>
      <w:r>
        <w:t>，与疏散流线适配。</w:t>
      </w:r>
    </w:p>
    <w:p w14:paraId="3D59302E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功能植入预留</w:t>
      </w:r>
      <w:r>
        <w:t>：在不影响建筑主体结构的前提下，预留强弱电接口、给排水点位（暗藏于木</w:t>
      </w:r>
      <w:proofErr w:type="gramStart"/>
      <w:r>
        <w:t>构柱侧</w:t>
      </w:r>
      <w:proofErr w:type="gramEnd"/>
      <w:r>
        <w:t>），支持未来增设小型展陈设备、茶饮服务设施等，适配业态升级需求。</w:t>
      </w:r>
    </w:p>
    <w:p w14:paraId="219A34D9" w14:textId="77777777" w:rsidR="00A602B7" w:rsidRDefault="00000000">
      <w:pPr>
        <w:pStyle w:val="4"/>
      </w:pPr>
      <w:r>
        <w:t xml:space="preserve">2.1.2 </w:t>
      </w:r>
      <w:r>
        <w:t>构造</w:t>
      </w:r>
      <w:proofErr w:type="gramStart"/>
      <w:r>
        <w:t>适</w:t>
      </w:r>
      <w:proofErr w:type="gramEnd"/>
      <w:r>
        <w:t>变性措施</w:t>
      </w:r>
    </w:p>
    <w:p w14:paraId="33EA1E08" w14:textId="77777777" w:rsidR="00A602B7" w:rsidRDefault="00A602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2283"/>
        <w:gridCol w:w="2194"/>
        <w:gridCol w:w="2410"/>
      </w:tblGrid>
      <w:tr w:rsidR="00A93947" w14:paraId="27C447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EF166" w14:textId="77777777" w:rsidR="00A602B7" w:rsidRDefault="00000000">
            <w:pPr>
              <w:pStyle w:val="20"/>
            </w:pPr>
            <w:r>
              <w:lastRenderedPageBreak/>
              <w:t>措施类型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F9D64" w14:textId="77777777" w:rsidR="00A602B7" w:rsidRDefault="00000000">
            <w:pPr>
              <w:pStyle w:val="20"/>
            </w:pPr>
            <w:r>
              <w:t>具体设计方案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B5CF" w14:textId="77777777" w:rsidR="00A602B7" w:rsidRDefault="00000000">
            <w:pPr>
              <w:pStyle w:val="20"/>
            </w:pPr>
            <w:r>
              <w:t>风貌适配要求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C8DAE" w14:textId="77777777" w:rsidR="00A602B7" w:rsidRDefault="00000000">
            <w:pPr>
              <w:pStyle w:val="20"/>
            </w:pPr>
            <w:r>
              <w:t>安全保障要点</w:t>
            </w:r>
          </w:p>
        </w:tc>
      </w:tr>
      <w:tr w:rsidR="00A93947" w14:paraId="00AF1F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AB7D0" w14:textId="77777777" w:rsidR="00A602B7" w:rsidRDefault="00000000">
            <w:pPr>
              <w:pStyle w:val="20"/>
            </w:pPr>
            <w:r>
              <w:t>可拆卸装饰构件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3A668E" w14:textId="77777777" w:rsidR="00A602B7" w:rsidRDefault="00000000">
            <w:pPr>
              <w:pStyle w:val="20"/>
            </w:pPr>
            <w:r>
              <w:t>门窗洞口增设可拆卸木格栅（</w:t>
            </w:r>
            <w:proofErr w:type="gramStart"/>
            <w:r>
              <w:t>榫</w:t>
            </w:r>
            <w:proofErr w:type="gramEnd"/>
            <w:r>
              <w:t>卯拼接，无钉连接），可根据采光、通风需求调整开合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D0DB5" w14:textId="77777777" w:rsidR="00A602B7" w:rsidRDefault="00000000">
            <w:pPr>
              <w:pStyle w:val="20"/>
            </w:pPr>
            <w:r>
              <w:t>木格栅材质、纹样与原有木窗一致，</w:t>
            </w:r>
            <w:proofErr w:type="gramStart"/>
            <w:r>
              <w:t>青灰色涂装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3B477" w14:textId="77777777" w:rsidR="00A602B7" w:rsidRDefault="00000000">
            <w:pPr>
              <w:pStyle w:val="20"/>
            </w:pPr>
            <w:r>
              <w:t>格栅抗风载</w:t>
            </w:r>
            <w:r>
              <w:t>≥0.3kN/m²</w:t>
            </w:r>
            <w:r>
              <w:t>，与照明系统适配（不遮挡光线）</w:t>
            </w:r>
          </w:p>
        </w:tc>
      </w:tr>
      <w:tr w:rsidR="00A93947" w14:paraId="04DF063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E557C" w14:textId="77777777" w:rsidR="00A602B7" w:rsidRDefault="00000000">
            <w:pPr>
              <w:pStyle w:val="20"/>
            </w:pPr>
            <w:r>
              <w:t>灵活地面处理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24DA4" w14:textId="77777777" w:rsidR="00A602B7" w:rsidRDefault="00000000">
            <w:pPr>
              <w:pStyle w:val="20"/>
            </w:pPr>
            <w:r>
              <w:t>核心区域保留原有青石板地面，次要区域铺设可移动防滑木地板（与地面摩擦系数</w:t>
            </w:r>
            <w:r>
              <w:t>≥0.68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9587B" w14:textId="77777777" w:rsidR="00A602B7" w:rsidRDefault="00000000">
            <w:pPr>
              <w:pStyle w:val="20"/>
            </w:pPr>
            <w:r>
              <w:t>木地板材质为杉木，防腐处理，颜色与青石</w:t>
            </w:r>
            <w:proofErr w:type="gramStart"/>
            <w:r>
              <w:t>板协调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4409A" w14:textId="77777777" w:rsidR="00A602B7" w:rsidRDefault="00000000">
            <w:pPr>
              <w:pStyle w:val="20"/>
            </w:pPr>
            <w:r>
              <w:t>木地板拼接缝隙</w:t>
            </w:r>
            <w:r>
              <w:t>≤5mm</w:t>
            </w:r>
            <w:r>
              <w:t>，避免绊倒风险，可快速拆卸更换</w:t>
            </w:r>
          </w:p>
        </w:tc>
      </w:tr>
      <w:tr w:rsidR="00A93947" w14:paraId="08935F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E8DF9" w14:textId="77777777" w:rsidR="00A602B7" w:rsidRDefault="00000000">
            <w:pPr>
              <w:pStyle w:val="20"/>
            </w:pPr>
            <w:r>
              <w:t>弹性防护设施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7E6C" w14:textId="77777777" w:rsidR="00A602B7" w:rsidRDefault="00000000">
            <w:pPr>
              <w:pStyle w:val="20"/>
            </w:pPr>
            <w:proofErr w:type="gramStart"/>
            <w:r>
              <w:t>榫</w:t>
            </w:r>
            <w:proofErr w:type="gramEnd"/>
            <w:r>
              <w:t>卯节点采用可替换式不锈钢加固件（暗藏式安装），未来可根据检测结果单独更换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3BD8B" w14:textId="77777777" w:rsidR="00A602B7" w:rsidRDefault="00000000">
            <w:pPr>
              <w:pStyle w:val="20"/>
            </w:pPr>
            <w:r>
              <w:t>加固件不外露，</w:t>
            </w:r>
            <w:proofErr w:type="gramStart"/>
            <w:r>
              <w:t>表面做仿木</w:t>
            </w:r>
            <w:proofErr w:type="gramEnd"/>
            <w:r>
              <w:t>处理，与构件融合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B3BD6" w14:textId="77777777" w:rsidR="00A602B7" w:rsidRDefault="00000000">
            <w:pPr>
              <w:pStyle w:val="20"/>
            </w:pPr>
            <w:r>
              <w:t>加固件抗震性能与原结构匹配，满足</w:t>
            </w:r>
            <w:r>
              <w:t xml:space="preserve"> 7 </w:t>
            </w:r>
            <w:r>
              <w:t>度设防要求</w:t>
            </w:r>
          </w:p>
        </w:tc>
      </w:tr>
    </w:tbl>
    <w:p w14:paraId="18BECF87" w14:textId="77777777" w:rsidR="00A602B7" w:rsidRDefault="00000000">
      <w:pPr>
        <w:pStyle w:val="3"/>
      </w:pPr>
      <w:r>
        <w:t xml:space="preserve">2.2 </w:t>
      </w:r>
      <w:r>
        <w:t>新建商业区（</w:t>
      </w:r>
      <w:r>
        <w:t xml:space="preserve">B </w:t>
      </w:r>
      <w:r>
        <w:t>区）</w:t>
      </w:r>
      <w:r>
        <w:t xml:space="preserve">- </w:t>
      </w:r>
      <w:r>
        <w:t>主动型</w:t>
      </w:r>
      <w:proofErr w:type="gramStart"/>
      <w:r>
        <w:t>适</w:t>
      </w:r>
      <w:proofErr w:type="gramEnd"/>
      <w:r>
        <w:t>变性设计</w:t>
      </w:r>
    </w:p>
    <w:p w14:paraId="6B2C25DD" w14:textId="77777777" w:rsidR="00A602B7" w:rsidRDefault="00000000">
      <w:pPr>
        <w:pStyle w:val="4"/>
      </w:pPr>
      <w:r>
        <w:t xml:space="preserve">2.2.1 </w:t>
      </w:r>
      <w:r>
        <w:t>空间模块化设计</w:t>
      </w:r>
    </w:p>
    <w:p w14:paraId="17B5757D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柱网弹性布局</w:t>
      </w:r>
      <w:r>
        <w:t>：采用</w:t>
      </w:r>
      <w:r>
        <w:t xml:space="preserve"> 8m×8m </w:t>
      </w:r>
      <w:r>
        <w:t>标准化柱网，无承重墙分割，商铺单元可按需求合并（</w:t>
      </w:r>
      <w:r>
        <w:t xml:space="preserve">2~3 </w:t>
      </w:r>
      <w:proofErr w:type="gramStart"/>
      <w:r>
        <w:t>个</w:t>
      </w:r>
      <w:proofErr w:type="gramEnd"/>
      <w:r>
        <w:t>单元组合）或拆分，适配不同规模商业</w:t>
      </w:r>
      <w:proofErr w:type="gramStart"/>
      <w:r>
        <w:t>业</w:t>
      </w:r>
      <w:proofErr w:type="gramEnd"/>
      <w:r>
        <w:t>态（零售、餐饮、文创）；</w:t>
      </w:r>
      <w:proofErr w:type="gramStart"/>
      <w:r>
        <w:t>柱距预留</w:t>
      </w:r>
      <w:proofErr w:type="gramEnd"/>
      <w:r>
        <w:t xml:space="preserve">≥4.0m </w:t>
      </w:r>
      <w:r>
        <w:t>的无障碍通道，与人车分流流线衔接。</w:t>
      </w:r>
    </w:p>
    <w:p w14:paraId="27690CF6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层高适配调整</w:t>
      </w:r>
      <w:r>
        <w:t>：首层层</w:t>
      </w:r>
      <w:proofErr w:type="gramStart"/>
      <w:r>
        <w:t>高设计</w:t>
      </w:r>
      <w:proofErr w:type="gramEnd"/>
      <w:r>
        <w:t>为</w:t>
      </w:r>
      <w:r>
        <w:t xml:space="preserve"> 4.5m</w:t>
      </w:r>
      <w:r>
        <w:t>，预留夹层搭建条件（梁底标高</w:t>
      </w:r>
      <w:r>
        <w:t>≥4.2m</w:t>
      </w:r>
      <w:r>
        <w:t>），未来可通过钢结构夹层拓展使用面积，夹层荷载按</w:t>
      </w:r>
      <w:r>
        <w:t xml:space="preserve"> 2.5kN/m² </w:t>
      </w:r>
      <w:r>
        <w:t>设计，满足办公、仓储等功能需求。</w:t>
      </w:r>
    </w:p>
    <w:p w14:paraId="0422F6F6" w14:textId="77777777" w:rsidR="00A602B7" w:rsidRDefault="00000000">
      <w:pPr>
        <w:pStyle w:val="4"/>
      </w:pPr>
      <w:r>
        <w:t xml:space="preserve">2.2.2 </w:t>
      </w:r>
      <w:r>
        <w:t>构造与设施适配</w:t>
      </w:r>
    </w:p>
    <w:p w14:paraId="4C68FAAE" w14:textId="77777777" w:rsidR="00A602B7" w:rsidRDefault="00A602B7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2504"/>
        <w:gridCol w:w="2133"/>
        <w:gridCol w:w="2317"/>
      </w:tblGrid>
      <w:tr w:rsidR="00A93947" w14:paraId="761B681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5D1B4" w14:textId="77777777" w:rsidR="00A602B7" w:rsidRDefault="00000000">
            <w:pPr>
              <w:pStyle w:val="20"/>
            </w:pPr>
            <w:r>
              <w:t>措施类型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E731" w14:textId="77777777" w:rsidR="00A602B7" w:rsidRDefault="00000000">
            <w:pPr>
              <w:pStyle w:val="20"/>
            </w:pPr>
            <w:r>
              <w:t>具体设计方案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425EE" w14:textId="77777777" w:rsidR="00A602B7" w:rsidRDefault="00000000">
            <w:pPr>
              <w:pStyle w:val="20"/>
            </w:pPr>
            <w:r>
              <w:t>功能适配优势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00136" w14:textId="77777777" w:rsidR="00A602B7" w:rsidRDefault="00000000">
            <w:pPr>
              <w:pStyle w:val="20"/>
            </w:pPr>
            <w:r>
              <w:t>安全与节能保障</w:t>
            </w:r>
          </w:p>
        </w:tc>
      </w:tr>
      <w:tr w:rsidR="00A93947" w14:paraId="0364E5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4C3F3" w14:textId="77777777" w:rsidR="00A602B7" w:rsidRDefault="00000000">
            <w:pPr>
              <w:pStyle w:val="20"/>
            </w:pPr>
            <w:r>
              <w:lastRenderedPageBreak/>
              <w:t>可拆卸隔墙系统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DFE58" w14:textId="77777777" w:rsidR="00A602B7" w:rsidRDefault="00000000">
            <w:pPr>
              <w:pStyle w:val="20"/>
            </w:pPr>
            <w:r>
              <w:t>采用轻钢龙骨</w:t>
            </w:r>
            <w:r>
              <w:t xml:space="preserve"> + </w:t>
            </w:r>
            <w:r>
              <w:t>防火板隔墙（厚度</w:t>
            </w:r>
            <w:r>
              <w:t xml:space="preserve"> 100mm</w:t>
            </w:r>
            <w:r>
              <w:t>），模块化拼接，可快速拆卸重组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3513C" w14:textId="77777777" w:rsidR="00A602B7" w:rsidRDefault="00000000">
            <w:pPr>
              <w:pStyle w:val="20"/>
            </w:pPr>
            <w:r>
              <w:t>隔墙拆卸后不破坏主体结构，重新布局周期</w:t>
            </w:r>
            <w:r>
              <w:t xml:space="preserve">≤3 </w:t>
            </w:r>
            <w:r>
              <w:t>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02769" w14:textId="77777777" w:rsidR="00A602B7" w:rsidRDefault="00000000">
            <w:pPr>
              <w:pStyle w:val="20"/>
            </w:pPr>
            <w:r>
              <w:t>隔墙防火等级</w:t>
            </w:r>
            <w:r>
              <w:t xml:space="preserve">≥B1 </w:t>
            </w:r>
            <w:r>
              <w:t>级，与应急照明、疏散标识联动，不遮挡逃生路线</w:t>
            </w:r>
          </w:p>
        </w:tc>
      </w:tr>
      <w:tr w:rsidR="00A93947" w14:paraId="50606F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767F" w14:textId="77777777" w:rsidR="00A602B7" w:rsidRDefault="00000000">
            <w:pPr>
              <w:pStyle w:val="20"/>
            </w:pPr>
            <w:r>
              <w:t>多功能地面系统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4BBB5" w14:textId="77777777" w:rsidR="00A602B7" w:rsidRDefault="00000000">
            <w:pPr>
              <w:pStyle w:val="20"/>
            </w:pPr>
            <w:r>
              <w:t>地面采用可拆卸式防滑陶瓷砖（</w:t>
            </w:r>
            <w:r>
              <w:t>800×800mm</w:t>
            </w:r>
            <w:r>
              <w:t>，摩擦系数</w:t>
            </w:r>
            <w:r>
              <w:t>≥0.75</w:t>
            </w:r>
            <w:r>
              <w:t>），下铺架空层（高度</w:t>
            </w:r>
            <w:r>
              <w:t xml:space="preserve"> 150mm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1D2DD" w14:textId="77777777" w:rsidR="00A602B7" w:rsidRDefault="00000000">
            <w:pPr>
              <w:pStyle w:val="20"/>
            </w:pPr>
            <w:r>
              <w:t>架空层内可布置线缆、给排水管道，</w:t>
            </w:r>
            <w:proofErr w:type="gramStart"/>
            <w:r>
              <w:t>未来业态调整</w:t>
            </w:r>
            <w:proofErr w:type="gramEnd"/>
            <w:r>
              <w:t>时无需凿地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34665" w14:textId="77777777" w:rsidR="00A602B7" w:rsidRDefault="00000000">
            <w:pPr>
              <w:pStyle w:val="20"/>
            </w:pPr>
            <w:r>
              <w:t>地面承载力</w:t>
            </w:r>
            <w:r>
              <w:t>≥5kN/m²</w:t>
            </w:r>
            <w:r>
              <w:t>，防滑性能与照度系统适配（</w:t>
            </w:r>
            <w:proofErr w:type="gramStart"/>
            <w:r>
              <w:t>夜间湿</w:t>
            </w:r>
            <w:proofErr w:type="gramEnd"/>
            <w:r>
              <w:t>态通行安全）</w:t>
            </w:r>
          </w:p>
        </w:tc>
      </w:tr>
      <w:tr w:rsidR="00A93947" w14:paraId="620D462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ABC5" w14:textId="77777777" w:rsidR="00A602B7" w:rsidRDefault="00000000">
            <w:pPr>
              <w:pStyle w:val="20"/>
            </w:pPr>
            <w:r>
              <w:t>弹性照明与设备接口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461C8" w14:textId="77777777" w:rsidR="00A602B7" w:rsidRDefault="00000000">
            <w:pPr>
              <w:pStyle w:val="20"/>
            </w:pPr>
            <w:r>
              <w:t>天花板预留轨道式照明接口、强弱电接线盒（间距</w:t>
            </w:r>
            <w:r>
              <w:t>≤3m</w:t>
            </w:r>
            <w:r>
              <w:t>），支持灯具位置、功率灵活调整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81EDB" w14:textId="77777777" w:rsidR="00A602B7" w:rsidRDefault="00000000">
            <w:pPr>
              <w:pStyle w:val="20"/>
            </w:pPr>
            <w:r>
              <w:t>适配不同商业</w:t>
            </w:r>
            <w:proofErr w:type="gramStart"/>
            <w:r>
              <w:t>业</w:t>
            </w:r>
            <w:proofErr w:type="gramEnd"/>
            <w:r>
              <w:t>态的照明需求（</w:t>
            </w:r>
            <w:proofErr w:type="gramStart"/>
            <w:r>
              <w:t>零售高</w:t>
            </w:r>
            <w:proofErr w:type="gramEnd"/>
            <w:r>
              <w:t>亮、餐饮暖光）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4924C" w14:textId="77777777" w:rsidR="00A602B7" w:rsidRDefault="00000000">
            <w:pPr>
              <w:pStyle w:val="20"/>
            </w:pPr>
            <w:r>
              <w:t>照明系统与智能控制联动，可</w:t>
            </w:r>
            <w:proofErr w:type="gramStart"/>
            <w:r>
              <w:t>按业态调整</w:t>
            </w:r>
            <w:proofErr w:type="gramEnd"/>
            <w:r>
              <w:t>照度（</w:t>
            </w:r>
            <w:r>
              <w:t xml:space="preserve">20~30lx </w:t>
            </w:r>
            <w:r>
              <w:t>可调），节能率</w:t>
            </w:r>
            <w:r>
              <w:t>≥30%</w:t>
            </w:r>
          </w:p>
        </w:tc>
      </w:tr>
    </w:tbl>
    <w:p w14:paraId="3249FAA6" w14:textId="77777777" w:rsidR="00A602B7" w:rsidRDefault="00000000">
      <w:pPr>
        <w:pStyle w:val="3"/>
      </w:pPr>
      <w:r>
        <w:t xml:space="preserve">2.3 </w:t>
      </w:r>
      <w:r>
        <w:t>过渡区与公共空间</w:t>
      </w:r>
      <w:r>
        <w:t xml:space="preserve"> - </w:t>
      </w:r>
      <w:proofErr w:type="gramStart"/>
      <w:r>
        <w:t>兼容型适变性</w:t>
      </w:r>
      <w:proofErr w:type="gramEnd"/>
      <w:r>
        <w:t>设计</w:t>
      </w:r>
    </w:p>
    <w:p w14:paraId="5B218506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多功能公共节点</w:t>
      </w:r>
      <w:r>
        <w:t>：出入口过渡区设置可移动展架、折叠座椅（杉木材质，徽派造型），平时作为休憩空间，节假日可快速转换为临时展览、活动场地，不影响人车分流通道。</w:t>
      </w:r>
    </w:p>
    <w:p w14:paraId="2FF92567" w14:textId="77777777" w:rsidR="00A602B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应急与日常兼容</w:t>
      </w:r>
      <w:r>
        <w:t>：公共通道宽度按应急疏散最大值设计（</w:t>
      </w:r>
      <w:r>
        <w:t>≥3.0m</w:t>
      </w:r>
      <w:r>
        <w:t>），平时可通过可移动花箱（青石板材质）划分功能区域（休憩区、排队区），突发事件时快速移走花箱，保障疏散效率；</w:t>
      </w:r>
      <w:proofErr w:type="gramStart"/>
      <w:r>
        <w:t>花箱锚固</w:t>
      </w:r>
      <w:proofErr w:type="gramEnd"/>
      <w:r>
        <w:t>采用可拆卸螺栓，不破坏路面。</w:t>
      </w:r>
    </w:p>
    <w:p w14:paraId="041C9B51" w14:textId="77777777" w:rsidR="00A602B7" w:rsidRDefault="00000000">
      <w:pPr>
        <w:pStyle w:val="2"/>
      </w:pPr>
      <w:r>
        <w:t>三、适变性提升关键技术保障</w:t>
      </w:r>
    </w:p>
    <w:p w14:paraId="587F1D0F" w14:textId="77777777" w:rsidR="00A602B7" w:rsidRDefault="00000000">
      <w:pPr>
        <w:pStyle w:val="3"/>
      </w:pPr>
      <w:r>
        <w:t xml:space="preserve">3.1 </w:t>
      </w:r>
      <w:r>
        <w:t>结构安全适配</w:t>
      </w:r>
    </w:p>
    <w:p w14:paraId="1F8AAFDA" w14:textId="77777777" w:rsidR="00A602B7" w:rsidRDefault="00000000">
      <w:pPr>
        <w:pStyle w:val="20"/>
        <w:numPr>
          <w:ilvl w:val="0"/>
          <w:numId w:val="3"/>
        </w:numPr>
      </w:pPr>
      <w:r>
        <w:t>历史建筑区：所有新增构件（可拆卸隔墙、加固件）与主体结构采用柔性连接，不改变原结构受力体系，抗震性能与隔震减震系统协同（水平位移适配</w:t>
      </w:r>
      <w:r>
        <w:t xml:space="preserve"> ±120mm</w:t>
      </w:r>
      <w:r>
        <w:t>）；</w:t>
      </w:r>
    </w:p>
    <w:p w14:paraId="26890B26" w14:textId="77777777" w:rsidR="00A602B7" w:rsidRDefault="00000000">
      <w:pPr>
        <w:pStyle w:val="20"/>
        <w:numPr>
          <w:ilvl w:val="0"/>
          <w:numId w:val="3"/>
        </w:numPr>
      </w:pPr>
      <w:r>
        <w:t>新建商业区：主体结构按</w:t>
      </w:r>
      <w:r>
        <w:t xml:space="preserve"> “</w:t>
      </w:r>
      <w:r>
        <w:t>大震不倒</w:t>
      </w:r>
      <w:r>
        <w:t xml:space="preserve">” </w:t>
      </w:r>
      <w:r>
        <w:t>性能目标设计，模块化调整时无需改动结构构件，仅通过二次结构实现功能转换，结构安全冗余</w:t>
      </w:r>
      <w:r>
        <w:t>≥1.2</w:t>
      </w:r>
      <w:r>
        <w:t>。</w:t>
      </w:r>
    </w:p>
    <w:p w14:paraId="727D792F" w14:textId="77777777" w:rsidR="00A602B7" w:rsidRDefault="00000000">
      <w:pPr>
        <w:pStyle w:val="3"/>
      </w:pPr>
      <w:r>
        <w:t xml:space="preserve">3.2 </w:t>
      </w:r>
      <w:r>
        <w:t>安全系统协同</w:t>
      </w:r>
    </w:p>
    <w:p w14:paraId="529EEBBF" w14:textId="77777777" w:rsidR="00A602B7" w:rsidRDefault="00000000">
      <w:pPr>
        <w:pStyle w:val="20"/>
        <w:numPr>
          <w:ilvl w:val="0"/>
          <w:numId w:val="3"/>
        </w:numPr>
      </w:pPr>
      <w:r>
        <w:t>与照明适配：弹性空间预留照明接口，调整后照度仍</w:t>
      </w:r>
      <w:proofErr w:type="gramStart"/>
      <w:r>
        <w:t>满足分</w:t>
      </w:r>
      <w:proofErr w:type="gramEnd"/>
      <w:r>
        <w:t>区域要求（商业区域</w:t>
      </w:r>
      <w:r>
        <w:t>≥20lx</w:t>
      </w:r>
      <w:r>
        <w:t>，应急</w:t>
      </w:r>
      <w:r>
        <w:t>≥5lx</w:t>
      </w:r>
      <w:r>
        <w:t>），眩光控制</w:t>
      </w:r>
      <w:r>
        <w:t xml:space="preserve"> UGR≤19</w:t>
      </w:r>
      <w:r>
        <w:t>；</w:t>
      </w:r>
    </w:p>
    <w:p w14:paraId="35C6D8FA" w14:textId="77777777" w:rsidR="00A602B7" w:rsidRDefault="00000000">
      <w:pPr>
        <w:pStyle w:val="20"/>
        <w:numPr>
          <w:ilvl w:val="0"/>
          <w:numId w:val="3"/>
        </w:numPr>
      </w:pPr>
      <w:r>
        <w:lastRenderedPageBreak/>
        <w:t>与防滑适配：可移动地面材料、公共空间地面均采用防滑性能达标的材质，与湿态照度衰减率</w:t>
      </w:r>
      <w:r>
        <w:t xml:space="preserve">≤5% </w:t>
      </w:r>
      <w:r>
        <w:t>的要求协同，保障夜间通行安全；</w:t>
      </w:r>
    </w:p>
    <w:p w14:paraId="287EB973" w14:textId="77777777" w:rsidR="00A602B7" w:rsidRDefault="00000000">
      <w:pPr>
        <w:pStyle w:val="20"/>
        <w:numPr>
          <w:ilvl w:val="0"/>
          <w:numId w:val="3"/>
        </w:numPr>
      </w:pPr>
      <w:r>
        <w:t>与应急联动：所有可拆卸构件均标注应急疏散优先级，突发事件时优先拆除影响逃生的设施，应急通道照明续航</w:t>
      </w:r>
      <w:r>
        <w:t>≥125min</w:t>
      </w:r>
      <w:r>
        <w:t>，与适变性空间转换同步保障安全。</w:t>
      </w:r>
    </w:p>
    <w:p w14:paraId="209D4752" w14:textId="77777777" w:rsidR="00A602B7" w:rsidRDefault="00000000">
      <w:pPr>
        <w:pStyle w:val="3"/>
      </w:pPr>
      <w:r>
        <w:t xml:space="preserve">3.3 </w:t>
      </w:r>
      <w:r>
        <w:t>风貌与环保控制</w:t>
      </w:r>
    </w:p>
    <w:p w14:paraId="4CC5E6C3" w14:textId="77777777" w:rsidR="00A602B7" w:rsidRDefault="00000000">
      <w:pPr>
        <w:pStyle w:val="20"/>
        <w:numPr>
          <w:ilvl w:val="0"/>
          <w:numId w:val="3"/>
        </w:numPr>
      </w:pPr>
      <w:r>
        <w:t>风貌延续：</w:t>
      </w:r>
      <w:proofErr w:type="gramStart"/>
      <w:r>
        <w:t>适</w:t>
      </w:r>
      <w:proofErr w:type="gramEnd"/>
      <w:r>
        <w:t>变性构件（木格栅、可拆卸展架、花箱）均采用杉木、青石板等徽派材质，造型</w:t>
      </w:r>
      <w:proofErr w:type="gramStart"/>
      <w:r>
        <w:t>融入回</w:t>
      </w:r>
      <w:proofErr w:type="gramEnd"/>
      <w:r>
        <w:t>纹、斗拱等元素，与历史建筑、人车分流隔离设施风格统一；</w:t>
      </w:r>
    </w:p>
    <w:p w14:paraId="5F3295BD" w14:textId="77777777" w:rsidR="00A602B7" w:rsidRDefault="00000000">
      <w:pPr>
        <w:pStyle w:val="20"/>
        <w:numPr>
          <w:ilvl w:val="0"/>
          <w:numId w:val="3"/>
        </w:numPr>
      </w:pPr>
      <w:r>
        <w:t>低碳环保：可拆卸构件回收率</w:t>
      </w:r>
      <w:r>
        <w:t>≥90%</w:t>
      </w:r>
      <w:r>
        <w:t>，模块化隔墙、地面系统重复利用次数</w:t>
      </w:r>
      <w:r>
        <w:t xml:space="preserve">≥5 </w:t>
      </w:r>
      <w:r>
        <w:t>次，减少改造产生的建筑垃圾，符合绿色建筑要求。</w:t>
      </w:r>
    </w:p>
    <w:p w14:paraId="32A757C4" w14:textId="77777777" w:rsidR="00A602B7" w:rsidRDefault="00000000">
      <w:pPr>
        <w:pStyle w:val="2"/>
      </w:pPr>
      <w:r>
        <w:t>四、与其他系统衔接要求</w:t>
      </w:r>
    </w:p>
    <w:p w14:paraId="58DEC774" w14:textId="77777777" w:rsidR="00A602B7" w:rsidRDefault="00000000">
      <w:pPr>
        <w:pStyle w:val="20"/>
        <w:numPr>
          <w:ilvl w:val="0"/>
          <w:numId w:val="4"/>
        </w:numPr>
      </w:pPr>
      <w:r>
        <w:t>与人车分流衔接：</w:t>
      </w:r>
      <w:proofErr w:type="gramStart"/>
      <w:r>
        <w:t>适</w:t>
      </w:r>
      <w:proofErr w:type="gramEnd"/>
      <w:r>
        <w:t>变性调整不得占用应急通道、行人主通道，可拆卸设施（花箱、展架）预留</w:t>
      </w:r>
      <w:r>
        <w:t xml:space="preserve">≥4.0m </w:t>
      </w:r>
      <w:r>
        <w:t>的车辆应急通行空间，与分流管</w:t>
      </w:r>
      <w:proofErr w:type="gramStart"/>
      <w:r>
        <w:t>控要求</w:t>
      </w:r>
      <w:proofErr w:type="gramEnd"/>
      <w:r>
        <w:t>一致；</w:t>
      </w:r>
    </w:p>
    <w:p w14:paraId="75969164" w14:textId="77777777" w:rsidR="00A602B7" w:rsidRDefault="00000000">
      <w:pPr>
        <w:pStyle w:val="20"/>
        <w:numPr>
          <w:ilvl w:val="0"/>
          <w:numId w:val="4"/>
        </w:numPr>
      </w:pPr>
      <w:r>
        <w:t>与安全防护衔接：弹性构件的抗撞击、防滑、防火性能均满足安全防护专项报告要求，加固件、隔墙等与抗震系统协同，不降低结构安全等级；</w:t>
      </w:r>
    </w:p>
    <w:p w14:paraId="2C54AAE1" w14:textId="77777777" w:rsidR="00A602B7" w:rsidRDefault="00000000">
      <w:pPr>
        <w:pStyle w:val="20"/>
        <w:numPr>
          <w:ilvl w:val="0"/>
          <w:numId w:val="4"/>
        </w:numPr>
      </w:pPr>
      <w:r>
        <w:t>与照度系统衔接：预留的照明接口、轨道系统确保调整</w:t>
      </w:r>
      <w:proofErr w:type="gramStart"/>
      <w:r>
        <w:t>后区域</w:t>
      </w:r>
      <w:proofErr w:type="gramEnd"/>
      <w:r>
        <w:t>照度达标，无照明盲区，适配湿态防滑路面的夜间通行需求；</w:t>
      </w:r>
    </w:p>
    <w:p w14:paraId="472C55D3" w14:textId="77777777" w:rsidR="00A602B7" w:rsidRDefault="00000000">
      <w:pPr>
        <w:pStyle w:val="20"/>
        <w:numPr>
          <w:ilvl w:val="0"/>
          <w:numId w:val="4"/>
        </w:numPr>
      </w:pPr>
      <w:r>
        <w:t>与运</w:t>
      </w:r>
      <w:proofErr w:type="gramStart"/>
      <w:r>
        <w:t>维管理</w:t>
      </w:r>
      <w:proofErr w:type="gramEnd"/>
      <w:r>
        <w:t>衔接：编制《适变性调整操作手册》，明确构件拆卸、重组的流程与安全要求，定期巡检弹性构件的牢固性、耐久性，维护周期与原有设施同步（每月</w:t>
      </w:r>
      <w:r>
        <w:t xml:space="preserve"> 1 </w:t>
      </w:r>
      <w:r>
        <w:t>次）。</w:t>
      </w:r>
    </w:p>
    <w:p w14:paraId="0AE56290" w14:textId="77777777" w:rsidR="00A602B7" w:rsidRDefault="00000000">
      <w:pPr>
        <w:pStyle w:val="2"/>
      </w:pPr>
      <w:r>
        <w:t>五、设计结论</w:t>
      </w:r>
    </w:p>
    <w:p w14:paraId="019850A9" w14:textId="7E8FC3C8" w:rsidR="00A602B7" w:rsidRDefault="00000000" w:rsidP="00A93947">
      <w:pPr>
        <w:pStyle w:val="20"/>
        <w:rPr>
          <w:rFonts w:hint="eastAsia"/>
        </w:rPr>
      </w:pPr>
      <w:r>
        <w:t>本专项设计通过</w:t>
      </w:r>
      <w:r>
        <w:t xml:space="preserve"> “</w:t>
      </w:r>
      <w:r>
        <w:t>保护型</w:t>
      </w:r>
      <w:r>
        <w:t xml:space="preserve"> + </w:t>
      </w:r>
      <w:r>
        <w:t>主动型</w:t>
      </w:r>
      <w:r>
        <w:t xml:space="preserve"> + </w:t>
      </w:r>
      <w:r>
        <w:t>兼容型</w:t>
      </w:r>
      <w:r>
        <w:t xml:space="preserve">” </w:t>
      </w:r>
      <w:r>
        <w:t>的分区域</w:t>
      </w:r>
      <w:proofErr w:type="gramStart"/>
      <w:r>
        <w:t>适</w:t>
      </w:r>
      <w:proofErr w:type="gramEnd"/>
      <w:r>
        <w:t>变性措施，既保障了历史建筑风貌的原真性，又赋予新建商业空间灵活调整的能力，同时与项目照度检测、人车分流、安全防护等前期成果深度衔接。措施兼顾功能适配、安全可控与低碳环保，可实现建筑在不同生命周期阶段的灵活转换，满足历史街区保护与商业运营的长期需求，设计方案可直接用于指导施工与未来运维调整。</w:t>
      </w:r>
    </w:p>
    <w:sectPr w:rsidR="00A602B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96F"/>
    <w:multiLevelType w:val="multilevel"/>
    <w:tmpl w:val="4F40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C2065E"/>
    <w:multiLevelType w:val="hybridMultilevel"/>
    <w:tmpl w:val="73ECA2A8"/>
    <w:lvl w:ilvl="0" w:tplc="822C5D38">
      <w:start w:val="1"/>
      <w:numFmt w:val="bullet"/>
      <w:lvlText w:val="●"/>
      <w:lvlJc w:val="left"/>
      <w:pPr>
        <w:ind w:left="720" w:hanging="360"/>
      </w:pPr>
    </w:lvl>
    <w:lvl w:ilvl="1" w:tplc="C940211E">
      <w:start w:val="1"/>
      <w:numFmt w:val="bullet"/>
      <w:lvlText w:val="○"/>
      <w:lvlJc w:val="left"/>
      <w:pPr>
        <w:ind w:left="1440" w:hanging="360"/>
      </w:pPr>
    </w:lvl>
    <w:lvl w:ilvl="2" w:tplc="D0607B0A">
      <w:start w:val="1"/>
      <w:numFmt w:val="bullet"/>
      <w:lvlText w:val="■"/>
      <w:lvlJc w:val="left"/>
      <w:pPr>
        <w:ind w:left="2160" w:hanging="360"/>
      </w:pPr>
    </w:lvl>
    <w:lvl w:ilvl="3" w:tplc="A5B6A0B8">
      <w:start w:val="1"/>
      <w:numFmt w:val="bullet"/>
      <w:lvlText w:val="●"/>
      <w:lvlJc w:val="left"/>
      <w:pPr>
        <w:ind w:left="2880" w:hanging="360"/>
      </w:pPr>
    </w:lvl>
    <w:lvl w:ilvl="4" w:tplc="2A40364C">
      <w:start w:val="1"/>
      <w:numFmt w:val="bullet"/>
      <w:lvlText w:val="○"/>
      <w:lvlJc w:val="left"/>
      <w:pPr>
        <w:ind w:left="3600" w:hanging="360"/>
      </w:pPr>
    </w:lvl>
    <w:lvl w:ilvl="5" w:tplc="55C6FAA2">
      <w:start w:val="1"/>
      <w:numFmt w:val="bullet"/>
      <w:lvlText w:val="■"/>
      <w:lvlJc w:val="left"/>
      <w:pPr>
        <w:ind w:left="4320" w:hanging="360"/>
      </w:pPr>
    </w:lvl>
    <w:lvl w:ilvl="6" w:tplc="D3D2BC34">
      <w:start w:val="1"/>
      <w:numFmt w:val="bullet"/>
      <w:lvlText w:val="●"/>
      <w:lvlJc w:val="left"/>
      <w:pPr>
        <w:ind w:left="5040" w:hanging="360"/>
      </w:pPr>
    </w:lvl>
    <w:lvl w:ilvl="7" w:tplc="9D62380C">
      <w:start w:val="1"/>
      <w:numFmt w:val="bullet"/>
      <w:lvlText w:val="●"/>
      <w:lvlJc w:val="left"/>
      <w:pPr>
        <w:ind w:left="5760" w:hanging="360"/>
      </w:pPr>
    </w:lvl>
    <w:lvl w:ilvl="8" w:tplc="75026D0C">
      <w:start w:val="1"/>
      <w:numFmt w:val="bullet"/>
      <w:lvlText w:val="●"/>
      <w:lvlJc w:val="left"/>
      <w:pPr>
        <w:ind w:left="6480" w:hanging="360"/>
      </w:pPr>
    </w:lvl>
  </w:abstractNum>
  <w:num w:numId="1" w16cid:durableId="1788961413">
    <w:abstractNumId w:val="0"/>
  </w:num>
  <w:num w:numId="2" w16cid:durableId="1408459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31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6168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B7"/>
    <w:rsid w:val="003B469C"/>
    <w:rsid w:val="00A602B7"/>
    <w:rsid w:val="00A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EA421"/>
  <w15:docId w15:val="{A3F97CC5-71CA-42FC-A7A8-6E8B25EE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1427</Characters>
  <Application>Microsoft Office Word</Application>
  <DocSecurity>0</DocSecurity>
  <Lines>89</Lines>
  <Paragraphs>85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2026-03-21T01:47:00Z</dcterms:created>
  <dcterms:modified xsi:type="dcterms:W3CDTF">2026-03-21T01:48:00Z</dcterms:modified>
</cp:coreProperties>
</file>