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hAnsi="微软雅黑" w:eastAsia="微软雅黑"/>
                <w:b/>
                <w:kern w:val="2"/>
                <w:sz w:val="36"/>
                <w:szCs w:val="36"/>
              </w:rPr>
              <w:t>山地</w:t>
            </w:r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CD661">
      <w:pPr>
        <w:widowControl w:val="0"/>
        <w:jc w:val="center"/>
        <w:rPr>
          <w:rFonts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南平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2026年3月13日</w:t>
            </w:r>
            <w:bookmarkEnd w:id="7"/>
          </w:p>
        </w:tc>
      </w:tr>
    </w:tbl>
    <w:p w14:paraId="34816261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T19996839590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76049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_Toc15006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D664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_Toc1810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_Toc1810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38A33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_Toc4622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_Toc4622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E67EA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_Toc22081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_Toc22081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FA0F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_Toc30623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_Toc30623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ACEC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_Toc12627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_Toc12627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0F59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_Toc13246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_Toc13246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2DF15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_Toc17175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_Toc17175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1190C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_Toc8624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_Toc8624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40258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_Toc11946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_Toc11946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C9A78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_Toc24926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_Toc24926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EAE0F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_Toc137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BB9D8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_Toc28836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_Toc28836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10DA4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_Toc7466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_Toc7466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35EFC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_Toc12291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_Toc12291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28288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_Toc16744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_Toc16744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13455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_Toc13788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_Toc13788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502CC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_Toc2886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_Toc2886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15006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山地</w:t>
            </w:r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南平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26.63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118.02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气候区"/>
            <w:r>
              <w:t>IIIB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114300" distR="114300">
            <wp:extent cx="5669280" cy="389255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8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114300" distR="114300">
            <wp:extent cx="5669280" cy="3892550"/>
            <wp:effectExtent l="0" t="0" r="0" b="889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8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9" w:name="_GoBack"/>
      <w:bookmarkEnd w:id="59"/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1810"/>
      <w:bookmarkStart w:id="24" w:name="TitleFormat"/>
      <w:r>
        <w:rPr>
          <w:rFonts w:hint="eastAsia"/>
        </w:rPr>
        <w:t>设计依据</w:t>
      </w:r>
      <w:bookmarkEnd w:id="23"/>
    </w:p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50378-2019（2024年版）</w:t>
      </w:r>
      <w:r>
        <w:br w:type="textWrapping"/>
      </w:r>
      <w:r>
        <w:t>2. 《城市居住区热环境设计标准》JGJ 286-2013</w:t>
      </w:r>
      <w:bookmarkEnd w:id="24"/>
      <w:bookmarkEnd w:id="25"/>
    </w:p>
    <w:p w14:paraId="790505B0">
      <w:pPr>
        <w:pStyle w:val="2"/>
      </w:pPr>
      <w:bookmarkStart w:id="26" w:name="_Toc4622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46AAC3A2">
      <w:pPr>
        <w:pStyle w:val="4"/>
      </w:pPr>
      <w:bookmarkStart w:id="27" w:name="_Toc22081"/>
      <w:r>
        <w:rPr>
          <w:rFonts w:hint="eastAsia"/>
        </w:rPr>
        <w:t>强制条文</w:t>
      </w:r>
      <w:bookmarkEnd w:id="27"/>
    </w:p>
    <w:p w14:paraId="201FEF3A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04294197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2F03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3DC5F63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6E82F32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30B6AC8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6B04B79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48B3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46209D8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6C48D3B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40EF9EE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43AFC20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2D9AD8A6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2876355E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59EA218D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2324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0616063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15F9970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1C27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42EECA3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DD1448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403DC1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6085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3DD213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754EEE4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7017EA5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6CF4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D47069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78D3FE6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7D2CC4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631A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0445A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0942B2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EB8657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47AB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8DC682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0A94DC8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0BDD665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230B2847">
      <w:pPr>
        <w:pStyle w:val="4"/>
      </w:pPr>
      <w:bookmarkStart w:id="28" w:name="_Toc30623"/>
      <w:r>
        <w:rPr>
          <w:rFonts w:hint="eastAsia"/>
        </w:rPr>
        <w:t>规定性设计</w:t>
      </w:r>
      <w:bookmarkEnd w:id="28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9" w:name="_Toc12627"/>
      <w:r>
        <w:rPr>
          <w:rFonts w:hint="eastAsia"/>
        </w:rPr>
        <w:t>计算参数</w:t>
      </w:r>
      <w:bookmarkEnd w:id="29"/>
    </w:p>
    <w:p w14:paraId="5DA09856">
      <w:pPr>
        <w:pStyle w:val="4"/>
      </w:pPr>
      <w:bookmarkStart w:id="30" w:name="_Toc13246"/>
      <w:r>
        <w:rPr>
          <w:rFonts w:hint="eastAsia"/>
        </w:rPr>
        <w:t>典型气象日气象参数</w:t>
      </w:r>
      <w:bookmarkEnd w:id="3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0BFC6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E3DD9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DC8DC8F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621EF9C8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789B80ED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3692BFD6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2F59008A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49E74110">
            <w:pPr>
              <w:jc w:val="center"/>
            </w:pPr>
            <w:r>
              <w:t>主导风向</w:t>
            </w:r>
          </w:p>
        </w:tc>
      </w:tr>
      <w:tr w14:paraId="7BB6A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100972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15960438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50162A95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564C8E6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974A98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4C18DBB">
            <w:pPr>
              <w:jc w:val="center"/>
            </w:pPr>
            <w:r>
              <w:t>4.0</w:t>
            </w:r>
          </w:p>
        </w:tc>
        <w:tc>
          <w:tcPr>
            <w:vMerge w:val="restart"/>
            <w:vAlign w:val="center"/>
          </w:tcPr>
          <w:p w14:paraId="6C98B8E8">
            <w:pPr>
              <w:jc w:val="center"/>
            </w:pPr>
            <w:r>
              <w:t>南</w:t>
            </w:r>
          </w:p>
        </w:tc>
      </w:tr>
      <w:tr w14:paraId="6899D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063D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44185C"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 w14:paraId="0A1F5AF0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1094A22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D13583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8DEAE64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0A5EAC8D">
            <w:pPr>
              <w:jc w:val="center"/>
            </w:pPr>
          </w:p>
        </w:tc>
      </w:tr>
      <w:tr w14:paraId="14268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E03B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8E24C2">
            <w:pPr>
              <w:jc w:val="center"/>
            </w:pPr>
            <w:r>
              <w:t>25.9</w:t>
            </w:r>
          </w:p>
        </w:tc>
        <w:tc>
          <w:tcPr>
            <w:vAlign w:val="center"/>
          </w:tcPr>
          <w:p w14:paraId="4D397AF6"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 w14:paraId="1F35A9A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B03211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BCE5DA0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6F5E577D">
            <w:pPr>
              <w:jc w:val="center"/>
            </w:pPr>
          </w:p>
        </w:tc>
      </w:tr>
      <w:tr w14:paraId="7BFF9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A1614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797C218"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 w14:paraId="0213183D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1F320B9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758E3B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3ED5798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446345C8">
            <w:pPr>
              <w:jc w:val="center"/>
            </w:pPr>
          </w:p>
        </w:tc>
      </w:tr>
      <w:tr w14:paraId="7074F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3BFC4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742F035"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 w14:paraId="266D53CC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4FBBB7E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A9FBA0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5E3E548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00428CF9">
            <w:pPr>
              <w:jc w:val="center"/>
            </w:pPr>
          </w:p>
        </w:tc>
      </w:tr>
      <w:tr w14:paraId="02396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4C20A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1C720F3"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 w14:paraId="6EEF357D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1E9953E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C8B5C5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8E5B313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42673883">
            <w:pPr>
              <w:jc w:val="center"/>
            </w:pPr>
          </w:p>
        </w:tc>
      </w:tr>
      <w:tr w14:paraId="1D5D3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A772F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D36B0C7"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 w14:paraId="7C4602EA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6159A97C"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 w14:paraId="2B0768C3">
            <w:pPr>
              <w:jc w:val="center"/>
            </w:pPr>
            <w:r>
              <w:t>66.67</w:t>
            </w:r>
          </w:p>
        </w:tc>
        <w:tc>
          <w:tcPr>
            <w:vAlign w:val="center"/>
          </w:tcPr>
          <w:p w14:paraId="60A16448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38D38B68">
            <w:pPr>
              <w:jc w:val="center"/>
            </w:pPr>
          </w:p>
        </w:tc>
      </w:tr>
      <w:tr w14:paraId="18A45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6ABD5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9BDDF76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3231BEC7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2177319E">
            <w:pPr>
              <w:jc w:val="center"/>
            </w:pPr>
            <w:r>
              <w:t>222.22</w:t>
            </w:r>
          </w:p>
        </w:tc>
        <w:tc>
          <w:tcPr>
            <w:vAlign w:val="center"/>
          </w:tcPr>
          <w:p w14:paraId="08DF0284">
            <w:pPr>
              <w:jc w:val="center"/>
            </w:pPr>
            <w:r>
              <w:t>127.78</w:t>
            </w:r>
          </w:p>
        </w:tc>
        <w:tc>
          <w:tcPr>
            <w:vAlign w:val="center"/>
          </w:tcPr>
          <w:p w14:paraId="4518DA19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2C716DA7">
            <w:pPr>
              <w:jc w:val="center"/>
            </w:pPr>
          </w:p>
        </w:tc>
      </w:tr>
      <w:tr w14:paraId="1F722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7F58D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D99E277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775AD73E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08704770">
            <w:pPr>
              <w:jc w:val="center"/>
            </w:pPr>
            <w:r>
              <w:t>352.78</w:t>
            </w:r>
          </w:p>
        </w:tc>
        <w:tc>
          <w:tcPr>
            <w:vAlign w:val="center"/>
          </w:tcPr>
          <w:p w14:paraId="06973B96">
            <w:pPr>
              <w:jc w:val="center"/>
            </w:pPr>
            <w:r>
              <w:t>183.33</w:t>
            </w:r>
          </w:p>
        </w:tc>
        <w:tc>
          <w:tcPr>
            <w:vAlign w:val="center"/>
          </w:tcPr>
          <w:p w14:paraId="759FBB6E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352D94CF">
            <w:pPr>
              <w:jc w:val="center"/>
            </w:pPr>
          </w:p>
        </w:tc>
      </w:tr>
      <w:tr w14:paraId="0F0A1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C8017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F8E32C1">
            <w:pPr>
              <w:jc w:val="center"/>
            </w:pPr>
            <w:r>
              <w:t>28.3</w:t>
            </w:r>
          </w:p>
        </w:tc>
        <w:tc>
          <w:tcPr>
            <w:vAlign w:val="center"/>
          </w:tcPr>
          <w:p w14:paraId="432ED340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570F9637">
            <w:pPr>
              <w:jc w:val="center"/>
            </w:pPr>
            <w:r>
              <w:t>477.78</w:t>
            </w:r>
          </w:p>
        </w:tc>
        <w:tc>
          <w:tcPr>
            <w:vAlign w:val="center"/>
          </w:tcPr>
          <w:p w14:paraId="2E4DF76D">
            <w:pPr>
              <w:jc w:val="center"/>
            </w:pPr>
            <w:r>
              <w:t>230.56</w:t>
            </w:r>
          </w:p>
        </w:tc>
        <w:tc>
          <w:tcPr>
            <w:vAlign w:val="center"/>
          </w:tcPr>
          <w:p w14:paraId="7AEAFD11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2FD99515">
            <w:pPr>
              <w:jc w:val="center"/>
            </w:pPr>
          </w:p>
        </w:tc>
      </w:tr>
      <w:tr w14:paraId="0A542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6DA61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ADA6FBB"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 w14:paraId="2B794D01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664285FB">
            <w:pPr>
              <w:jc w:val="center"/>
            </w:pPr>
            <w:r>
              <w:t>580.56</w:t>
            </w:r>
          </w:p>
        </w:tc>
        <w:tc>
          <w:tcPr>
            <w:vAlign w:val="center"/>
          </w:tcPr>
          <w:p w14:paraId="3686B3C2">
            <w:pPr>
              <w:jc w:val="center"/>
            </w:pPr>
            <w:r>
              <w:t>266.67</w:t>
            </w:r>
          </w:p>
        </w:tc>
        <w:tc>
          <w:tcPr>
            <w:vAlign w:val="center"/>
          </w:tcPr>
          <w:p w14:paraId="7BA490F7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6A24134D">
            <w:pPr>
              <w:jc w:val="center"/>
            </w:pPr>
          </w:p>
        </w:tc>
      </w:tr>
      <w:tr w14:paraId="254DF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9687B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C96A5E7"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 w14:paraId="00EB2FBF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4FB34498">
            <w:pPr>
              <w:jc w:val="center"/>
            </w:pPr>
            <w:r>
              <w:t>644.44</w:t>
            </w:r>
          </w:p>
        </w:tc>
        <w:tc>
          <w:tcPr>
            <w:vAlign w:val="center"/>
          </w:tcPr>
          <w:p w14:paraId="5E5EED1B">
            <w:pPr>
              <w:jc w:val="center"/>
            </w:pPr>
            <w:r>
              <w:t>286.11</w:t>
            </w:r>
          </w:p>
        </w:tc>
        <w:tc>
          <w:tcPr>
            <w:vAlign w:val="center"/>
          </w:tcPr>
          <w:p w14:paraId="5EFF76BE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658DEB03">
            <w:pPr>
              <w:jc w:val="center"/>
            </w:pPr>
          </w:p>
        </w:tc>
      </w:tr>
      <w:tr w14:paraId="69400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23E5D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3AD59DE">
            <w:pPr>
              <w:jc w:val="center"/>
            </w:pPr>
            <w:r>
              <w:t>30.8</w:t>
            </w:r>
          </w:p>
        </w:tc>
        <w:tc>
          <w:tcPr>
            <w:vAlign w:val="center"/>
          </w:tcPr>
          <w:p w14:paraId="07D32055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6E4C7999">
            <w:pPr>
              <w:jc w:val="center"/>
            </w:pPr>
            <w:r>
              <w:t>658.33</w:t>
            </w:r>
          </w:p>
        </w:tc>
        <w:tc>
          <w:tcPr>
            <w:vAlign w:val="center"/>
          </w:tcPr>
          <w:p w14:paraId="21785CBF">
            <w:pPr>
              <w:jc w:val="center"/>
            </w:pPr>
            <w:r>
              <w:t>291.67</w:t>
            </w:r>
          </w:p>
        </w:tc>
        <w:tc>
          <w:tcPr>
            <w:vAlign w:val="center"/>
          </w:tcPr>
          <w:p w14:paraId="24EC961A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1658F928">
            <w:pPr>
              <w:jc w:val="center"/>
            </w:pPr>
          </w:p>
        </w:tc>
      </w:tr>
      <w:tr w14:paraId="755EA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6EAA62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CFD9D38"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 w14:paraId="06D454DA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19B2DBDC">
            <w:pPr>
              <w:jc w:val="center"/>
            </w:pPr>
            <w:r>
              <w:t>622.22</w:t>
            </w:r>
          </w:p>
        </w:tc>
        <w:tc>
          <w:tcPr>
            <w:vAlign w:val="center"/>
          </w:tcPr>
          <w:p w14:paraId="3C2F6DD2">
            <w:pPr>
              <w:jc w:val="center"/>
            </w:pPr>
            <w:r>
              <w:t>280.56</w:t>
            </w:r>
          </w:p>
        </w:tc>
        <w:tc>
          <w:tcPr>
            <w:vAlign w:val="center"/>
          </w:tcPr>
          <w:p w14:paraId="2F2666DE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0E1693A2">
            <w:pPr>
              <w:jc w:val="center"/>
            </w:pPr>
          </w:p>
        </w:tc>
      </w:tr>
      <w:tr w14:paraId="0DBD6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7C5ABA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F745023">
            <w:pPr>
              <w:jc w:val="center"/>
            </w:pPr>
            <w:r>
              <w:t>31.0</w:t>
            </w:r>
          </w:p>
        </w:tc>
        <w:tc>
          <w:tcPr>
            <w:vAlign w:val="center"/>
          </w:tcPr>
          <w:p w14:paraId="1FD22023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1036A7D9">
            <w:pPr>
              <w:jc w:val="center"/>
            </w:pPr>
            <w:r>
              <w:t>541.67</w:t>
            </w:r>
          </w:p>
        </w:tc>
        <w:tc>
          <w:tcPr>
            <w:vAlign w:val="center"/>
          </w:tcPr>
          <w:p w14:paraId="75B7BDEF">
            <w:pPr>
              <w:jc w:val="center"/>
            </w:pPr>
            <w:r>
              <w:t>252.78</w:t>
            </w:r>
          </w:p>
        </w:tc>
        <w:tc>
          <w:tcPr>
            <w:vAlign w:val="center"/>
          </w:tcPr>
          <w:p w14:paraId="592C4AA4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6DE44DB3">
            <w:pPr>
              <w:jc w:val="center"/>
            </w:pPr>
          </w:p>
        </w:tc>
      </w:tr>
      <w:tr w14:paraId="0714E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38251E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48D8A67">
            <w:pPr>
              <w:jc w:val="center"/>
            </w:pPr>
            <w:r>
              <w:t>30.7</w:t>
            </w:r>
          </w:p>
        </w:tc>
        <w:tc>
          <w:tcPr>
            <w:vAlign w:val="center"/>
          </w:tcPr>
          <w:p w14:paraId="1C0E5A34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04E5086A">
            <w:pPr>
              <w:jc w:val="center"/>
            </w:pPr>
            <w:r>
              <w:t>427.78</w:t>
            </w:r>
          </w:p>
        </w:tc>
        <w:tc>
          <w:tcPr>
            <w:vAlign w:val="center"/>
          </w:tcPr>
          <w:p w14:paraId="67614B59">
            <w:pPr>
              <w:jc w:val="center"/>
            </w:pPr>
            <w:r>
              <w:t>211.11</w:t>
            </w:r>
          </w:p>
        </w:tc>
        <w:tc>
          <w:tcPr>
            <w:vAlign w:val="center"/>
          </w:tcPr>
          <w:p w14:paraId="7F866207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1E8C44AD">
            <w:pPr>
              <w:jc w:val="center"/>
            </w:pPr>
          </w:p>
        </w:tc>
      </w:tr>
      <w:tr w14:paraId="4F470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622C4D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82A13C9"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 w14:paraId="081552E5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0D2CC0BD">
            <w:pPr>
              <w:jc w:val="center"/>
            </w:pPr>
            <w:r>
              <w:t>300.00</w:t>
            </w:r>
          </w:p>
        </w:tc>
        <w:tc>
          <w:tcPr>
            <w:vAlign w:val="center"/>
          </w:tcPr>
          <w:p w14:paraId="39579DAF">
            <w:pPr>
              <w:jc w:val="center"/>
            </w:pPr>
            <w:r>
              <w:t>161.11</w:t>
            </w:r>
          </w:p>
        </w:tc>
        <w:tc>
          <w:tcPr>
            <w:vAlign w:val="center"/>
          </w:tcPr>
          <w:p w14:paraId="56E98DBA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58A8057D">
            <w:pPr>
              <w:jc w:val="center"/>
            </w:pPr>
          </w:p>
        </w:tc>
      </w:tr>
      <w:tr w14:paraId="749A8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68DB1A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7E6829D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62985200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1C51B898">
            <w:pPr>
              <w:jc w:val="center"/>
            </w:pPr>
            <w:r>
              <w:t>169.44</w:t>
            </w:r>
          </w:p>
        </w:tc>
        <w:tc>
          <w:tcPr>
            <w:vAlign w:val="center"/>
          </w:tcPr>
          <w:p w14:paraId="1B3D76D1"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 w14:paraId="1C68CD99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404021A8">
            <w:pPr>
              <w:jc w:val="center"/>
            </w:pPr>
          </w:p>
        </w:tc>
      </w:tr>
      <w:tr w14:paraId="3E945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1264B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34A205"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 w14:paraId="4EC9600A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0005D2AF">
            <w:pPr>
              <w:jc w:val="center"/>
            </w:pPr>
            <w:r>
              <w:t>55.56</w:t>
            </w:r>
          </w:p>
        </w:tc>
        <w:tc>
          <w:tcPr>
            <w:vAlign w:val="center"/>
          </w:tcPr>
          <w:p w14:paraId="3B2BD7B1">
            <w:pPr>
              <w:jc w:val="center"/>
            </w:pPr>
            <w:r>
              <w:t>36.11</w:t>
            </w:r>
          </w:p>
        </w:tc>
        <w:tc>
          <w:tcPr>
            <w:vAlign w:val="center"/>
          </w:tcPr>
          <w:p w14:paraId="57C8E6DB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717AEA6A">
            <w:pPr>
              <w:jc w:val="center"/>
            </w:pPr>
          </w:p>
        </w:tc>
      </w:tr>
      <w:tr w14:paraId="3508E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0D294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397DCB7"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 w14:paraId="5EEEF149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774F209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F0E162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2EF2E4C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164F0E75">
            <w:pPr>
              <w:jc w:val="center"/>
            </w:pPr>
          </w:p>
        </w:tc>
      </w:tr>
      <w:tr w14:paraId="09071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181DD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BDBC2E">
            <w:pPr>
              <w:jc w:val="center"/>
            </w:pPr>
            <w:r>
              <w:t>27.7</w:t>
            </w:r>
          </w:p>
        </w:tc>
        <w:tc>
          <w:tcPr>
            <w:vAlign w:val="center"/>
          </w:tcPr>
          <w:p w14:paraId="68582F10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66BAE75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A4279D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3CE1841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566F5A12">
            <w:pPr>
              <w:jc w:val="center"/>
            </w:pPr>
          </w:p>
        </w:tc>
      </w:tr>
      <w:tr w14:paraId="1F48C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C7F204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B5E6D22">
            <w:pPr>
              <w:jc w:val="center"/>
            </w:pPr>
            <w:r>
              <w:t>27.5</w:t>
            </w:r>
          </w:p>
        </w:tc>
        <w:tc>
          <w:tcPr>
            <w:vAlign w:val="center"/>
          </w:tcPr>
          <w:p w14:paraId="5C7DE081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0104030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205CD6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E8F4EBA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6D944E3B">
            <w:pPr>
              <w:jc w:val="center"/>
            </w:pPr>
          </w:p>
        </w:tc>
      </w:tr>
      <w:tr w14:paraId="42356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ECC51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F850F25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58FFF9EC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0D40A69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149244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34A6E02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2A51241E">
            <w:pPr>
              <w:jc w:val="center"/>
            </w:pPr>
          </w:p>
        </w:tc>
      </w:tr>
      <w:tr w14:paraId="36490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12FFBC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9B6A0F8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00EC3C90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5ADF354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D82721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D708C4A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3E429345">
            <w:pPr>
              <w:jc w:val="center"/>
            </w:pPr>
          </w:p>
        </w:tc>
      </w:tr>
      <w:tr w14:paraId="6D7D6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7B0623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473896C2"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 w14:paraId="36D936C9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5EDC68AB">
            <w:pPr>
              <w:jc w:val="center"/>
            </w:pPr>
            <w:r>
              <w:t>214.70</w:t>
            </w:r>
          </w:p>
        </w:tc>
        <w:tc>
          <w:tcPr>
            <w:vAlign w:val="center"/>
          </w:tcPr>
          <w:p w14:paraId="0EFBE11E">
            <w:pPr>
              <w:jc w:val="center"/>
            </w:pPr>
            <w:r>
              <w:t>103.94</w:t>
            </w:r>
          </w:p>
        </w:tc>
        <w:tc>
          <w:tcPr>
            <w:vAlign w:val="center"/>
          </w:tcPr>
          <w:p w14:paraId="1B09447F">
            <w:pPr>
              <w:jc w:val="center"/>
            </w:pPr>
            <w:r>
              <w:t>4.3</w:t>
            </w:r>
          </w:p>
        </w:tc>
        <w:tc>
          <w:tcPr>
            <w:vMerge w:val="continue"/>
            <w:vAlign w:val="center"/>
          </w:tcPr>
          <w:p w14:paraId="7309F3E0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1" w:name="气象参数"/>
      <w:bookmarkEnd w:id="31"/>
    </w:p>
    <w:p w14:paraId="44534F6F">
      <w:pPr>
        <w:pStyle w:val="4"/>
      </w:pPr>
      <w:bookmarkStart w:id="32" w:name="_Toc17175"/>
      <w:r>
        <w:rPr>
          <w:rFonts w:hint="eastAsia"/>
        </w:rPr>
        <w:t>渗透面夏季逐时蒸发量</w:t>
      </w:r>
      <w:bookmarkEnd w:id="3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E9DE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D8A6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8F1B3F3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1451214F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59F7B6B4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41E7EC93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55243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39702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337AF212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0EBE8251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7ACE89A6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524C8C7B">
            <w:pPr>
              <w:jc w:val="center"/>
            </w:pPr>
            <w:r>
              <w:t>0.19</w:t>
            </w:r>
          </w:p>
        </w:tc>
      </w:tr>
      <w:tr w14:paraId="4F2AF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8D1E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77E7011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5BDEFE8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530EB8DF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529105BD">
            <w:pPr>
              <w:jc w:val="center"/>
            </w:pPr>
            <w:r>
              <w:t>0.15</w:t>
            </w:r>
          </w:p>
        </w:tc>
      </w:tr>
      <w:tr w14:paraId="3BF39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3EC3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6C041A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421D0DF7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7967C1B1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7B224F57">
            <w:pPr>
              <w:jc w:val="center"/>
            </w:pPr>
            <w:r>
              <w:t>0.12</w:t>
            </w:r>
          </w:p>
        </w:tc>
      </w:tr>
      <w:tr w14:paraId="5867C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9AE11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AEE2977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2C1ABB28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979949C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47A67289">
            <w:pPr>
              <w:jc w:val="center"/>
            </w:pPr>
            <w:r>
              <w:t>0.11</w:t>
            </w:r>
          </w:p>
        </w:tc>
      </w:tr>
      <w:tr w14:paraId="7DBFB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7C8D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C4C025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454DD96F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35841710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7DC13A65">
            <w:pPr>
              <w:jc w:val="center"/>
            </w:pPr>
            <w:r>
              <w:t>0.11</w:t>
            </w:r>
          </w:p>
        </w:tc>
      </w:tr>
      <w:tr w14:paraId="275A9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84DAA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24FD174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3CCA5A51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486583B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78F2133D">
            <w:pPr>
              <w:jc w:val="center"/>
            </w:pPr>
            <w:r>
              <w:t>0.13</w:t>
            </w:r>
          </w:p>
        </w:tc>
      </w:tr>
      <w:tr w14:paraId="66AD6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919E6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9C07A65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2B3D9E62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16AE706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6D1B63E0">
            <w:pPr>
              <w:jc w:val="center"/>
            </w:pPr>
            <w:r>
              <w:t>0.18</w:t>
            </w:r>
          </w:p>
        </w:tc>
      </w:tr>
      <w:tr w14:paraId="27A25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CC58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FF774B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667F3D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A186F54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1F750208">
            <w:pPr>
              <w:jc w:val="center"/>
            </w:pPr>
            <w:r>
              <w:t>0.26</w:t>
            </w:r>
          </w:p>
        </w:tc>
      </w:tr>
      <w:tr w14:paraId="6091F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09D9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B48D62D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324E01B9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F633545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72D779F">
            <w:pPr>
              <w:jc w:val="center"/>
            </w:pPr>
            <w:r>
              <w:t>0.34</w:t>
            </w:r>
          </w:p>
        </w:tc>
      </w:tr>
      <w:tr w14:paraId="3C5DC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97C4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966D0D5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576C9EC8"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 w14:paraId="09B0F043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64BEF7FA">
            <w:pPr>
              <w:jc w:val="center"/>
            </w:pPr>
            <w:r>
              <w:t>0.42</w:t>
            </w:r>
          </w:p>
        </w:tc>
      </w:tr>
      <w:tr w14:paraId="21CFF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878B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B3AF2C1"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 w14:paraId="6F6962A8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0B279464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A74E232">
            <w:pPr>
              <w:jc w:val="center"/>
            </w:pPr>
            <w:r>
              <w:t>0.44</w:t>
            </w:r>
          </w:p>
        </w:tc>
      </w:tr>
      <w:tr w14:paraId="4D015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570D2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47C6C9A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59ED9515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49816432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DB9A476">
            <w:pPr>
              <w:jc w:val="center"/>
            </w:pPr>
            <w:r>
              <w:t>0.43</w:t>
            </w:r>
          </w:p>
        </w:tc>
      </w:tr>
      <w:tr w14:paraId="33EED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0D785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76BD0D8"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 w14:paraId="277CB8FB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0FFCA891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4455C27D">
            <w:pPr>
              <w:jc w:val="center"/>
            </w:pPr>
            <w:r>
              <w:t>0.40</w:t>
            </w:r>
          </w:p>
        </w:tc>
      </w:tr>
      <w:tr w14:paraId="7B200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5D4DC0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C4ECB63"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 w14:paraId="7688DD91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01311E8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422F37A1">
            <w:pPr>
              <w:jc w:val="center"/>
            </w:pPr>
            <w:r>
              <w:t>0.35</w:t>
            </w:r>
          </w:p>
        </w:tc>
      </w:tr>
      <w:tr w14:paraId="57EBB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3B036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6D248C5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54ACE91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EDDEF08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6BA7B85F">
            <w:pPr>
              <w:jc w:val="center"/>
            </w:pPr>
            <w:r>
              <w:t>0.27</w:t>
            </w:r>
          </w:p>
        </w:tc>
      </w:tr>
      <w:tr w14:paraId="04C76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7BBCD1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41AA7A7"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 w14:paraId="77BE7EA5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1797E2C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1863CCE5">
            <w:pPr>
              <w:jc w:val="center"/>
            </w:pPr>
            <w:r>
              <w:t>0.23</w:t>
            </w:r>
          </w:p>
        </w:tc>
      </w:tr>
      <w:tr w14:paraId="61815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484D2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6FCEB11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2AF3FA4A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CBE71E5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55DE09AC">
            <w:pPr>
              <w:jc w:val="center"/>
            </w:pPr>
            <w:r>
              <w:t>0.17</w:t>
            </w:r>
          </w:p>
        </w:tc>
      </w:tr>
      <w:tr w14:paraId="48288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D3C316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77D9D693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7D912199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C8B9560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2B9737B5">
            <w:pPr>
              <w:jc w:val="center"/>
            </w:pPr>
            <w:r>
              <w:t>0.13</w:t>
            </w:r>
          </w:p>
        </w:tc>
      </w:tr>
      <w:tr w14:paraId="48278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62A52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B24048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50248FA4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2E29C6AE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5F335F3A">
            <w:pPr>
              <w:jc w:val="center"/>
            </w:pPr>
            <w:r>
              <w:t>0.09</w:t>
            </w:r>
          </w:p>
        </w:tc>
      </w:tr>
      <w:tr w14:paraId="56221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6DEDCF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006ED22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4D7CCAD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57FC52F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70736758">
            <w:pPr>
              <w:jc w:val="center"/>
            </w:pPr>
            <w:r>
              <w:t>0.08</w:t>
            </w:r>
          </w:p>
        </w:tc>
      </w:tr>
      <w:tr w14:paraId="3A5C1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27503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8A45E94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76762C2E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53E98F19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2EF98F8A">
            <w:pPr>
              <w:jc w:val="center"/>
            </w:pPr>
            <w:r>
              <w:t>0.06</w:t>
            </w:r>
          </w:p>
        </w:tc>
      </w:tr>
      <w:tr w14:paraId="0252E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52D731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2BC7DFEF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F3BB67D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04DD76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123FF00">
            <w:pPr>
              <w:jc w:val="center"/>
            </w:pPr>
            <w:r>
              <w:t>0.05</w:t>
            </w:r>
          </w:p>
        </w:tc>
      </w:tr>
      <w:tr w14:paraId="2D9C5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4732C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7ED3C13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3DE46947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06A26EBC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5CCF4B71">
            <w:pPr>
              <w:jc w:val="center"/>
            </w:pPr>
            <w:r>
              <w:t>0.05</w:t>
            </w:r>
          </w:p>
        </w:tc>
      </w:tr>
      <w:tr w14:paraId="26F35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69E692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623851EB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0D848265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1BA3C92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607C7ED">
            <w:pPr>
              <w:jc w:val="center"/>
            </w:pPr>
            <w:r>
              <w:t>0.04</w:t>
            </w:r>
          </w:p>
        </w:tc>
      </w:tr>
      <w:tr w14:paraId="50AAD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C15A20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3FC549FD"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 w14:paraId="3239FD5B"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 w14:paraId="4626A89D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486A54EE">
            <w:pPr>
              <w:jc w:val="center"/>
            </w:pPr>
            <w:r>
              <w:t>4.80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3" w:name="蒸发量参数"/>
      <w:bookmarkEnd w:id="33"/>
    </w:p>
    <w:p w14:paraId="6D322CD3">
      <w:pPr>
        <w:pStyle w:val="2"/>
      </w:pPr>
      <w:bookmarkStart w:id="34" w:name="_Toc8624"/>
      <w:r>
        <w:rPr>
          <w:rFonts w:hint="eastAsia"/>
        </w:rPr>
        <w:t>住区指标概览</w:t>
      </w:r>
      <w:bookmarkEnd w:id="34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3943E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1547F6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696C13E2">
            <w:pPr>
              <w:jc w:val="center"/>
            </w:pPr>
            <w:r>
              <w:t>值</w:t>
            </w:r>
          </w:p>
        </w:tc>
      </w:tr>
      <w:tr w14:paraId="09513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A34434">
            <w:r>
              <w:t>地块面积(㎡)</w:t>
            </w:r>
          </w:p>
        </w:tc>
        <w:tc>
          <w:tcPr>
            <w:vAlign w:val="center"/>
          </w:tcPr>
          <w:p w14:paraId="4720E80F">
            <w:r>
              <w:t>5271.17</w:t>
            </w:r>
          </w:p>
        </w:tc>
      </w:tr>
      <w:tr w14:paraId="6D784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27C9C">
            <w:r>
              <w:t>建筑密度</w:t>
            </w:r>
          </w:p>
        </w:tc>
        <w:tc>
          <w:tcPr>
            <w:vAlign w:val="center"/>
          </w:tcPr>
          <w:p w14:paraId="5269875A">
            <w:r>
              <w:t>0.14</w:t>
            </w:r>
          </w:p>
        </w:tc>
      </w:tr>
      <w:tr w14:paraId="46B0C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718970">
            <w:r>
              <w:t>室外面积(㎡)</w:t>
            </w:r>
          </w:p>
        </w:tc>
        <w:tc>
          <w:tcPr>
            <w:vAlign w:val="center"/>
          </w:tcPr>
          <w:p w14:paraId="5089DB39">
            <w:r>
              <w:t>4531.56</w:t>
            </w:r>
          </w:p>
        </w:tc>
      </w:tr>
      <w:tr w14:paraId="4D47A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2902C1">
            <w:r>
              <w:t>人行道面积(㎡)</w:t>
            </w:r>
          </w:p>
        </w:tc>
        <w:tc>
          <w:tcPr>
            <w:vAlign w:val="center"/>
          </w:tcPr>
          <w:p w14:paraId="15607675">
            <w:r>
              <w:t>1147.39</w:t>
            </w:r>
          </w:p>
        </w:tc>
      </w:tr>
      <w:tr w14:paraId="02312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79E7AA">
            <w:r>
              <w:t>停车场面积(㎡)</w:t>
            </w:r>
          </w:p>
        </w:tc>
        <w:tc>
          <w:tcPr>
            <w:vAlign w:val="center"/>
          </w:tcPr>
          <w:p w14:paraId="7BE878F0">
            <w:r>
              <w:t>385.89</w:t>
            </w:r>
          </w:p>
        </w:tc>
      </w:tr>
      <w:tr w14:paraId="5AEAA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423AC4">
            <w:r>
              <w:t>内部车道面积(㎡)</w:t>
            </w:r>
          </w:p>
        </w:tc>
        <w:tc>
          <w:tcPr>
            <w:vAlign w:val="center"/>
          </w:tcPr>
          <w:p w14:paraId="41D0885E">
            <w:r>
              <w:t>453.57</w:t>
            </w:r>
          </w:p>
        </w:tc>
      </w:tr>
      <w:tr w14:paraId="0AAD7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AC3625">
            <w:r>
              <w:t>草地面积(㎡)</w:t>
            </w:r>
          </w:p>
        </w:tc>
        <w:tc>
          <w:tcPr>
            <w:vAlign w:val="center"/>
          </w:tcPr>
          <w:p w14:paraId="7C518F11">
            <w:r>
              <w:t>2248.65</w:t>
            </w:r>
          </w:p>
        </w:tc>
      </w:tr>
      <w:tr w14:paraId="66A76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5C4FE9">
            <w:r>
              <w:t>水面面积(㎡)</w:t>
            </w:r>
          </w:p>
        </w:tc>
        <w:tc>
          <w:tcPr>
            <w:vAlign w:val="center"/>
          </w:tcPr>
          <w:p w14:paraId="60B1A2D2">
            <w:r>
              <w:t>0.00</w:t>
            </w:r>
          </w:p>
        </w:tc>
      </w:tr>
      <w:tr w14:paraId="2F759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A1C3C4">
            <w:r>
              <w:t>乔木面积(㎡)</w:t>
            </w:r>
          </w:p>
        </w:tc>
        <w:tc>
          <w:tcPr>
            <w:vAlign w:val="center"/>
          </w:tcPr>
          <w:p w14:paraId="18BD1981">
            <w:r>
              <w:t>3677.41</w:t>
            </w:r>
          </w:p>
        </w:tc>
      </w:tr>
      <w:tr w14:paraId="4EE75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B8FD7">
            <w:r>
              <w:t>亭廊面积(㎡)</w:t>
            </w:r>
          </w:p>
        </w:tc>
        <w:tc>
          <w:tcPr>
            <w:vAlign w:val="center"/>
          </w:tcPr>
          <w:p w14:paraId="1CB9C3E3">
            <w:r>
              <w:t>0.00</w:t>
            </w:r>
          </w:p>
        </w:tc>
      </w:tr>
      <w:tr w14:paraId="3D4D2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6449EA">
            <w:r>
              <w:t>爬藤棚架面积(㎡)</w:t>
            </w:r>
          </w:p>
        </w:tc>
        <w:tc>
          <w:tcPr>
            <w:vAlign w:val="center"/>
          </w:tcPr>
          <w:p w14:paraId="121EB439">
            <w:r>
              <w:t>0.00</w:t>
            </w:r>
          </w:p>
        </w:tc>
      </w:tr>
      <w:tr w14:paraId="0ECFC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8B1037">
            <w:r>
              <w:t>屋顶绿化面积(㎡)</w:t>
            </w:r>
          </w:p>
        </w:tc>
        <w:tc>
          <w:tcPr>
            <w:vAlign w:val="center"/>
          </w:tcPr>
          <w:p w14:paraId="5BA7CB2D">
            <w:r>
              <w:t>598.80</w:t>
            </w:r>
          </w:p>
        </w:tc>
      </w:tr>
      <w:tr w14:paraId="2EF03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C20973">
            <w:r>
              <w:t>渗透性硬地面积(㎡)</w:t>
            </w:r>
          </w:p>
        </w:tc>
        <w:tc>
          <w:tcPr>
            <w:vAlign w:val="center"/>
          </w:tcPr>
          <w:p w14:paraId="1050C726">
            <w:r>
              <w:t>1533.27</w:t>
            </w:r>
          </w:p>
        </w:tc>
      </w:tr>
      <w:tr w14:paraId="56CAE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75E266">
            <w:r>
              <w:t>绿化遮阳覆盖率(%)</w:t>
            </w:r>
          </w:p>
        </w:tc>
        <w:tc>
          <w:tcPr>
            <w:vAlign w:val="center"/>
          </w:tcPr>
          <w:p w14:paraId="6066BE22">
            <w:r>
              <w:t>81.15</w:t>
            </w:r>
          </w:p>
        </w:tc>
      </w:tr>
      <w:tr w14:paraId="262E1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4F218">
            <w:r>
              <w:t>构筑物遮阳覆盖率(%)</w:t>
            </w:r>
          </w:p>
        </w:tc>
        <w:tc>
          <w:tcPr>
            <w:vAlign w:val="center"/>
          </w:tcPr>
          <w:p w14:paraId="4A2E92BD">
            <w:r>
              <w:t>0.00</w:t>
            </w:r>
          </w:p>
        </w:tc>
      </w:tr>
    </w:tbl>
    <w:p w14:paraId="38EE843A">
      <w:pPr>
        <w:pStyle w:val="3"/>
        <w:ind w:firstLine="420"/>
        <w:rPr>
          <w:lang w:val="en-US"/>
        </w:rPr>
      </w:pPr>
      <w:bookmarkStart w:id="35" w:name="住区指标概览"/>
      <w:bookmarkEnd w:id="35"/>
    </w:p>
    <w:p w14:paraId="31537C5D">
      <w:pPr>
        <w:pStyle w:val="2"/>
      </w:pPr>
      <w:bookmarkStart w:id="36" w:name="_Toc11946"/>
      <w:r>
        <w:rPr>
          <w:rFonts w:hint="eastAsia"/>
        </w:rPr>
        <w:t>强制性</w:t>
      </w:r>
      <w:r>
        <w:t>设计指标</w:t>
      </w:r>
      <w:bookmarkEnd w:id="36"/>
    </w:p>
    <w:p w14:paraId="6AD6C6B6">
      <w:pPr>
        <w:pStyle w:val="4"/>
      </w:pPr>
      <w:bookmarkStart w:id="37" w:name="_Toc24926"/>
      <w:r>
        <w:rPr>
          <w:rFonts w:hint="eastAsia"/>
        </w:rPr>
        <w:t>平均迎风面积比</w:t>
      </w:r>
      <w:bookmarkEnd w:id="37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85E4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4290C8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A15FC1D">
            <w:pPr>
              <w:jc w:val="center"/>
            </w:pP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06BCCA98"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19B3B684"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53F39129">
            <w:pPr>
              <w:jc w:val="center"/>
            </w:pPr>
            <w:r>
              <w:t>迎风面积比</w:t>
            </w:r>
          </w:p>
        </w:tc>
      </w:tr>
      <w:tr w14:paraId="28CBD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762FF">
            <w:r>
              <w:t>住区</w:t>
            </w:r>
          </w:p>
        </w:tc>
        <w:tc>
          <w:tcPr>
            <w:vAlign w:val="center"/>
          </w:tcPr>
          <w:p w14:paraId="1D0746CE">
            <w:pPr>
              <w:rPr>
                <w:rFonts w:hint="default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33.83</w:t>
            </w:r>
          </w:p>
        </w:tc>
        <w:tc>
          <w:tcPr>
            <w:vAlign w:val="center"/>
          </w:tcPr>
          <w:p w14:paraId="4DFE00B1">
            <w:r>
              <w:t>460.88</w:t>
            </w:r>
          </w:p>
        </w:tc>
        <w:tc>
          <w:tcPr>
            <w:vAlign w:val="center"/>
          </w:tcPr>
          <w:p w14:paraId="13DD7712">
            <w:r>
              <w:t>126.00</w:t>
            </w:r>
          </w:p>
        </w:tc>
        <w:tc>
          <w:tcPr>
            <w:vAlign w:val="center"/>
          </w:tcPr>
          <w:p w14:paraId="2444A4F1"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72</w:t>
            </w:r>
          </w:p>
        </w:tc>
      </w:tr>
      <w:tr w14:paraId="607CA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shd w:val="clear" w:color="auto" w:fill="E6E6E6"/>
            <w:vAlign w:val="center"/>
          </w:tcPr>
          <w:p w14:paraId="775C0C80">
            <w:r>
              <w:t>餐厅</w:t>
            </w:r>
          </w:p>
        </w:tc>
        <w:tc>
          <w:tcPr>
            <w:vAlign w:val="center"/>
          </w:tcPr>
          <w:p w14:paraId="6CCC7D63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162.37</w:t>
            </w:r>
          </w:p>
        </w:tc>
        <w:tc>
          <w:tcPr>
            <w:vAlign w:val="center"/>
          </w:tcPr>
          <w:p w14:paraId="165D990A">
            <w:r>
              <w:t>213.64</w:t>
            </w:r>
          </w:p>
        </w:tc>
        <w:tc>
          <w:tcPr>
            <w:vAlign w:val="center"/>
          </w:tcPr>
          <w:p w14:paraId="43F6E26D">
            <w:r>
              <w:t>10.00</w:t>
            </w:r>
          </w:p>
        </w:tc>
        <w:tc>
          <w:tcPr>
            <w:vAlign w:val="center"/>
          </w:tcPr>
          <w:p w14:paraId="3070A549"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76</w:t>
            </w:r>
          </w:p>
        </w:tc>
      </w:tr>
      <w:tr w14:paraId="74DC3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88E0C0">
            <w:r>
              <w:t>平均迎风面积比</w:t>
            </w:r>
          </w:p>
        </w:tc>
        <w:tc>
          <w:tcPr>
            <w:gridSpan w:val="4"/>
            <w:vAlign w:val="center"/>
          </w:tcPr>
          <w:p w14:paraId="0D00F68F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lang w:val="en-US" w:eastAsia="zh-CN"/>
              </w:rPr>
              <w:t>0.74</w:t>
            </w:r>
          </w:p>
        </w:tc>
      </w:tr>
      <w:tr w14:paraId="44A4E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0E8EEE">
            <w:r>
              <w:t>依据</w:t>
            </w:r>
          </w:p>
        </w:tc>
        <w:tc>
          <w:tcPr>
            <w:gridSpan w:val="4"/>
            <w:vAlign w:val="center"/>
          </w:tcPr>
          <w:p w14:paraId="368E6832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《城市居住区热环境设计标准》4.1.1条</w:t>
            </w:r>
          </w:p>
        </w:tc>
      </w:tr>
      <w:tr w14:paraId="39C5E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0160E3">
            <w:r>
              <w:t>标准要求</w:t>
            </w:r>
          </w:p>
        </w:tc>
        <w:tc>
          <w:tcPr>
            <w:gridSpan w:val="4"/>
            <w:vAlign w:val="center"/>
          </w:tcPr>
          <w:p w14:paraId="2CA14051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平均迎风面积比≤0.80</w:t>
            </w:r>
          </w:p>
        </w:tc>
      </w:tr>
      <w:tr w14:paraId="3CFAC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094F7">
            <w:r>
              <w:t>结论</w:t>
            </w:r>
          </w:p>
        </w:tc>
        <w:tc>
          <w:tcPr>
            <w:gridSpan w:val="4"/>
            <w:vAlign w:val="center"/>
          </w:tcPr>
          <w:p w14:paraId="6D1A2395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满足</w:t>
            </w:r>
          </w:p>
        </w:tc>
      </w:tr>
    </w:tbl>
    <w:p w14:paraId="4C922688">
      <w:pPr>
        <w:pStyle w:val="3"/>
        <w:ind w:firstLine="420"/>
        <w:rPr>
          <w:lang w:val="en-US"/>
        </w:rPr>
      </w:pPr>
      <w:bookmarkStart w:id="38" w:name="平均迎风面积比"/>
      <w:bookmarkEnd w:id="38"/>
    </w:p>
    <w:p w14:paraId="1DDD1756">
      <w:pPr>
        <w:pStyle w:val="4"/>
      </w:pPr>
      <w:bookmarkStart w:id="39" w:name="_Toc137"/>
      <w:r>
        <w:rPr>
          <w:rFonts w:hint="eastAsia"/>
        </w:rPr>
        <w:t>活动场地遮阳覆盖率</w:t>
      </w:r>
      <w:bookmarkEnd w:id="3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49C2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C1E76F">
            <w:pPr>
              <w:jc w:val="center"/>
            </w:pPr>
            <w:r>
              <w:t>场地</w:t>
            </w:r>
          </w:p>
        </w:tc>
        <w:tc>
          <w:tcPr>
            <w:shd w:val="clear" w:color="auto" w:fill="E6E6E6"/>
            <w:vAlign w:val="center"/>
          </w:tcPr>
          <w:p w14:paraId="0AD569CF">
            <w:pPr>
              <w:jc w:val="center"/>
            </w:pPr>
            <w: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22699CDD"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1BD6E44D">
            <w:pPr>
              <w:jc w:val="center"/>
            </w:pPr>
            <w: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52ADFBB3">
            <w:pPr>
              <w:jc w:val="center"/>
            </w:pPr>
            <w:r>
              <w:t>覆盖率限值(%)</w:t>
            </w:r>
          </w:p>
        </w:tc>
      </w:tr>
      <w:tr w14:paraId="505AB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FE4EDE">
            <w:r>
              <w:t>人行道</w:t>
            </w:r>
          </w:p>
        </w:tc>
        <w:tc>
          <w:tcPr>
            <w:vAlign w:val="center"/>
          </w:tcPr>
          <w:p w14:paraId="1F86ACD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589.2</w:t>
            </w:r>
          </w:p>
        </w:tc>
        <w:tc>
          <w:tcPr>
            <w:vAlign w:val="center"/>
          </w:tcPr>
          <w:p w14:paraId="3C530267">
            <w:r>
              <w:t>1147.4</w:t>
            </w:r>
          </w:p>
        </w:tc>
        <w:tc>
          <w:tcPr>
            <w:vAlign w:val="center"/>
          </w:tcPr>
          <w:p w14:paraId="161A3829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vAlign w:val="center"/>
          </w:tcPr>
          <w:p w14:paraId="7A287E75">
            <w:r>
              <w:t>50</w:t>
            </w:r>
          </w:p>
        </w:tc>
      </w:tr>
      <w:tr w14:paraId="5B7D6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617E1E">
            <w:r>
              <w:t>停车场</w:t>
            </w:r>
          </w:p>
        </w:tc>
        <w:tc>
          <w:tcPr>
            <w:vAlign w:val="center"/>
          </w:tcPr>
          <w:p w14:paraId="2217CB4E">
            <w:r>
              <w:t>146.4</w:t>
            </w:r>
          </w:p>
        </w:tc>
        <w:tc>
          <w:tcPr>
            <w:vAlign w:val="center"/>
          </w:tcPr>
          <w:p w14:paraId="5D2012AC">
            <w:r>
              <w:t>385.9</w:t>
            </w:r>
          </w:p>
        </w:tc>
        <w:tc>
          <w:tcPr>
            <w:vAlign w:val="center"/>
          </w:tcPr>
          <w:p w14:paraId="5E70B009">
            <w:r>
              <w:t>38</w:t>
            </w:r>
          </w:p>
        </w:tc>
        <w:tc>
          <w:tcPr>
            <w:vAlign w:val="center"/>
          </w:tcPr>
          <w:p w14:paraId="583A9797">
            <w:r>
              <w:t>30</w:t>
            </w:r>
          </w:p>
        </w:tc>
      </w:tr>
      <w:tr w14:paraId="2C528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648A14">
            <w:r>
              <w:t>依据</w:t>
            </w:r>
          </w:p>
        </w:tc>
        <w:tc>
          <w:tcPr>
            <w:gridSpan w:val="4"/>
            <w:vAlign w:val="center"/>
          </w:tcPr>
          <w:p w14:paraId="6455DC6F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《城市居住区热环境设计标准》4.2.1条</w:t>
            </w:r>
          </w:p>
        </w:tc>
      </w:tr>
      <w:tr w14:paraId="031F6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FF2F09">
            <w:r>
              <w:t>标准要求</w:t>
            </w:r>
          </w:p>
        </w:tc>
        <w:tc>
          <w:tcPr>
            <w:gridSpan w:val="4"/>
            <w:vAlign w:val="center"/>
          </w:tcPr>
          <w:p w14:paraId="12DB1C79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各类活动场地遮阳覆盖率不得低于标准要求限值</w:t>
            </w:r>
          </w:p>
        </w:tc>
      </w:tr>
      <w:tr w14:paraId="47BC4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ED954">
            <w:r>
              <w:t>结论</w:t>
            </w:r>
          </w:p>
        </w:tc>
        <w:tc>
          <w:tcPr>
            <w:gridSpan w:val="4"/>
            <w:vAlign w:val="center"/>
          </w:tcPr>
          <w:p w14:paraId="20BC6321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满足</w:t>
            </w:r>
          </w:p>
        </w:tc>
      </w:tr>
    </w:tbl>
    <w:p w14:paraId="45D4EF3F">
      <w:pPr>
        <w:pStyle w:val="3"/>
        <w:ind w:firstLine="420"/>
        <w:rPr>
          <w:lang w:val="en-US"/>
        </w:rPr>
      </w:pPr>
      <w:bookmarkStart w:id="40" w:name="活动场地遮阳覆盖率"/>
      <w:bookmarkEnd w:id="40"/>
    </w:p>
    <w:p w14:paraId="14EB15C9">
      <w:pPr>
        <w:pStyle w:val="2"/>
      </w:pPr>
      <w:bookmarkStart w:id="41" w:name="_Toc28836"/>
      <w:r>
        <w:rPr>
          <w:rFonts w:hint="eastAsia"/>
        </w:rPr>
        <w:t>规定性设计指标</w:t>
      </w:r>
      <w:bookmarkEnd w:id="41"/>
    </w:p>
    <w:p w14:paraId="19AF87F4">
      <w:pPr>
        <w:pStyle w:val="4"/>
      </w:pPr>
      <w:bookmarkStart w:id="42" w:name="_Toc7466"/>
      <w:r>
        <w:rPr>
          <w:rFonts w:hint="eastAsia"/>
        </w:rPr>
        <w:t>底层通风架空率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95E8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ACD0F1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48F4F210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495CE960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6E87F15F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14440790">
            <w:pPr>
              <w:jc w:val="center"/>
            </w:pPr>
            <w:r>
              <w:t>底层通风架空率(%)</w:t>
            </w:r>
          </w:p>
        </w:tc>
      </w:tr>
      <w:tr w14:paraId="655F6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8CD6BA">
            <w:r>
              <w:t>住区</w:t>
            </w:r>
          </w:p>
        </w:tc>
        <w:tc>
          <w:tcPr>
            <w:vAlign w:val="center"/>
          </w:tcPr>
          <w:p w14:paraId="0AD1B6CF">
            <w:r>
              <w:t>0.0</w:t>
            </w:r>
          </w:p>
        </w:tc>
        <w:tc>
          <w:tcPr>
            <w:vAlign w:val="center"/>
          </w:tcPr>
          <w:p w14:paraId="72F4703B">
            <w:r>
              <w:t>440.0</w:t>
            </w:r>
          </w:p>
        </w:tc>
        <w:tc>
          <w:tcPr>
            <w:vAlign w:val="center"/>
          </w:tcPr>
          <w:p w14:paraId="62E782C8">
            <w:r>
              <w:t>0.0</w:t>
            </w:r>
          </w:p>
        </w:tc>
        <w:tc>
          <w:tcPr>
            <w:vAlign w:val="center"/>
          </w:tcPr>
          <w:p w14:paraId="1760F09A">
            <w:r>
              <w:t>0</w:t>
            </w:r>
          </w:p>
        </w:tc>
      </w:tr>
      <w:tr w14:paraId="0F836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E50B6">
            <w:r>
              <w:t>餐厅</w:t>
            </w:r>
          </w:p>
        </w:tc>
        <w:tc>
          <w:tcPr>
            <w:vAlign w:val="center"/>
          </w:tcPr>
          <w:p w14:paraId="005F75F1">
            <w:r>
              <w:t>0.0</w:t>
            </w:r>
          </w:p>
        </w:tc>
        <w:tc>
          <w:tcPr>
            <w:vAlign w:val="center"/>
          </w:tcPr>
          <w:p w14:paraId="302814E3">
            <w:r>
              <w:t>299.6</w:t>
            </w:r>
          </w:p>
        </w:tc>
        <w:tc>
          <w:tcPr>
            <w:vAlign w:val="center"/>
          </w:tcPr>
          <w:p w14:paraId="09B515CD">
            <w:r>
              <w:t>0.0</w:t>
            </w:r>
          </w:p>
        </w:tc>
        <w:tc>
          <w:tcPr>
            <w:vAlign w:val="center"/>
          </w:tcPr>
          <w:p w14:paraId="5EE3ED35">
            <w:r>
              <w:t>0</w:t>
            </w:r>
          </w:p>
        </w:tc>
      </w:tr>
      <w:tr w14:paraId="7C2C2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942D34">
            <w:r>
              <w:t>依据</w:t>
            </w:r>
          </w:p>
        </w:tc>
        <w:tc>
          <w:tcPr>
            <w:gridSpan w:val="4"/>
            <w:vAlign w:val="center"/>
          </w:tcPr>
          <w:p w14:paraId="180B27D2">
            <w:r>
              <w:t>《城市居住区热环境设计标准》4.1.4条</w:t>
            </w:r>
          </w:p>
        </w:tc>
      </w:tr>
      <w:tr w14:paraId="045B8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CE660D">
            <w:r>
              <w:t>标准要求</w:t>
            </w:r>
          </w:p>
        </w:tc>
        <w:tc>
          <w:tcPr>
            <w:gridSpan w:val="4"/>
            <w:vAlign w:val="center"/>
          </w:tcPr>
          <w:p w14:paraId="15E5BBB0">
            <w:r>
              <w:t>III、IV、V气候区，夏季主导风向迎风面积宽度超过80m时，底层通风架空率不应小于10%</w:t>
            </w:r>
          </w:p>
        </w:tc>
      </w:tr>
      <w:tr w14:paraId="0314F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6787DC">
            <w:r>
              <w:t>结论</w:t>
            </w:r>
          </w:p>
        </w:tc>
        <w:tc>
          <w:tcPr>
            <w:gridSpan w:val="4"/>
            <w:vAlign w:val="center"/>
          </w:tcPr>
          <w:p w14:paraId="3C32EA84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43" w:name="底层通风架空率"/>
      <w:bookmarkEnd w:id="43"/>
    </w:p>
    <w:p w14:paraId="48B2EABD">
      <w:pPr>
        <w:pStyle w:val="4"/>
      </w:pPr>
      <w:bookmarkStart w:id="44" w:name="_Toc12291"/>
      <w:r>
        <w:rPr>
          <w:rFonts w:hint="eastAsia"/>
        </w:rPr>
        <w:t>绿化遮阳体叶面积指数</w:t>
      </w:r>
      <w:bookmarkEnd w:id="44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5C626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F46384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0239E86D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24CC0EF7">
            <w:pPr>
              <w:jc w:val="center"/>
            </w:pPr>
            <w:r>
              <w:t>面积(㎡)</w:t>
            </w:r>
          </w:p>
        </w:tc>
      </w:tr>
      <w:tr w14:paraId="5CB1A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F9A195">
            <w:r>
              <w:t>乔木</w:t>
            </w:r>
          </w:p>
        </w:tc>
        <w:tc>
          <w:tcPr>
            <w:vAlign w:val="center"/>
          </w:tcPr>
          <w:p w14:paraId="78137402">
            <w:r>
              <w:t>LAI &gt;= 3</w:t>
            </w:r>
          </w:p>
        </w:tc>
        <w:tc>
          <w:tcPr>
            <w:vAlign w:val="center"/>
          </w:tcPr>
          <w:p w14:paraId="54C3973A">
            <w:r>
              <w:t>2051</w:t>
            </w:r>
          </w:p>
        </w:tc>
      </w:tr>
      <w:tr w14:paraId="7E4F7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3B33F9F"/>
        </w:tc>
        <w:tc>
          <w:tcPr>
            <w:vAlign w:val="center"/>
          </w:tcPr>
          <w:p w14:paraId="400F6FD3">
            <w:r>
              <w:t>LAI &lt; 3</w:t>
            </w:r>
          </w:p>
        </w:tc>
        <w:tc>
          <w:tcPr>
            <w:vAlign w:val="center"/>
          </w:tcPr>
          <w:p w14:paraId="59835D9D">
            <w:r>
              <w:t>1627</w:t>
            </w:r>
          </w:p>
        </w:tc>
      </w:tr>
      <w:tr w14:paraId="34F34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879DB8">
            <w:r>
              <w:t>爬藤棚架</w:t>
            </w:r>
          </w:p>
        </w:tc>
        <w:tc>
          <w:tcPr>
            <w:vAlign w:val="center"/>
          </w:tcPr>
          <w:p w14:paraId="3D836335">
            <w:r>
              <w:t>LAI &gt;= 3</w:t>
            </w:r>
          </w:p>
        </w:tc>
        <w:tc>
          <w:tcPr>
            <w:vAlign w:val="center"/>
          </w:tcPr>
          <w:p w14:paraId="6FC66BE2">
            <w:r>
              <w:t>0</w:t>
            </w:r>
          </w:p>
        </w:tc>
      </w:tr>
      <w:tr w14:paraId="553D0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117968"/>
        </w:tc>
        <w:tc>
          <w:tcPr>
            <w:vAlign w:val="center"/>
          </w:tcPr>
          <w:p w14:paraId="453FD665">
            <w:r>
              <w:t>LAI &lt; 3</w:t>
            </w:r>
          </w:p>
        </w:tc>
        <w:tc>
          <w:tcPr>
            <w:vAlign w:val="center"/>
          </w:tcPr>
          <w:p w14:paraId="5D387386">
            <w:r>
              <w:t>0</w:t>
            </w:r>
          </w:p>
        </w:tc>
      </w:tr>
      <w:tr w14:paraId="2D75F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55E46E">
            <w:r>
              <w:t>依据</w:t>
            </w:r>
          </w:p>
        </w:tc>
        <w:tc>
          <w:tcPr>
            <w:gridSpan w:val="2"/>
            <w:vAlign w:val="center"/>
          </w:tcPr>
          <w:p w14:paraId="2A9CDCAA">
            <w:r>
              <w:t>《城市居住区热环境设计标准》4.2.3条</w:t>
            </w:r>
          </w:p>
        </w:tc>
      </w:tr>
      <w:tr w14:paraId="7665F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D69028">
            <w:r>
              <w:t>标准要求</w:t>
            </w:r>
          </w:p>
        </w:tc>
        <w:tc>
          <w:tcPr>
            <w:gridSpan w:val="2"/>
            <w:vAlign w:val="center"/>
          </w:tcPr>
          <w:p w14:paraId="0FBF0DAE">
            <w:r>
              <w:t>绿化遮阳体叶面积指数不应小于3.0</w:t>
            </w:r>
          </w:p>
        </w:tc>
      </w:tr>
      <w:tr w14:paraId="391FD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4C2A2">
            <w:r>
              <w:t>结论</w:t>
            </w:r>
          </w:p>
        </w:tc>
        <w:tc>
          <w:tcPr>
            <w:gridSpan w:val="2"/>
            <w:vAlign w:val="center"/>
          </w:tcPr>
          <w:p w14:paraId="2CA7DAB9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45" w:name="绿化遮阳体叶面积指数"/>
      <w:bookmarkEnd w:id="45"/>
    </w:p>
    <w:p w14:paraId="58F51DDB">
      <w:pPr>
        <w:pStyle w:val="4"/>
      </w:pPr>
      <w:bookmarkStart w:id="46" w:name="_Toc16744"/>
      <w:r>
        <w:rPr>
          <w:rFonts w:hint="eastAsia"/>
        </w:rPr>
        <w:t>渗透蒸发指标</w:t>
      </w:r>
      <w:bookmarkEnd w:id="4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2619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E1D210A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29A6864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E8E386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6AFEA97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11B105A6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0DDCB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0342C0">
            <w:r>
              <w:t>人行道</w:t>
            </w:r>
          </w:p>
        </w:tc>
        <w:tc>
          <w:tcPr>
            <w:vAlign w:val="center"/>
          </w:tcPr>
          <w:p w14:paraId="349335DB">
            <w:r>
              <w:t>1147</w:t>
            </w:r>
          </w:p>
        </w:tc>
        <w:tc>
          <w:tcPr>
            <w:vAlign w:val="center"/>
          </w:tcPr>
          <w:p w14:paraId="738CC68B">
            <w:r>
              <w:t>0.748</w:t>
            </w:r>
          </w:p>
        </w:tc>
        <w:tc>
          <w:tcPr>
            <w:vAlign w:val="center"/>
          </w:tcPr>
          <w:p w14:paraId="41347CD1">
            <w:r>
              <w:t>3.00</w:t>
            </w:r>
          </w:p>
        </w:tc>
        <w:tc>
          <w:tcPr>
            <w:vAlign w:val="center"/>
          </w:tcPr>
          <w:p w14:paraId="3B48ACE1">
            <w:r>
              <w:t>1.32</w:t>
            </w:r>
          </w:p>
        </w:tc>
      </w:tr>
      <w:tr w14:paraId="1FB0C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42EBEC">
            <w:r>
              <w:t>停车场</w:t>
            </w:r>
          </w:p>
        </w:tc>
        <w:tc>
          <w:tcPr>
            <w:vAlign w:val="center"/>
          </w:tcPr>
          <w:p w14:paraId="4A7859A2">
            <w:r>
              <w:t>386</w:t>
            </w:r>
          </w:p>
        </w:tc>
        <w:tc>
          <w:tcPr>
            <w:vAlign w:val="center"/>
          </w:tcPr>
          <w:p w14:paraId="12B5DAAF">
            <w:r>
              <w:t>0.252</w:t>
            </w:r>
          </w:p>
        </w:tc>
        <w:tc>
          <w:tcPr>
            <w:vAlign w:val="center"/>
          </w:tcPr>
          <w:p w14:paraId="0EB3C4A1">
            <w:r>
              <w:t>3.00</w:t>
            </w:r>
          </w:p>
        </w:tc>
        <w:tc>
          <w:tcPr>
            <w:vAlign w:val="center"/>
          </w:tcPr>
          <w:p w14:paraId="658FB684">
            <w:r>
              <w:t>1.32</w:t>
            </w:r>
          </w:p>
        </w:tc>
      </w:tr>
      <w:tr w14:paraId="3FF4C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734EBB">
            <w:r>
              <w:t>合计</w:t>
            </w:r>
          </w:p>
        </w:tc>
        <w:tc>
          <w:tcPr>
            <w:vAlign w:val="center"/>
          </w:tcPr>
          <w:p w14:paraId="0EAAB4C4">
            <w:r>
              <w:t>1533</w:t>
            </w:r>
          </w:p>
        </w:tc>
        <w:tc>
          <w:tcPr>
            <w:vAlign w:val="center"/>
          </w:tcPr>
          <w:p w14:paraId="5F727735">
            <w:r>
              <w:t>1.0</w:t>
            </w:r>
          </w:p>
        </w:tc>
        <w:tc>
          <w:tcPr>
            <w:vAlign w:val="center"/>
          </w:tcPr>
          <w:p w14:paraId="4DE79767">
            <w:r>
              <w:t>3.00</w:t>
            </w:r>
          </w:p>
        </w:tc>
        <w:tc>
          <w:tcPr>
            <w:vAlign w:val="center"/>
          </w:tcPr>
          <w:p w14:paraId="3C96D817">
            <w:r>
              <w:t>1.32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7" w:name="渗透蒸发指标"/>
      <w:bookmarkEnd w:id="47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0C1F5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018306D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4491FB64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70899988">
            <w:pPr>
              <w:jc w:val="center"/>
            </w:pPr>
            <w:r>
              <w:t>限值(%)</w:t>
            </w:r>
          </w:p>
        </w:tc>
      </w:tr>
      <w:tr w14:paraId="25CE5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3438272">
            <w:r>
              <w:t>人行道</w:t>
            </w:r>
          </w:p>
        </w:tc>
        <w:tc>
          <w:tcPr>
            <w:vAlign w:val="center"/>
          </w:tcPr>
          <w:p w14:paraId="2CE39785">
            <w:r>
              <w:t>100</w:t>
            </w:r>
          </w:p>
        </w:tc>
        <w:tc>
          <w:tcPr>
            <w:vAlign w:val="center"/>
          </w:tcPr>
          <w:p w14:paraId="1230F6BE">
            <w:r>
              <w:t>60</w:t>
            </w:r>
          </w:p>
        </w:tc>
      </w:tr>
      <w:tr w14:paraId="4EF31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EA1F2CB">
            <w:r>
              <w:t>停车场</w:t>
            </w:r>
          </w:p>
        </w:tc>
        <w:tc>
          <w:tcPr>
            <w:vAlign w:val="center"/>
          </w:tcPr>
          <w:p w14:paraId="02D66C63">
            <w:r>
              <w:t>100</w:t>
            </w:r>
          </w:p>
        </w:tc>
        <w:tc>
          <w:tcPr>
            <w:vAlign w:val="center"/>
          </w:tcPr>
          <w:p w14:paraId="4D575819">
            <w:r>
              <w:t>70</w:t>
            </w:r>
          </w:p>
        </w:tc>
      </w:tr>
      <w:tr w14:paraId="623E9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3CB2196A">
            <w:pPr>
              <w:jc w:val="center"/>
            </w:pPr>
            <w:r>
              <w:t>渗透与蒸发指标</w:t>
            </w:r>
          </w:p>
        </w:tc>
      </w:tr>
      <w:tr w14:paraId="64E6E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7BE90BB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08B13F49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5BE23C8C">
            <w:pPr>
              <w:jc w:val="center"/>
            </w:pPr>
            <w:r>
              <w:t>限值</w:t>
            </w:r>
          </w:p>
        </w:tc>
      </w:tr>
      <w:tr w14:paraId="058FD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23C36D8">
            <w:r>
              <w:t>地面透水系数k(mm/s)</w:t>
            </w:r>
          </w:p>
        </w:tc>
        <w:tc>
          <w:tcPr>
            <w:vAlign w:val="center"/>
          </w:tcPr>
          <w:p w14:paraId="51A12174">
            <w:r>
              <w:t>3.00</w:t>
            </w:r>
          </w:p>
        </w:tc>
        <w:tc>
          <w:tcPr>
            <w:vAlign w:val="center"/>
          </w:tcPr>
          <w:p w14:paraId="2AA7B488">
            <w:r>
              <w:t>3</w:t>
            </w:r>
          </w:p>
        </w:tc>
      </w:tr>
      <w:tr w14:paraId="3CB50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6E8B340">
            <w:r>
              <w:t>蒸发量m(kg/(㎡·d))</w:t>
            </w:r>
          </w:p>
        </w:tc>
        <w:tc>
          <w:tcPr>
            <w:vAlign w:val="center"/>
          </w:tcPr>
          <w:p w14:paraId="321E2B4A">
            <w:r>
              <w:t>1.32</w:t>
            </w:r>
          </w:p>
        </w:tc>
        <w:tc>
          <w:tcPr>
            <w:vAlign w:val="center"/>
          </w:tcPr>
          <w:p w14:paraId="5C3CC1A6">
            <w:r>
              <w:t>1.3</w:t>
            </w:r>
          </w:p>
        </w:tc>
      </w:tr>
      <w:tr w14:paraId="6B3B1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63E9F1C">
            <w:r>
              <w:t>依据</w:t>
            </w:r>
          </w:p>
        </w:tc>
        <w:tc>
          <w:tcPr>
            <w:gridSpan w:val="2"/>
            <w:vAlign w:val="center"/>
          </w:tcPr>
          <w:p w14:paraId="694B1F37">
            <w:r>
              <w:t>《城市居住区热环境设计标准》4.3.1条</w:t>
            </w:r>
          </w:p>
        </w:tc>
      </w:tr>
      <w:tr w14:paraId="7C963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FABC5D6">
            <w:r>
              <w:t>标准要求</w:t>
            </w:r>
          </w:p>
        </w:tc>
        <w:tc>
          <w:tcPr>
            <w:gridSpan w:val="2"/>
            <w:vAlign w:val="center"/>
          </w:tcPr>
          <w:p w14:paraId="70B69749">
            <w:r>
              <w:t>渗透面积比率、透水系数及蒸发量不应低于标准规定限值</w:t>
            </w:r>
          </w:p>
        </w:tc>
      </w:tr>
      <w:tr w14:paraId="3C7FE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7098EF2">
            <w:r>
              <w:t>结论</w:t>
            </w:r>
          </w:p>
        </w:tc>
        <w:tc>
          <w:tcPr>
            <w:gridSpan w:val="2"/>
            <w:vAlign w:val="center"/>
          </w:tcPr>
          <w:p w14:paraId="1AA1A23D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8" w:name="_Toc13788"/>
      <w:r>
        <w:rPr>
          <w:rFonts w:hint="eastAsia"/>
        </w:rPr>
        <w:t>屋面绿化率</w:t>
      </w:r>
      <w:bookmarkEnd w:id="4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2055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90E732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005B25E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5BADF53A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7D0CF61D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A96948">
            <w:pPr>
              <w:jc w:val="center"/>
            </w:pPr>
            <w:r>
              <w:t>屋面绿化率(%)</w:t>
            </w:r>
          </w:p>
        </w:tc>
      </w:tr>
      <w:tr w14:paraId="054A2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03C964">
            <w:r>
              <w:t>住区</w:t>
            </w:r>
          </w:p>
        </w:tc>
        <w:tc>
          <w:tcPr>
            <w:vAlign w:val="center"/>
          </w:tcPr>
          <w:p w14:paraId="0301BC23">
            <w:r>
              <w:t>440.0</w:t>
            </w:r>
          </w:p>
        </w:tc>
        <w:tc>
          <w:tcPr>
            <w:vAlign w:val="center"/>
          </w:tcPr>
          <w:p w14:paraId="6E5A1E90">
            <w:r>
              <w:t>368.3</w:t>
            </w:r>
          </w:p>
        </w:tc>
        <w:tc>
          <w:tcPr>
            <w:vAlign w:val="center"/>
          </w:tcPr>
          <w:p w14:paraId="31CFDE35">
            <w:r>
              <w:t>440.0</w:t>
            </w:r>
          </w:p>
        </w:tc>
        <w:tc>
          <w:tcPr>
            <w:vAlign w:val="center"/>
          </w:tcPr>
          <w:p w14:paraId="0D2538FE">
            <w:r>
              <w:t>84</w:t>
            </w:r>
          </w:p>
        </w:tc>
      </w:tr>
      <w:tr w14:paraId="271B4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13FAEF">
            <w:r>
              <w:t>餐厅</w:t>
            </w:r>
          </w:p>
        </w:tc>
        <w:tc>
          <w:tcPr>
            <w:vAlign w:val="center"/>
          </w:tcPr>
          <w:p w14:paraId="16F3305A">
            <w:r>
              <w:t>299.6</w:t>
            </w:r>
          </w:p>
        </w:tc>
        <w:tc>
          <w:tcPr>
            <w:vAlign w:val="center"/>
          </w:tcPr>
          <w:p w14:paraId="59BC8F27">
            <w:r>
              <w:t>230.5</w:t>
            </w:r>
          </w:p>
        </w:tc>
        <w:tc>
          <w:tcPr>
            <w:vAlign w:val="center"/>
          </w:tcPr>
          <w:p w14:paraId="3BC3A631">
            <w:r>
              <w:t>299.6</w:t>
            </w:r>
          </w:p>
        </w:tc>
        <w:tc>
          <w:tcPr>
            <w:vAlign w:val="center"/>
          </w:tcPr>
          <w:p w14:paraId="1DCB2A32">
            <w:r>
              <w:t>77</w:t>
            </w:r>
          </w:p>
        </w:tc>
      </w:tr>
      <w:tr w14:paraId="3AC86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B52084">
            <w:r>
              <w:t>合计</w:t>
            </w:r>
          </w:p>
        </w:tc>
        <w:tc>
          <w:tcPr>
            <w:vAlign w:val="center"/>
          </w:tcPr>
          <w:p w14:paraId="5DF3E4EA">
            <w:r>
              <w:t>739.6</w:t>
            </w:r>
          </w:p>
        </w:tc>
        <w:tc>
          <w:tcPr>
            <w:vAlign w:val="center"/>
          </w:tcPr>
          <w:p w14:paraId="1DA9E7E0">
            <w:r>
              <w:t>598.8</w:t>
            </w:r>
          </w:p>
        </w:tc>
        <w:tc>
          <w:tcPr>
            <w:vAlign w:val="center"/>
          </w:tcPr>
          <w:p w14:paraId="616ACAEC">
            <w:r>
              <w:t>739.6</w:t>
            </w:r>
          </w:p>
        </w:tc>
        <w:tc>
          <w:tcPr>
            <w:vAlign w:val="center"/>
          </w:tcPr>
          <w:p w14:paraId="2EA54DEF">
            <w:r>
              <w:t>81</w:t>
            </w:r>
          </w:p>
        </w:tc>
      </w:tr>
      <w:tr w14:paraId="0AE16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79E1BD">
            <w:r>
              <w:t>依据</w:t>
            </w:r>
          </w:p>
        </w:tc>
        <w:tc>
          <w:tcPr>
            <w:gridSpan w:val="4"/>
            <w:vAlign w:val="center"/>
          </w:tcPr>
          <w:p w14:paraId="03AA4E4F">
            <w:r>
              <w:t>《城市居住区热环境设计标准》4.4.2条</w:t>
            </w:r>
          </w:p>
        </w:tc>
      </w:tr>
      <w:tr w14:paraId="4D9AD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495A73">
            <w:r>
              <w:t>标准要求</w:t>
            </w:r>
          </w:p>
        </w:tc>
        <w:tc>
          <w:tcPr>
            <w:gridSpan w:val="4"/>
            <w:vAlign w:val="center"/>
          </w:tcPr>
          <w:p w14:paraId="6E0EADA5">
            <w:r>
              <w:t>建筑屋面的绿化面积不应低于可绿化屋面面积的50%</w:t>
            </w:r>
          </w:p>
        </w:tc>
      </w:tr>
      <w:tr w14:paraId="277B3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69AB94">
            <w:r>
              <w:t>结论</w:t>
            </w:r>
          </w:p>
        </w:tc>
        <w:tc>
          <w:tcPr>
            <w:gridSpan w:val="4"/>
            <w:vAlign w:val="center"/>
          </w:tcPr>
          <w:p w14:paraId="04E22ECC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9" w:name="屋面绿化率"/>
      <w:bookmarkEnd w:id="49"/>
    </w:p>
    <w:p w14:paraId="75A0AFC8">
      <w:pPr>
        <w:pStyle w:val="2"/>
      </w:pPr>
      <w:bookmarkStart w:id="50" w:name="_Toc2886"/>
      <w:r>
        <w:rPr>
          <w:rFonts w:hint="eastAsia"/>
        </w:rPr>
        <w:t>结论</w:t>
      </w:r>
      <w:bookmarkEnd w:id="50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51" w:name="结论"/>
            <w:bookmarkEnd w:id="51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4B99A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1AD3C32B">
            <w:r>
              <w:rPr>
                <w:rFonts w:hint="eastAsia"/>
              </w:rPr>
              <w:t>强制</w:t>
            </w:r>
            <w:r>
              <w:t>性条</w:t>
            </w:r>
            <w:r>
              <w:rPr>
                <w:rFonts w:hint="eastAsia"/>
              </w:rPr>
              <w:t>文</w:t>
            </w:r>
          </w:p>
        </w:tc>
        <w:tc>
          <w:tcPr>
            <w:tcW w:w="2800" w:type="dxa"/>
            <w:vAlign w:val="center"/>
          </w:tcPr>
          <w:p w14:paraId="48F30EFB">
            <w:r>
              <w:t>平均迎风面积比</w:t>
            </w:r>
          </w:p>
        </w:tc>
        <w:tc>
          <w:tcPr>
            <w:tcW w:w="1866" w:type="dxa"/>
            <w:vAlign w:val="center"/>
          </w:tcPr>
          <w:p w14:paraId="2F927C2A">
            <w:bookmarkStart w:id="52" w:name="平均迎风面积比结论"/>
            <w:r>
              <w:rPr>
                <w:rFonts w:hint="eastAsia"/>
              </w:rPr>
              <w:t>不满足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14:paraId="21B22DF4">
            <w:r>
              <w:t>强制条文，必须满足</w:t>
            </w:r>
          </w:p>
        </w:tc>
      </w:tr>
      <w:tr w14:paraId="7AB39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0162F18"/>
        </w:tc>
        <w:tc>
          <w:tcPr>
            <w:tcW w:w="2800" w:type="dxa"/>
            <w:vAlign w:val="center"/>
          </w:tcPr>
          <w:p w14:paraId="4E199092">
            <w:r>
              <w:t>活动场地遮阳覆盖率</w:t>
            </w:r>
          </w:p>
        </w:tc>
        <w:tc>
          <w:tcPr>
            <w:tcW w:w="1866" w:type="dxa"/>
            <w:vAlign w:val="center"/>
          </w:tcPr>
          <w:p w14:paraId="45CC1D9C">
            <w:bookmarkStart w:id="53" w:name="活动场地遮阳覆盖率结论"/>
            <w:r>
              <w:rPr>
                <w:rFonts w:hint="eastAsia"/>
              </w:rPr>
              <w:t>不满足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 w14:paraId="4298CB14"/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54" w:name="底层通风架空率结论"/>
            <w:r>
              <w:t>满足</w:t>
            </w:r>
            <w:bookmarkEnd w:id="54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55" w:name="绿化遮阳体叶面积指数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56" w:name="渗透蒸发指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57" w:name="屋面绿化率结论"/>
            <w:r>
              <w:t>满足</w:t>
            </w:r>
            <w:bookmarkEnd w:id="57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8" w:name="总结论"/>
            <w:r>
              <w:rPr>
                <w:rFonts w:hint="eastAsia"/>
              </w:rPr>
              <w:t>满足</w:t>
            </w:r>
            <w:bookmarkEnd w:id="58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F06E8B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312DB"/>
    <w:rsid w:val="00F4565A"/>
    <w:rsid w:val="00F4695E"/>
    <w:rsid w:val="00F7510E"/>
    <w:rsid w:val="00F75DD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188B0B51"/>
    <w:rsid w:val="5FF0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qFormat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9</Pages>
  <Words>2201</Words>
  <Characters>3462</Characters>
  <Lines>20</Lines>
  <Paragraphs>5</Paragraphs>
  <TotalTime>1</TotalTime>
  <ScaleCrop>false</ScaleCrop>
  <LinksUpToDate>false</LinksUpToDate>
  <CharactersWithSpaces>4938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2026-03-13T15:54:00Z</dcterms:created>
  <dc:creator>Luffy</dc:creator>
  <cp:lastModifiedBy>Luffy</cp:lastModifiedBy>
  <dcterms:modified xsi:type="dcterms:W3CDTF">2026-03-13T16:01:53Z</dcterms:modified>
  <dc:title>住区热环境规定性设计计算书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9A75EAF69EEB4B77829A7C8CD75426FC_11</vt:lpwstr>
  </property>
  <property fmtid="{D5CDD505-2E9C-101B-9397-08002B2CF9AE}" pid="3" name="KSOTemplateDocerSaveRecord">
    <vt:lpwstr>eyJoZGlkIjoiNmNkMGU5ZTdlM2IxOTdmNzM2NzIxOGNkOGE4MmE0ZTAiLCJ1c2VySWQiOiI4MDA4NTQ0MjYifQ==</vt:lpwstr>
  </property>
  <property fmtid="{D5CDD505-2E9C-101B-9397-08002B2CF9AE}" pid="4" name="KSOProductBuildVer">
    <vt:lpwstr>2052-12.1.0.25225</vt:lpwstr>
  </property>
</Properties>
</file>