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574A5CA">
      <w:pPr>
        <w:spacing w:line="360" w:lineRule="auto"/>
        <w:jc w:val="center"/>
        <w:rPr>
          <w:rFonts w:hint="eastAsia" w:ascii="黑体" w:hAnsi="黑体" w:eastAsia="黑体" w:cs="黑体"/>
          <w:b/>
          <w:bCs/>
          <w:sz w:val="28"/>
          <w:szCs w:val="36"/>
        </w:rPr>
      </w:pPr>
      <w:bookmarkStart w:id="0" w:name="_GoBack"/>
      <w:bookmarkEnd w:id="0"/>
      <w:r>
        <w:rPr>
          <w:rFonts w:hint="eastAsia" w:ascii="黑体" w:hAnsi="黑体" w:eastAsia="黑体" w:cs="黑体"/>
          <w:b/>
          <w:bCs/>
          <w:sz w:val="28"/>
          <w:szCs w:val="36"/>
        </w:rPr>
        <w:t>绿筑武夷，零碳共生——面向多元人群的共生型山地公社</w:t>
      </w:r>
    </w:p>
    <w:p w14:paraId="7976A8BD">
      <w:pPr>
        <w:spacing w:line="360" w:lineRule="auto"/>
        <w:jc w:val="center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8"/>
          <w:szCs w:val="36"/>
          <w:lang w:val="en-US" w:eastAsia="zh-CN"/>
        </w:rPr>
        <w:t>建筑设计说明</w:t>
      </w:r>
    </w:p>
    <w:p w14:paraId="0C4290C3">
      <w:pPr>
        <w:numPr>
          <w:ilvl w:val="0"/>
          <w:numId w:val="1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项目概况</w:t>
      </w:r>
    </w:p>
    <w:p w14:paraId="62C594C3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武夷山是世界文化与自然双重遗产地，素有“碧水丹山，岩骨花香”之美誉，是中国乌龙茶和红茶的发源地。庙湾地块位于武夷山风景名胜区边缘地带，现状为东向缓坡台地，周边茶园连绵起伏，自然景观资源优越。本项目旨在响应国家“乡村振兴”与“双碳”战略，探索茶产业、旅游业与生态保护的融合发展新模式。</w:t>
      </w:r>
    </w:p>
    <w:p w14:paraId="640D8FF5">
      <w:pPr>
        <w:numPr>
          <w:ilvl w:val="0"/>
          <w:numId w:val="1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设计理念</w:t>
      </w:r>
    </w:p>
    <w:p w14:paraId="2516ECB6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以“绿筑武夷，零碳共生”为核心愿景，打造一个集茶叶生产、文化展示、深度品鉴、度假住宿于一体的低碳聚落。项目不仅服务于游客，更面向茶人、艺术家、本地村民等多元人群，构建一个交流共生、产居融合的“山地公社”。设计力求在尊重原始地貌的前提下，通过现代绿色科技与地域文化的融合，塑造一个如同从茶园中生长而出的“山间乌托邦”。</w:t>
      </w:r>
    </w:p>
    <w:p w14:paraId="47228B7D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本项目提出“三种共生”的设计哲学：</w:t>
      </w:r>
    </w:p>
    <w:p w14:paraId="4DC6A603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（1）人地共生：建筑顺应等高线布局，最小化土方开挖，保护表土与原生植被。</w:t>
      </w:r>
    </w:p>
    <w:p w14:paraId="710CBF31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（2）产居共生：将茶叶生产流线（采摘-制茶-品鉴）与游客旅居流线有机交织，让生产成为景观，让居住体验生产。</w:t>
      </w:r>
    </w:p>
    <w:p w14:paraId="559FDB39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（3）古今共生：提取武夷山传统村落“簇群生长、依山就势”的聚落原型，</w:t>
      </w:r>
      <w:r>
        <w:rPr>
          <w:rFonts w:hint="eastAsia" w:ascii="宋体" w:hAnsi="宋体" w:eastAsia="宋体" w:cs="宋体"/>
          <w:b w:val="0"/>
          <w:bCs w:val="0"/>
          <w:sz w:val="24"/>
          <w:szCs w:val="32"/>
          <w:highlight w:val="none"/>
          <w:lang w:val="en-US" w:eastAsia="zh-CN"/>
        </w:rPr>
        <w:t>以现代装配式技术与可再生能源技术重新诠释，实现传统智慧与未来科技的对话。</w:t>
      </w:r>
    </w:p>
    <w:p w14:paraId="3F8CBEA8">
      <w:pPr>
        <w:numPr>
          <w:ilvl w:val="0"/>
          <w:numId w:val="1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总体规划设计</w:t>
      </w:r>
    </w:p>
    <w:p w14:paraId="1F11C157">
      <w:pPr>
        <w:widowControl w:val="0"/>
        <w:numPr>
          <w:ilvl w:val="0"/>
          <w:numId w:val="2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布局结构：“中心公共 + 散点居住”</w:t>
      </w:r>
    </w:p>
    <w:p w14:paraId="70F2960A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规划顺应东向台地地形，形成“一轴、一心、多簇群”的总体格局：</w:t>
      </w:r>
    </w:p>
    <w:p w14:paraId="3C4465E9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一轴：生态走廊。蜿蜒穿行于茶园之间的架空步道，串联所有功能区块，既是交通纽带，也是观景长廊和生物迁徙通道。</w:t>
      </w:r>
    </w:p>
    <w:p w14:paraId="2D6BD0A2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一心：茶语工坊。位于中部平缓台地，作为整个聚落的公共客厅，整合制茶工坊、茶文化展厅、品鉴区。</w:t>
      </w:r>
    </w:p>
    <w:p w14:paraId="19D70A25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多簇群：叠翠山房。8个居住簇群如星宿般散落于高区台地，每个簇群拥有独立的景观视野和共享庭院，通过毛石小径与主生态走廊连接。</w:t>
      </w:r>
    </w:p>
    <w:p w14:paraId="6AD90DD7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外部交通：入口设置集中停车场，机动车止于山脚。</w:t>
      </w:r>
    </w:p>
    <w:p w14:paraId="24B220B4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内部交通：以步行系统为主。设置多处坡道，生态走廊坡度控制在 5%-8%，兼顾无障碍通行。</w:t>
      </w:r>
    </w:p>
    <w:p w14:paraId="37CDAEB5">
      <w:pPr>
        <w:tabs>
          <w:tab w:val="left" w:pos="1765"/>
        </w:tabs>
        <w:bidi w:val="0"/>
        <w:jc w:val="center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drawing>
          <wp:inline distT="0" distB="0" distL="114300" distR="114300">
            <wp:extent cx="3054350" cy="4319905"/>
            <wp:effectExtent l="0" t="0" r="8890" b="8255"/>
            <wp:docPr id="1" name="图片 1" descr="轴线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轴线图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0758E">
      <w:pPr>
        <w:pStyle w:val="5"/>
        <w:tabs>
          <w:tab w:val="left" w:pos="1765"/>
        </w:tabs>
        <w:bidi w:val="0"/>
        <w:jc w:val="center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</w:t>
      </w:r>
      <w:r>
        <w:fldChar w:fldCharType="end"/>
      </w:r>
      <w:r>
        <w:rPr>
          <w:rFonts w:hint="eastAsia"/>
          <w:lang w:val="en-US" w:eastAsia="zh-CN"/>
        </w:rPr>
        <w:t xml:space="preserve"> 轴线分析图</w:t>
      </w:r>
    </w:p>
    <w:p w14:paraId="6BD0ACB1">
      <w:pPr>
        <w:numPr>
          <w:ilvl w:val="0"/>
          <w:numId w:val="1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建筑设计深化</w:t>
      </w:r>
    </w:p>
    <w:p w14:paraId="193806E4">
      <w:pPr>
        <w:widowControl w:val="0"/>
        <w:numPr>
          <w:ilvl w:val="0"/>
          <w:numId w:val="3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模数化建构体系：“2米像素”</w:t>
      </w:r>
    </w:p>
    <w:p w14:paraId="645257FD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通过整个建筑群基于2米×2米基本模数网格进行设计，实现从结构到空间的逻辑统一。</w:t>
      </w:r>
    </w:p>
    <w:p w14:paraId="20BF9892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基本模块：4米×6米×4.2米，混凝土结构立方体。</w:t>
      </w:r>
    </w:p>
    <w:p w14:paraId="2BDA344D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睡眠模块：含干湿分离卫浴，适合1-2人。</w:t>
      </w:r>
    </w:p>
    <w:p w14:paraId="38463C4F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茶居模块：扩大观景面，内设榻榻米茶席，适合2-3人。</w:t>
      </w:r>
    </w:p>
    <w:p w14:paraId="3B861C61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连通模块：可横向或纵向拼接，形成家庭套房。</w:t>
      </w:r>
    </w:p>
    <w:p w14:paraId="08D50A78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组合逻辑：模块沿2米网格在三维方向上自由组合，通过悬挑、错位、旋转，形成丰富的室外露台、架空层和半围合庭院。8个簇群分别以“武夷八曲”命名，各自拥有独特的组合形态和观景主题。</w:t>
      </w:r>
    </w:p>
    <w:p w14:paraId="26464D79">
      <w:pPr>
        <w:widowControl w:val="0"/>
        <w:numPr>
          <w:ilvl w:val="0"/>
          <w:numId w:val="3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自适应外立面系统</w:t>
      </w:r>
    </w:p>
    <w:p w14:paraId="5FBCB1FD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构造组成：立面由固定玻璃窗与外侧的可变角度太阳能遮阳板组成。</w:t>
      </w:r>
    </w:p>
    <w:p w14:paraId="3D6EE408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材料选择：遮阳板采用轻质铝合金边框，中间嵌入柔性薄膜光伏电池片。</w:t>
      </w:r>
    </w:p>
    <w:p w14:paraId="13D9B47A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智能控制：基于太阳轨迹算法和室内照度传感器，遮阳板可自动调节叶片角度。夏季遮挡强光并最大化发电；冬季开启角度让阳光进入室内被动采暖。</w:t>
      </w:r>
    </w:p>
    <w:p w14:paraId="753FAEF5">
      <w:pPr>
        <w:widowControl w:val="0"/>
        <w:numPr>
          <w:ilvl w:val="0"/>
          <w:numId w:val="0"/>
        </w:numPr>
        <w:spacing w:line="360" w:lineRule="auto"/>
        <w:jc w:val="left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 xml:space="preserve">美学效果：遮阳板阵列形成“动态像素墙”，使建筑表情随日照和时间流转而变化，实现功能（发电/遮阳）与美学（光影/质感）的统一。  </w:t>
      </w:r>
    </w:p>
    <w:p w14:paraId="3921F460">
      <w:pPr>
        <w:widowControl w:val="0"/>
        <w:numPr>
          <w:ilvl w:val="0"/>
          <w:numId w:val="0"/>
        </w:numPr>
        <w:spacing w:line="360" w:lineRule="auto"/>
        <w:jc w:val="left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 xml:space="preserve">           </w:t>
      </w: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drawing>
          <wp:inline distT="0" distB="0" distL="114300" distR="114300">
            <wp:extent cx="3599815" cy="2776220"/>
            <wp:effectExtent l="0" t="0" r="12065" b="12700"/>
            <wp:docPr id="3" name="图片 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1AC63">
      <w:pPr>
        <w:pStyle w:val="5"/>
        <w:widowControl w:val="0"/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</w:t>
      </w:r>
      <w:r>
        <w:fldChar w:fldCharType="end"/>
      </w:r>
      <w:r>
        <w:rPr>
          <w:rFonts w:hint="eastAsia"/>
          <w:lang w:val="en-US" w:eastAsia="zh-CN"/>
        </w:rPr>
        <w:t>局部效果图</w:t>
      </w:r>
    </w:p>
    <w:p w14:paraId="0049C8A6">
      <w:pPr>
        <w:numPr>
          <w:ilvl w:val="0"/>
          <w:numId w:val="1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生态低碳技术专项</w:t>
      </w:r>
    </w:p>
    <w:p w14:paraId="357E0D04">
      <w:pPr>
        <w:widowControl w:val="0"/>
        <w:numPr>
          <w:ilvl w:val="0"/>
          <w:numId w:val="0"/>
        </w:numPr>
        <w:spacing w:line="360" w:lineRule="auto"/>
        <w:ind w:left="0" w:leftChars="0" w:firstLine="0" w:firstLineChars="0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kern w:val="2"/>
          <w:sz w:val="24"/>
          <w:szCs w:val="32"/>
          <w:lang w:val="en-US" w:eastAsia="zh-CN" w:bidi="ar-SA"/>
        </w:rPr>
        <w:t>（一）</w:t>
      </w: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可再生能源利用</w:t>
      </w:r>
    </w:p>
    <w:p w14:paraId="1C5C0341">
      <w:pPr>
        <w:widowControl w:val="0"/>
        <w:numPr>
          <w:ilvl w:val="0"/>
          <w:numId w:val="4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光能利用设计（建筑光伏一体化BIPV创新应用）</w:t>
      </w:r>
    </w:p>
    <w:p w14:paraId="5545DB36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BIPV光伏遮阳构件采用模块化设计，与模块化房间的窗户模数、立面结构精准匹配，可灵活适配山地坡地的错层、吊脚布局，运输与安装便捷；渗井系统依托溪流优化布局，节省占地，适配山地有限的场地资源，且不破坏山体地质与溪流生态。</w:t>
      </w:r>
    </w:p>
    <w:p w14:paraId="6D7D4D92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系统自动识别朝向、太阳角度调整遮阳方式水平遮阳布置：结合窗户应用于模块化各立面。间距与窗户模数一致，形成规整的立面肌理。可变化遮阳形态：适配山地不同朝向的采光与隔热需求。</w:t>
      </w:r>
    </w:p>
    <w:p w14:paraId="35939053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drawing>
          <wp:inline distT="0" distB="0" distL="114300" distR="114300">
            <wp:extent cx="4416425" cy="2662555"/>
            <wp:effectExtent l="0" t="0" r="3175" b="4445"/>
            <wp:docPr id="2" name="图片 2" descr="实施方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实施方案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16425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315E7">
      <w:pPr>
        <w:widowControl w:val="0"/>
        <w:numPr>
          <w:ilvl w:val="0"/>
          <w:numId w:val="0"/>
        </w:numPr>
        <w:spacing w:line="360" w:lineRule="auto"/>
        <w:ind w:firstLine="400" w:firstLineChars="200"/>
        <w:jc w:val="center"/>
        <w:rPr>
          <w:rFonts w:hint="default" w:ascii="黑体" w:hAnsi="黑体" w:eastAsia="黑体" w:cs="黑体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0"/>
          <w:szCs w:val="20"/>
          <w:lang w:val="en-US" w:eastAsia="zh-CN"/>
        </w:rPr>
        <w:t>图3</w:t>
      </w:r>
    </w:p>
    <w:p w14:paraId="032FB59D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光伏板选用高效单晶硅光伏组件，转换效率≥22%，适配武夷山地区太阳辐射条件（冬季日均辐照量约3.5kWh/（㎡·d）），具体工作机制如下：</w:t>
      </w:r>
    </w:p>
    <w:p w14:paraId="237AA9EE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遮阳隔热：光伏板作为遮阳构件，可有效遮挡夏季直射阳光，减少太阳辐射进入室内，配合高性能窗户（LOW-E中空玻璃，U值≤1.8W/(m²·K)，遮阳系数Sc=0.35），实现自然采光与隔热的平衡，降低室内冷负荷，减少空调系统能耗，与双层嵌管墙系统协同提升节能效果。</w:t>
      </w:r>
    </w:p>
    <w:p w14:paraId="652F3D58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 xml:space="preserve"> 清洁能源发电：光伏板将太阳能转化为电能，通过逆变器转换为工频交流电，直接为建筑内用电设备供电，包括智能控制系统、新风系统、照明系统及热泵辅助设备等，剩余电能可并入储能装置储存，减少对城市电网的依赖，实现清洁能源自给自足。</w:t>
      </w:r>
    </w:p>
    <w:p w14:paraId="105FD858">
      <w:pPr>
        <w:widowControl w:val="0"/>
        <w:numPr>
          <w:ilvl w:val="0"/>
          <w:numId w:val="4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水能利用设计（地表水源热泵+渗井取水系统）</w:t>
      </w:r>
    </w:p>
    <w:p w14:paraId="2CD896F8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本项目依托武夷山庙湾山地的溪流资源，采用地表水源热泵结合渗井取水方式，将地表水（溪流）作为水能资源高效利用，与光能系统协同，构建完整的可再生能源供能体系，具体设计如下：</w:t>
      </w:r>
    </w:p>
    <w:p w14:paraId="38BF2781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（1）渗井取水系统设计</w:t>
      </w:r>
    </w:p>
    <w:p w14:paraId="04A65D74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渗井系统依托场地溪流优化布局，采用“渗水井+集水过滤池+回流系统”的一体化设计，既保证取水效率，又减少对溪流生态的影响，具体参数与配置如下：</w:t>
      </w:r>
    </w:p>
    <w:p w14:paraId="2703235A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</w:p>
    <w:tbl>
      <w:tblPr>
        <w:tblStyle w:val="7"/>
        <w:tblW w:w="0" w:type="auto"/>
        <w:tblInd w:w="0" w:type="dxa"/>
        <w:tblBorders>
          <w:top w:val="none" w:color="auto" w:sz="0" w:space="0"/>
          <w:left w:val="single" w:color="auto" w:sz="2" w:space="0"/>
          <w:bottom w:val="single" w:color="auto" w:sz="2" w:space="0"/>
          <w:right w:val="single" w:color="auto" w:sz="2" w:space="0"/>
          <w:insideH w:val="none" w:color="auto" w:sz="0" w:space="0"/>
          <w:insideV w:val="none" w:color="auto" w:sz="0" w:space="0"/>
        </w:tblBorders>
        <w:shd w:val="clear" w:color="auto" w:fill="FFFFFF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437"/>
        <w:gridCol w:w="1764"/>
        <w:gridCol w:w="3549"/>
        <w:gridCol w:w="2479"/>
      </w:tblGrid>
      <w:tr w14:paraId="6566DC4E">
        <w:tblPrEx>
          <w:tblBorders>
            <w:top w:val="none" w:color="auto" w:sz="0" w:space="0"/>
            <w:left w:val="single" w:color="auto" w:sz="2" w:space="0"/>
            <w:bottom w:val="single" w:color="auto" w:sz="2" w:space="0"/>
            <w:right w:val="single" w:color="auto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80" w:hRule="atLeast"/>
          <w:tblHeader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5ABD9D96">
            <w:pPr>
              <w:widowControl/>
              <w:spacing w:line="420" w:lineRule="atLeast"/>
              <w:jc w:val="center"/>
              <w:rPr>
                <w:rFonts w:ascii="Segoe UI" w:hAnsi="Segoe UI" w:eastAsia="Segoe UI" w:cs="Segoe UI"/>
                <w:b/>
                <w:bCs/>
                <w:color w:val="000000"/>
                <w:sz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677471BC">
            <w:pPr>
              <w:widowControl/>
              <w:spacing w:line="420" w:lineRule="atLeast"/>
              <w:jc w:val="center"/>
              <w:rPr>
                <w:rFonts w:ascii="Segoe UI" w:hAnsi="Segoe UI" w:eastAsia="Segoe UI" w:cs="Segoe UI"/>
                <w:b/>
                <w:bCs/>
                <w:color w:val="000000"/>
                <w:sz w:val="24"/>
              </w:rPr>
            </w:pPr>
            <w:r>
              <w:rPr>
                <w:rFonts w:ascii="Segoe UI" w:hAnsi="Segoe UI" w:eastAsia="Segoe UI" w:cs="Segoe UI"/>
                <w:b/>
                <w:bCs/>
                <w:color w:val="000000"/>
                <w:kern w:val="0"/>
                <w:sz w:val="24"/>
                <w:lang w:bidi="ar"/>
              </w:rPr>
              <w:t>占地面积范围（㎡）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7C655ED4">
            <w:pPr>
              <w:widowControl/>
              <w:spacing w:line="420" w:lineRule="atLeast"/>
              <w:jc w:val="center"/>
              <w:rPr>
                <w:rFonts w:ascii="Segoe UI" w:hAnsi="Segoe UI" w:eastAsia="Segoe UI" w:cs="Segoe UI"/>
                <w:b/>
                <w:bCs/>
                <w:color w:val="000000"/>
                <w:sz w:val="24"/>
              </w:rPr>
            </w:pPr>
            <w:r>
              <w:rPr>
                <w:rFonts w:ascii="Segoe UI" w:hAnsi="Segoe UI" w:eastAsia="Segoe UI" w:cs="Segoe UI"/>
                <w:b/>
                <w:bCs/>
                <w:color w:val="000000"/>
                <w:kern w:val="0"/>
                <w:sz w:val="24"/>
                <w:lang w:bidi="ar"/>
              </w:rPr>
              <w:t>核心组成部分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76118BDC">
            <w:pPr>
              <w:widowControl/>
              <w:spacing w:line="420" w:lineRule="atLeast"/>
              <w:jc w:val="center"/>
              <w:rPr>
                <w:rFonts w:ascii="Segoe UI" w:hAnsi="Segoe UI" w:eastAsia="Segoe UI" w:cs="Segoe UI"/>
                <w:b/>
                <w:bCs/>
                <w:color w:val="000000"/>
                <w:sz w:val="24"/>
              </w:rPr>
            </w:pPr>
            <w:r>
              <w:rPr>
                <w:rFonts w:ascii="Segoe UI" w:hAnsi="Segoe UI" w:eastAsia="Segoe UI" w:cs="Segoe UI"/>
                <w:b/>
                <w:bCs/>
                <w:color w:val="000000"/>
                <w:kern w:val="0"/>
                <w:sz w:val="24"/>
                <w:lang w:bidi="ar"/>
              </w:rPr>
              <w:t>备注</w:t>
            </w:r>
          </w:p>
        </w:tc>
      </w:tr>
      <w:tr w14:paraId="064B54FD">
        <w:tblPrEx>
          <w:tblBorders>
            <w:top w:val="single" w:color="auto" w:sz="6" w:space="0"/>
            <w:left w:val="single" w:color="auto" w:sz="2" w:space="0"/>
            <w:bottom w:val="single" w:color="auto" w:sz="2" w:space="0"/>
            <w:right w:val="single" w:color="auto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0" w:type="auto"/>
            <w:tcBorders>
              <w:top w:val="single" w:color="000000" w:sz="12" w:space="0"/>
              <w:left w:val="nil"/>
              <w:bottom w:val="single" w:color="000000" w:sz="4" w:space="0"/>
              <w:right w:val="nil"/>
              <w:tl2br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45C2E0DD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溪流渗井 + 水循环回流系统</w:t>
            </w:r>
          </w:p>
        </w:tc>
        <w:tc>
          <w:tcPr>
            <w:tcW w:w="0" w:type="auto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73465F07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142-192</w:t>
            </w:r>
          </w:p>
        </w:tc>
        <w:tc>
          <w:tcPr>
            <w:tcW w:w="0" w:type="auto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181CEAC1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渗水井、集水过滤池、检修通道、溢流设施、回流井 / 渠、回流泵组、过滤消毒装置、流量监测设备</w:t>
            </w:r>
          </w:p>
        </w:tc>
        <w:tc>
          <w:tcPr>
            <w:tcW w:w="0" w:type="auto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33429EE2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依托溪流优化布局，较常规渗井系统节省 40%-50% 占地</w:t>
            </w:r>
          </w:p>
        </w:tc>
      </w:tr>
      <w:tr w14:paraId="2CA46F83">
        <w:tblPrEx>
          <w:tblBorders>
            <w:top w:val="single" w:color="auto" w:sz="6" w:space="0"/>
            <w:left w:val="single" w:color="auto" w:sz="2" w:space="0"/>
            <w:bottom w:val="single" w:color="auto" w:sz="2" w:space="0"/>
            <w:right w:val="single" w:color="auto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02A8CCDC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太阳能集热系统</w:t>
            </w:r>
          </w:p>
        </w:tc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5AB74219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180-225</w:t>
            </w:r>
          </w:p>
        </w:tc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41E338C6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平板式集热器及维护空间</w:t>
            </w:r>
          </w:p>
        </w:tc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726AB992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屋顶安装时，集热器本体面积不计入地面占地；</w:t>
            </w:r>
          </w:p>
        </w:tc>
      </w:tr>
      <w:tr w14:paraId="24FBBFA3">
        <w:tblPrEx>
          <w:tblBorders>
            <w:top w:val="single" w:color="auto" w:sz="6" w:space="0"/>
            <w:left w:val="single" w:color="auto" w:sz="2" w:space="0"/>
            <w:bottom w:val="single" w:color="auto" w:sz="2" w:space="0"/>
            <w:right w:val="single" w:color="auto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5EDD1A5A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热泵机房系统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3228F0B2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30-40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33F0E5DD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一体式水源热泵机组、循环水泵、控制柜、阀门等辅助设备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2C3D633E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紧邻生活热水设备布置，缩短管线距离</w:t>
            </w:r>
          </w:p>
        </w:tc>
      </w:tr>
      <w:tr w14:paraId="1B3C1BC9">
        <w:tblPrEx>
          <w:tblBorders>
            <w:top w:val="single" w:color="auto" w:sz="6" w:space="0"/>
            <w:left w:val="single" w:color="auto" w:sz="2" w:space="0"/>
            <w:bottom w:val="single" w:color="auto" w:sz="2" w:space="0"/>
            <w:right w:val="single" w:color="auto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585AB3FB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生活热水补充系统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64854EC4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12-19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43A7245D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储水箱、板式换热器、热水循环泵、恒温控制阀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664FD651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依附机房周边空间，无需独立开辟场地</w:t>
            </w:r>
          </w:p>
        </w:tc>
      </w:tr>
      <w:tr w14:paraId="345F7E1B">
        <w:tblPrEx>
          <w:tblBorders>
            <w:top w:val="single" w:color="auto" w:sz="6" w:space="0"/>
            <w:left w:val="single" w:color="auto" w:sz="2" w:space="0"/>
            <w:bottom w:val="single" w:color="auto" w:sz="2" w:space="0"/>
            <w:right w:val="single" w:color="auto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7922189A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其他辅助设施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0C17C9CB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10-15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6B27ABBB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管道沟、阀门井、通用储热水箱、管线敷设空间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 w:val="0"/>
            <w:tcMar>
              <w:top w:w="180" w:type="dxa"/>
              <w:left w:w="270" w:type="dxa"/>
              <w:bottom w:w="180" w:type="dxa"/>
              <w:right w:w="270" w:type="dxa"/>
            </w:tcMar>
            <w:vAlign w:val="center"/>
          </w:tcPr>
          <w:p w14:paraId="6FC27AF8">
            <w:pPr>
              <w:widowControl/>
              <w:spacing w:line="420" w:lineRule="atLeast"/>
              <w:jc w:val="left"/>
              <w:rPr>
                <w:rFonts w:hint="eastAsia" w:ascii="黑体" w:hAnsi="黑体" w:eastAsia="黑体" w:cs="黑体"/>
                <w:b w:val="0"/>
                <w:color w:val="000000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b w:val="0"/>
                <w:color w:val="000000"/>
                <w:kern w:val="0"/>
                <w:sz w:val="18"/>
                <w:szCs w:val="18"/>
                <w:lang w:bidi="ar"/>
              </w:rPr>
              <w:t>分散布局，不占用独立开阔区域</w:t>
            </w:r>
          </w:p>
        </w:tc>
      </w:tr>
    </w:tbl>
    <w:p w14:paraId="2F4C4DE6">
      <w:pPr>
        <w:widowControl w:val="0"/>
        <w:numPr>
          <w:ilvl w:val="0"/>
          <w:numId w:val="0"/>
        </w:numPr>
        <w:spacing w:line="360" w:lineRule="auto"/>
        <w:ind w:firstLine="400" w:firstLineChars="200"/>
        <w:jc w:val="center"/>
        <w:rPr>
          <w:rFonts w:hint="default" w:ascii="黑体" w:hAnsi="黑体" w:eastAsia="黑体" w:cs="黑体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0"/>
          <w:szCs w:val="20"/>
          <w:lang w:val="en-US" w:eastAsia="zh-CN"/>
        </w:rPr>
        <w:t>图4</w:t>
      </w:r>
    </w:p>
    <w:p w14:paraId="633CF76C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系统组成：包含渗水井、集水过滤池、检修通道、溢流设施、回流井/渠、回流泵组、过滤消毒装置、流量监测设备，占地面积142-192㎡，较常规渗井系统节省40%-50%占地，适配山地有限的场地资源。</w:t>
      </w:r>
    </w:p>
    <w:p w14:paraId="17DD3F84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 xml:space="preserve"> 取水机制：利用山地地形高差与土壤渗透特性，通过渗水井采集溪流周边浅层地下水（渗井水），渗井水水温稳定，与室内形成5-7℃传热温差，为后续供能提供稳定的低品位能源，同时回流系统将换热后的水送回溪流，实现水资源循环利用，无浪费、无污染。</w:t>
      </w:r>
    </w:p>
    <w:p w14:paraId="6A2E63E9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水质保障：设置多级过滤消毒装置，去除渗井水中的杂质、微生物，确保水质符合热泵系统运行要求，避免管道结垢、设备损坏，延长系统使用寿命。</w:t>
      </w:r>
    </w:p>
    <w:p w14:paraId="3B01E8D4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（2）水能高效利用机制</w:t>
      </w:r>
    </w:p>
    <w:p w14:paraId="43D5B7B6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渗井水作为低品位水能资源，与地表水源热泵系统协同，根据建筑不同季节负荷特性，实现精准供能，与光能系统、双层嵌管墙系统形成协同效应，具体应用如下：</w:t>
      </w:r>
    </w:p>
    <w:p w14:paraId="29EC8CAA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夏季供能：直接利用低温渗井水（水温低于室内5-7℃）流入围护结构双层嵌管，通过辐射换热降低室内温度，承担围护结构冷负荷的20-30%（36-90kW），剩余冷负荷由水源热泵机组承担（配置450kW制冷量机组，总制冷负荷450-600kW），同时热泵制取冷冻水，为新风系统除湿，实现低能耗供冷，提升室内舒适度。</w:t>
      </w:r>
    </w:p>
    <w:p w14:paraId="7E8E068A">
      <w:pPr>
        <w:widowControl w:val="0"/>
        <w:numPr>
          <w:ilvl w:val="0"/>
          <w:numId w:val="0"/>
        </w:numPr>
        <w:spacing w:line="360" w:lineRule="auto"/>
        <w:ind w:firstLine="482" w:firstLineChars="200"/>
        <w:jc w:val="both"/>
        <w:rPr>
          <w:rFonts w:ascii="宋体" w:hAnsi="宋体" w:cs="宋体"/>
          <w:b/>
          <w:sz w:val="24"/>
          <w:szCs w:val="32"/>
        </w:rPr>
      </w:pPr>
      <w:r>
        <w:rPr>
          <w:rFonts w:ascii="宋体" w:hAnsi="宋体" w:cs="宋体"/>
          <w:b/>
          <w:sz w:val="24"/>
          <w:szCs w:val="32"/>
        </w:rPr>
        <w:drawing>
          <wp:inline distT="0" distB="0" distL="114300" distR="114300">
            <wp:extent cx="4102735" cy="2448560"/>
            <wp:effectExtent l="0" t="0" r="12065" b="2540"/>
            <wp:docPr id="4" name="图片 1" descr="176387537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176387537106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02735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88DE8">
      <w:pPr>
        <w:widowControl w:val="0"/>
        <w:numPr>
          <w:ilvl w:val="0"/>
          <w:numId w:val="0"/>
        </w:numPr>
        <w:spacing w:line="360" w:lineRule="auto"/>
        <w:ind w:firstLine="400" w:firstLineChars="200"/>
        <w:jc w:val="center"/>
        <w:rPr>
          <w:rFonts w:hint="default" w:ascii="宋体" w:hAnsi="宋体" w:cs="宋体"/>
          <w:b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0"/>
          <w:szCs w:val="20"/>
          <w:lang w:val="en-US" w:eastAsia="zh-CN"/>
        </w:rPr>
        <w:t>图5</w:t>
      </w:r>
    </w:p>
    <w:p w14:paraId="731C4C5E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冬季供能：渗井水作为水源热泵的辅助冷热源，配合太阳能集热器（承担总供暖负荷的30-40%，108-216kW），通过热泵系统制取低温热水，再通过围护结构嵌管进行辐射供暖，承担总供暖负荷的40-60%（144-432kW），配置400kW制热量机组匹配最大补充负荷，实现高效供暖，同时防止梅雨季节围护结构结露发霉。</w:t>
      </w:r>
    </w:p>
    <w:p w14:paraId="3DC95E0C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能源互补：遵循“低品位能源匹配低品位负荷”的原则，渗井水（低品位水能）主要用于处理围护结构负荷，新风负荷（高品位负荷）由热泵系统（结合光伏电能）处理，实现能源的梯级利用，提升整体能源利用效率，符合绿色建筑低能耗要求。</w:t>
      </w:r>
    </w:p>
    <w:p w14:paraId="332DF9E8">
      <w:pPr>
        <w:widowControl w:val="0"/>
        <w:numPr>
          <w:ilvl w:val="0"/>
          <w:numId w:val="4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可再生能源协同利用机制</w:t>
      </w:r>
    </w:p>
    <w:p w14:paraId="4CF70AC4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光能（BIPV系统）与水能（渗井+水源热泵系统）协同联动，结合双层嵌管墙系统，形成“光能发电、水能供能、协同节能”的完整体系：</w:t>
      </w:r>
    </w:p>
    <w:p w14:paraId="45FFFF13">
      <w:pPr>
        <w:widowControl w:val="0"/>
        <w:numPr>
          <w:ilvl w:val="0"/>
          <w:numId w:val="0"/>
        </w:numPr>
        <w:spacing w:line="360" w:lineRule="auto"/>
        <w:ind w:left="479" w:leftChars="228" w:firstLine="0" w:firstLineChars="0"/>
        <w:jc w:val="left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能源互补：白天光伏板发电，为热泵系统、新风系统、智能控制系统等供电，减少电网能耗；渗井水作为稳定的低品位能源，为建筑供冷供暖提供基础，弥补太阳能受天气影响的不稳定性，实现全天候可再生能源供应。</w:t>
      </w:r>
    </w:p>
    <w:p w14:paraId="24E2FC08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负荷协同：BIPV遮阳构件减少太阳辐射，降低室内冷负荷，减少水能（渗井水+热泵）的消耗；水能系统通过嵌管辐射换热，提升室内舒适度，减少光伏电能用于空调系统的消耗，形成双向节能，提升整体系统能效。</w:t>
      </w:r>
    </w:p>
    <w:p w14:paraId="14DDF814">
      <w:pPr>
        <w:widowControl w:val="0"/>
        <w:numPr>
          <w:ilvl w:val="0"/>
          <w:numId w:val="0"/>
        </w:numPr>
        <w:spacing w:line="360" w:lineRule="auto"/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围护结构升级：BIPV光伏遮阳构件与双层嵌管墙协同，使建筑围护结构从“单一的环境分隔界面”升级为“复合的能源与环境调节器”，既实现遮阳、采光、隔热，又实现能源采集与供能，提升建筑的生态性能与科技含量。</w:t>
      </w:r>
    </w:p>
    <w:p w14:paraId="2A20E6D5">
      <w:pPr>
        <w:widowControl w:val="0"/>
        <w:numPr>
          <w:ilvl w:val="0"/>
          <w:numId w:val="0"/>
        </w:numPr>
        <w:spacing w:line="360" w:lineRule="auto"/>
        <w:ind w:firstLine="482" w:firstLineChars="200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</w:p>
    <w:p w14:paraId="537A6F08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（二）双层嵌板墙与水风同产热泵系统</w:t>
      </w:r>
    </w:p>
    <w:p w14:paraId="2DB676B4">
      <w:pPr>
        <w:widowControl w:val="0"/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技术原理与系统架构</w:t>
      </w:r>
      <w:r>
        <w:rPr>
          <w:rFonts w:hint="eastAsia" w:cs="宋体"/>
          <w:b w:val="0"/>
          <w:bCs w:val="0"/>
          <w:kern w:val="2"/>
          <w:sz w:val="24"/>
          <w:szCs w:val="32"/>
          <w:lang w:val="en-US" w:eastAsia="zh-CN" w:bidi="ar-SA"/>
        </w:rPr>
        <w:t>：</w:t>
      </w: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本系统以地表水源热泵为核心，结合渗井取水与双层嵌管墙围护结构，构建了一套多能互补、梯级利用的低碳供能体系。其核心创新在于将围护结构从单纯的隔热构件，升级为主动式能源利用与调节单元，通过内外嵌管的协同工作，实现对自然冷热源（如低温渗井水、太阳能、废热等）的高效捕获与利用。</w:t>
      </w: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drawing>
          <wp:inline distT="0" distB="0" distL="114300" distR="114300">
            <wp:extent cx="3647440" cy="2579370"/>
            <wp:effectExtent l="0" t="0" r="10160" b="11430"/>
            <wp:docPr id="11" name="图片 11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68707">
      <w:pPr>
        <w:pStyle w:val="5"/>
        <w:widowControl w:val="0"/>
        <w:numPr>
          <w:ilvl w:val="0"/>
          <w:numId w:val="0"/>
        </w:numPr>
        <w:spacing w:line="360" w:lineRule="auto"/>
        <w:jc w:val="center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t xml:space="preserve">图 </w:t>
      </w:r>
      <w:r>
        <w:rPr>
          <w:rFonts w:hint="eastAsia"/>
          <w:lang w:val="en-US" w:eastAsia="zh-CN"/>
        </w:rPr>
        <w:t>6  双层嵌板墙与水风同产热泵系统分析图</w:t>
      </w:r>
    </w:p>
    <w:p w14:paraId="2A37421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uto"/>
        <w:ind w:left="0" w:right="0"/>
        <w:jc w:val="left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系统采用三介质换热器作为能量分配枢纽，可同时或独立输出冷风/热风、冷水/热水，灵活适配间歇运行的启动阶段与稳定运行阶段，有效降低了热泵系统的处理负荷。在夏季，直接利用低温渗井水通过外嵌管进行冷却，实现低品位能源的高效利用；冬季则以热泵系统为主，辅以太阳能集热器，通过内嵌管进行辐射供暖，提升室内热舒适度并防止结露。</w:t>
      </w:r>
    </w:p>
    <w:p w14:paraId="34370DBB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uto"/>
        <w:ind w:left="0" w:right="0"/>
        <w:jc w:val="center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drawing>
          <wp:inline distT="0" distB="0" distL="114300" distR="114300">
            <wp:extent cx="3046095" cy="1360805"/>
            <wp:effectExtent l="0" t="0" r="1905" b="10795"/>
            <wp:docPr id="12" name="图片 12" descr="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"/>
                    <pic:cNvPicPr>
                      <a:picLocks noChangeAspect="1"/>
                    </pic:cNvPicPr>
                  </pic:nvPicPr>
                  <pic:blipFill>
                    <a:blip r:embed="rId9"/>
                    <a:srcRect l="21008" t="16283" r="23950" b="48952"/>
                    <a:stretch>
                      <a:fillRect/>
                    </a:stretch>
                  </pic:blipFill>
                  <pic:spPr>
                    <a:xfrm>
                      <a:off x="0" y="0"/>
                      <a:ext cx="3046095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09A89">
      <w:pPr>
        <w:pStyle w:val="5"/>
        <w:widowControl w:val="0"/>
        <w:numPr>
          <w:ilvl w:val="0"/>
          <w:numId w:val="0"/>
        </w:numPr>
        <w:spacing w:line="360" w:lineRule="auto"/>
        <w:jc w:val="center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t xml:space="preserve">图 </w:t>
      </w:r>
      <w:r>
        <w:rPr>
          <w:rFonts w:hint="eastAsia"/>
          <w:lang w:val="en-US" w:eastAsia="zh-CN"/>
        </w:rPr>
        <w:t>7  双层嵌板墙传热过程</w:t>
      </w:r>
    </w:p>
    <w:p w14:paraId="64BD2C2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uto"/>
        <w:ind w:left="0" w:right="0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系统具备四种灵活的运行模式，可根据建筑使用特性和气候条件动态切换：</w:t>
      </w:r>
    </w:p>
    <w:p w14:paraId="45075372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uto"/>
        <w:ind w:right="0" w:rightChars="0"/>
        <w:jc w:val="center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drawing>
          <wp:inline distT="0" distB="0" distL="114300" distR="114300">
            <wp:extent cx="4714240" cy="3333750"/>
            <wp:effectExtent l="0" t="0" r="10160" b="6350"/>
            <wp:docPr id="14" name="图片 14" descr="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1424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3458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uto"/>
        <w:ind w:left="0" w:right="0"/>
        <w:jc w:val="center"/>
        <w:rPr>
          <w:rFonts w:hint="eastAsia" w:ascii="Arial" w:hAnsi="Arial" w:eastAsia="黑体" w:cstheme="minorBidi"/>
          <w:b w:val="0"/>
          <w:bCs w:val="0"/>
          <w:kern w:val="2"/>
          <w:sz w:val="20"/>
          <w:szCs w:val="24"/>
          <w:lang w:val="en-US" w:eastAsia="zh-CN" w:bidi="ar-SA"/>
        </w:rPr>
      </w:pPr>
      <w:r>
        <w:rPr>
          <w:rFonts w:hint="eastAsia" w:ascii="Arial" w:hAnsi="Arial" w:eastAsia="黑体" w:cstheme="minorBidi"/>
          <w:b w:val="0"/>
          <w:bCs w:val="0"/>
          <w:kern w:val="2"/>
          <w:sz w:val="20"/>
          <w:szCs w:val="24"/>
          <w:lang w:val="en-US" w:eastAsia="zh-CN" w:bidi="ar-SA"/>
        </w:rPr>
        <w:t>图 8  双层嵌板墙与水风同产热泵系统运行模式</w:t>
      </w:r>
    </w:p>
    <w:p w14:paraId="2CC9E38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uto"/>
        <w:ind w:left="0" w:right="0"/>
        <w:rPr>
          <w:rFonts w:hint="eastAsia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低碳性能与能效优势</w:t>
      </w:r>
      <w:r>
        <w:rPr>
          <w:rFonts w:hint="eastAsia" w:cs="宋体"/>
          <w:b w:val="0"/>
          <w:bCs w:val="0"/>
          <w:kern w:val="2"/>
          <w:sz w:val="24"/>
          <w:szCs w:val="32"/>
          <w:lang w:val="en-US" w:eastAsia="zh-CN" w:bidi="ar-SA"/>
        </w:rPr>
        <w:t>：</w:t>
      </w:r>
    </w:p>
    <w:p w14:paraId="47534EE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uto"/>
        <w:ind w:left="0" w:right="0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cs="宋体"/>
          <w:b w:val="0"/>
          <w:bCs w:val="0"/>
          <w:kern w:val="2"/>
          <w:sz w:val="24"/>
          <w:szCs w:val="32"/>
          <w:lang w:val="en-US" w:eastAsia="zh-CN" w:bidi="ar-SA"/>
        </w:rPr>
        <w:t>1.优化</w:t>
      </w: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能源利用：外嵌管优先利用自然能峰谷负荷，内嵌管则在稳定运行阶段提供低温热水</w:t>
      </w:r>
      <w:r>
        <w:rPr>
          <w:rFonts w:hint="eastAsia" w:cs="宋体"/>
          <w:b w:val="0"/>
          <w:bCs w:val="0"/>
          <w:kern w:val="2"/>
          <w:sz w:val="24"/>
          <w:szCs w:val="32"/>
          <w:lang w:val="en-US" w:eastAsia="zh-CN" w:bidi="ar-SA"/>
        </w:rPr>
        <w:t>/</w:t>
      </w: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冷水，实现了“先自然、后机械”的供能逻辑。</w:t>
      </w:r>
    </w:p>
    <w:p w14:paraId="65DFE488">
      <w:pPr>
        <w:keepNext w:val="0"/>
        <w:keepLines w:val="0"/>
        <w:widowControl/>
        <w:numPr>
          <w:ilvl w:val="0"/>
          <w:numId w:val="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uto"/>
        <w:ind w:left="0" w:right="0" w:hanging="360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2.</w:t>
      </w:r>
      <w:r>
        <w:rPr>
          <w:rFonts w:ascii="宋体" w:hAnsi="宋体" w:eastAsia="宋体" w:cs="宋体"/>
          <w:sz w:val="24"/>
          <w:szCs w:val="24"/>
        </w:rPr>
        <w:t>提升系统能效</w:t>
      </w: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：与传统方案相比，在夏热冬冷地区的连续供暖季节能率可达15%以上，间歇供暖季节能率高达28%，系统能效比（COP）稳定在3以上。</w:t>
      </w:r>
    </w:p>
    <w:p w14:paraId="199A6F3C">
      <w:pPr>
        <w:keepNext w:val="0"/>
        <w:keepLines w:val="0"/>
        <w:widowControl/>
        <w:numPr>
          <w:ilvl w:val="0"/>
          <w:numId w:val="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uto"/>
        <w:ind w:left="0" w:right="0" w:hanging="360"/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4"/>
          <w:szCs w:val="32"/>
          <w:lang w:val="en-US" w:eastAsia="zh-CN" w:bidi="ar-SA"/>
        </w:rPr>
        <w:t>3.负荷构成优化：通过墙体辐射换热承担主要热负荷，显著减少了热泵的机械制热量，在上海、重庆等典型城市，热泵制热量减少率最高可达40%以上。</w:t>
      </w:r>
    </w:p>
    <w:p w14:paraId="32CE6495">
      <w:pPr>
        <w:widowControl w:val="0"/>
        <w:numPr>
          <w:ilvl w:val="0"/>
          <w:numId w:val="6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被动式节能设计</w:t>
      </w:r>
    </w:p>
    <w:p w14:paraId="2D33E425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自然通风：利用山地热压差，通过模块错位布局形成通风廊道。</w:t>
      </w:r>
    </w:p>
    <w:p w14:paraId="46089BBF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遮阳隔热：外置遮阳板阻挡太阳直射辐射；夹心保温外墙板提供优异的围护结构热工性能。</w:t>
      </w:r>
    </w:p>
    <w:p w14:paraId="06FE59E7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黑体" w:hAnsi="黑体" w:eastAsia="黑体" w:cs="黑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4"/>
          <w:szCs w:val="32"/>
          <w:lang w:val="en-US" w:eastAsia="zh-CN"/>
        </w:rPr>
        <w:drawing>
          <wp:inline distT="0" distB="0" distL="114300" distR="114300">
            <wp:extent cx="2731770" cy="1080135"/>
            <wp:effectExtent l="0" t="0" r="11430" b="1905"/>
            <wp:docPr id="5" name="图片 5" descr="44530130a4035baf4116b91440dbf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4530130a4035baf4116b91440dbf863"/>
                    <pic:cNvPicPr>
                      <a:picLocks noChangeAspect="1"/>
                    </pic:cNvPicPr>
                  </pic:nvPicPr>
                  <pic:blipFill>
                    <a:blip r:embed="rId11"/>
                    <a:srcRect b="14835"/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 w:val="0"/>
          <w:bCs w:val="0"/>
          <w:sz w:val="24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0"/>
          <w:bCs w:val="0"/>
          <w:sz w:val="24"/>
          <w:szCs w:val="32"/>
          <w:lang w:val="en-US" w:eastAsia="zh-CN"/>
        </w:rPr>
        <w:drawing>
          <wp:inline distT="0" distB="0" distL="114300" distR="114300">
            <wp:extent cx="2656205" cy="1080135"/>
            <wp:effectExtent l="0" t="0" r="10795" b="1905"/>
            <wp:docPr id="7" name="图片 7" descr="162290e971ad7e957570e8a7af66b2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62290e971ad7e957570e8a7af66b2a9"/>
                    <pic:cNvPicPr>
                      <a:picLocks noChangeAspect="1"/>
                    </pic:cNvPicPr>
                  </pic:nvPicPr>
                  <pic:blipFill>
                    <a:blip r:embed="rId12"/>
                    <a:srcRect b="12441"/>
                    <a:stretch>
                      <a:fillRect/>
                    </a:stretch>
                  </pic:blipFill>
                  <pic:spPr>
                    <a:xfrm>
                      <a:off x="0" y="0"/>
                      <a:ext cx="265620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4A0EA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黑体" w:hAnsi="黑体" w:eastAsia="黑体" w:cs="黑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4"/>
          <w:szCs w:val="32"/>
          <w:lang w:val="en-US" w:eastAsia="zh-CN"/>
        </w:rPr>
        <w:drawing>
          <wp:inline distT="0" distB="0" distL="114300" distR="114300">
            <wp:extent cx="5213985" cy="2160270"/>
            <wp:effectExtent l="0" t="0" r="13335" b="3810"/>
            <wp:docPr id="6" name="图片 6" descr="d5b4a156a0544c125aefca20b7ac44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5b4a156a0544c125aefca20b7ac44aa"/>
                    <pic:cNvPicPr>
                      <a:picLocks noChangeAspect="1"/>
                    </pic:cNvPicPr>
                  </pic:nvPicPr>
                  <pic:blipFill>
                    <a:blip r:embed="rId13"/>
                    <a:srcRect b="10782"/>
                    <a:stretch>
                      <a:fillRect/>
                    </a:stretch>
                  </pic:blipFill>
                  <pic:spPr>
                    <a:xfrm>
                      <a:off x="0" y="0"/>
                      <a:ext cx="521398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F747B">
      <w:pPr>
        <w:pStyle w:val="5"/>
        <w:widowControl w:val="0"/>
        <w:numPr>
          <w:ilvl w:val="0"/>
          <w:numId w:val="0"/>
        </w:numPr>
        <w:spacing w:line="360" w:lineRule="auto"/>
        <w:jc w:val="center"/>
        <w:rPr>
          <w:rFonts w:hint="default" w:ascii="黑体" w:hAnsi="黑体" w:eastAsia="黑体" w:cs="黑体"/>
          <w:b w:val="0"/>
          <w:bCs w:val="0"/>
          <w:sz w:val="24"/>
          <w:szCs w:val="32"/>
          <w:lang w:val="en-US" w:eastAsia="zh-CN"/>
        </w:rPr>
      </w:pPr>
      <w:r>
        <w:t xml:space="preserve">图 </w:t>
      </w:r>
      <w:r>
        <w:rPr>
          <w:rFonts w:hint="eastAsia"/>
          <w:lang w:val="en-US" w:eastAsia="zh-CN"/>
        </w:rPr>
        <w:t>9  被动式措施分析图（局部）</w:t>
      </w:r>
    </w:p>
    <w:p w14:paraId="0B678579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黑体" w:hAnsi="黑体" w:eastAsia="黑体" w:cs="黑体"/>
          <w:b w:val="0"/>
          <w:bCs w:val="0"/>
          <w:sz w:val="24"/>
          <w:szCs w:val="32"/>
          <w:lang w:val="en-US" w:eastAsia="zh-CN"/>
        </w:rPr>
      </w:pPr>
    </w:p>
    <w:p w14:paraId="3CCFB822">
      <w:pPr>
        <w:widowControl w:val="0"/>
        <w:numPr>
          <w:ilvl w:val="0"/>
          <w:numId w:val="6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 全装配式建造体系</w:t>
      </w:r>
    </w:p>
    <w:p w14:paraId="21A30F89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预制构件范围：预制混凝土柱、预制混凝土梁、叠合楼板、预制外墙挂板、预制楼梯、预制阳台板、预制景观构件。</w:t>
      </w:r>
    </w:p>
    <w:p w14:paraId="29F6E400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连接节点：梁柱节点采用钢筋套筒灌浆连接或浆锚搭接，确保结构安全等同于现浇。节点区域采用高性能灌浆料，微膨胀、高强度。</w:t>
      </w:r>
    </w:p>
    <w:p w14:paraId="1FD29FCA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预制外墙（除双层嵌板墙外）：采用夹心保温外墙板（三明治墙板），结构层（80mm）+ 保温层（60mm挤塑聚苯板）+ 外叶板（60mm，可饰面），实现保温结构一体化，免除外墙外保温工序，延长保温寿命。</w:t>
      </w:r>
    </w:p>
    <w:p w14:paraId="0BD11DB2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内装系统：全干法作业，集成卫浴、集成厨房、架空地面系统，与主体结构分离，便于后期维护和改造。</w:t>
      </w:r>
    </w:p>
    <w:p w14:paraId="06B8A56D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32"/>
          <w:lang w:val="en-US" w:eastAsia="zh-CN"/>
        </w:rPr>
        <w:t>优势：工厂预制精度高、现场施工无湿作业（仅节点现浇）、工期缩短、建筑垃圾减少、扬尘噪音降低，最大程度保护山地生态环境。</w:t>
      </w:r>
    </w:p>
    <w:p w14:paraId="478B212D">
      <w:pPr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drawing>
          <wp:inline distT="0" distB="0" distL="114300" distR="114300">
            <wp:extent cx="5509895" cy="3927475"/>
            <wp:effectExtent l="0" t="0" r="6985" b="4445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392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7D444">
      <w:pPr>
        <w:widowControl w:val="0"/>
        <w:numPr>
          <w:ilvl w:val="0"/>
          <w:numId w:val="0"/>
        </w:numPr>
        <w:spacing w:line="360" w:lineRule="auto"/>
        <w:ind w:firstLine="400" w:firstLineChars="200"/>
        <w:jc w:val="center"/>
        <w:rPr>
          <w:rFonts w:hint="default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0"/>
          <w:szCs w:val="20"/>
          <w:lang w:val="en-US" w:eastAsia="zh-CN"/>
        </w:rPr>
        <w:t>图10</w:t>
      </w:r>
    </w:p>
    <w:p w14:paraId="7D93F457">
      <w:pPr>
        <w:numPr>
          <w:ilvl w:val="0"/>
          <w:numId w:val="1"/>
        </w:numPr>
        <w:spacing w:line="360" w:lineRule="auto"/>
        <w:jc w:val="both"/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景观与室内设计导则</w:t>
      </w:r>
    </w:p>
    <w:p w14:paraId="12E178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）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景观设计</w:t>
      </w:r>
    </w:p>
    <w:p w14:paraId="13DBAC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）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核心设计原则</w:t>
      </w:r>
    </w:p>
    <w:p w14:paraId="65B929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以原生茶园保护为基底，遵循“低干预、本土化、生态化、场景化”原则，让景观成为建筑与山地茶园的自然过渡，融合茶叶生产肌理与休闲体验功能，打造与武夷山地风貌共生的茶乡景观体系，所有景观营造均避免大规模土方作业，保护场地原生地形与植被。</w:t>
      </w:r>
    </w:p>
    <w:p w14:paraId="59DFC2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520315" cy="1431925"/>
            <wp:effectExtent l="0" t="0" r="6985" b="3175"/>
            <wp:docPr id="9" name="图片 9" descr="图片变清晰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片变清晰 (2)"/>
                    <pic:cNvPicPr>
                      <a:picLocks noChangeAspect="1"/>
                    </pic:cNvPicPr>
                  </pic:nvPicPr>
                  <pic:blipFill>
                    <a:blip r:embed="rId15"/>
                    <a:srcRect l="4265" t="8593" r="42730" b="71330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43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520315" cy="1421130"/>
            <wp:effectExtent l="0" t="0" r="6985" b="1270"/>
            <wp:docPr id="10" name="图片 10" descr="图片变清晰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图片变清晰 (2)"/>
                    <pic:cNvPicPr>
                      <a:picLocks noChangeAspect="1"/>
                    </pic:cNvPicPr>
                  </pic:nvPicPr>
                  <pic:blipFill>
                    <a:blip r:embed="rId15"/>
                    <a:srcRect l="42645" t="76807" r="8336" b="5035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42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C6281">
      <w:pPr>
        <w:widowControl w:val="0"/>
        <w:numPr>
          <w:ilvl w:val="0"/>
          <w:numId w:val="0"/>
        </w:numPr>
        <w:spacing w:line="360" w:lineRule="auto"/>
        <w:ind w:firstLine="400" w:firstLineChars="20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0"/>
          <w:szCs w:val="20"/>
          <w:lang w:val="en-US" w:eastAsia="zh-CN"/>
        </w:rPr>
        <w:t>图11  山地公社不同角度效果图</w:t>
      </w:r>
    </w:p>
    <w:p w14:paraId="3B310A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）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基底景观营造</w:t>
      </w:r>
    </w:p>
    <w:p w14:paraId="7EB8C6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保留场地内所有梯田式茶园肌理，梳理茶园灌溉水系，打造茶园自然灌溉景观带；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后来景观</w:t>
      </w:r>
      <w:r>
        <w:rPr>
          <w:rFonts w:hint="eastAsia" w:ascii="宋体" w:hAnsi="宋体" w:eastAsia="宋体" w:cs="宋体"/>
          <w:sz w:val="24"/>
          <w:szCs w:val="24"/>
        </w:rPr>
        <w:t>植物种植避开茶树生长带，不影响茶叶采光与生长；茶园中设置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z</w:t>
      </w:r>
      <w:r>
        <w:rPr>
          <w:rFonts w:hint="eastAsia" w:ascii="宋体" w:hAnsi="宋体" w:eastAsia="宋体" w:cs="宋体"/>
          <w:sz w:val="24"/>
          <w:szCs w:val="24"/>
        </w:rPr>
        <w:t>茶田小径，串联茶田采摘点，既是茶叶生产作业道，也是游客沉浸式茶田体验道。</w:t>
      </w:r>
    </w:p>
    <w:p w14:paraId="03952D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879725" cy="1876425"/>
            <wp:effectExtent l="0" t="0" r="3175" b="3175"/>
            <wp:docPr id="13" name="图片 13" descr="图片变清晰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变清晰 (2)"/>
                    <pic:cNvPicPr>
                      <a:picLocks noChangeAspect="1"/>
                    </pic:cNvPicPr>
                  </pic:nvPicPr>
                  <pic:blipFill>
                    <a:blip r:embed="rId15"/>
                    <a:srcRect l="45488" t="19844" r="28057" b="68664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94F99">
      <w:pPr>
        <w:widowControl w:val="0"/>
        <w:numPr>
          <w:ilvl w:val="0"/>
          <w:numId w:val="0"/>
        </w:numPr>
        <w:spacing w:line="360" w:lineRule="auto"/>
        <w:ind w:firstLine="400" w:firstLineChars="20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0"/>
          <w:szCs w:val="20"/>
          <w:lang w:val="en-US" w:eastAsia="zh-CN"/>
        </w:rPr>
        <w:t>图12  茶田鸟瞰图</w:t>
      </w:r>
    </w:p>
    <w:p w14:paraId="7FB585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）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核心景观节点设计</w:t>
      </w:r>
    </w:p>
    <w:p w14:paraId="43E685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•生态走廊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生态走廊为项目核心景观与交通纽带，采用预制混凝土格栅板架空铺设，板体表面做露骨料自然处理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</w:rPr>
        <w:t>走廊设置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几</w:t>
      </w:r>
      <w:r>
        <w:rPr>
          <w:rFonts w:hint="eastAsia" w:ascii="宋体" w:hAnsi="宋体" w:eastAsia="宋体" w:cs="宋体"/>
          <w:sz w:val="24"/>
          <w:szCs w:val="24"/>
        </w:rPr>
        <w:t>处悬挑式观景平台，平台采用防腐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木</w:t>
      </w:r>
      <w:r>
        <w:rPr>
          <w:rFonts w:hint="eastAsia" w:ascii="宋体" w:hAnsi="宋体" w:eastAsia="宋体" w:cs="宋体"/>
          <w:sz w:val="24"/>
          <w:szCs w:val="24"/>
        </w:rPr>
        <w:t>材铺设，供人驻足眺望茶田与山地风光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 w14:paraId="51EF718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879725" cy="1718310"/>
            <wp:effectExtent l="0" t="0" r="3175" b="8890"/>
            <wp:docPr id="15" name="图片 15" descr="图片变清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图片变清晰"/>
                    <pic:cNvPicPr>
                      <a:picLocks noChangeAspect="1"/>
                    </pic:cNvPicPr>
                  </pic:nvPicPr>
                  <pic:blipFill>
                    <a:blip r:embed="rId16"/>
                    <a:srcRect r="13455" b="8149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5D280">
      <w:pPr>
        <w:widowControl w:val="0"/>
        <w:numPr>
          <w:ilvl w:val="0"/>
          <w:numId w:val="0"/>
        </w:numPr>
        <w:spacing w:line="360" w:lineRule="auto"/>
        <w:ind w:firstLine="400" w:firstLineChars="20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0"/>
          <w:szCs w:val="20"/>
          <w:lang w:val="en-US" w:eastAsia="zh-CN"/>
        </w:rPr>
        <w:t>图13  生态走廊游客赏玩展示</w:t>
      </w:r>
    </w:p>
    <w:p w14:paraId="583067B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•簇群茶庭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：在</w:t>
      </w:r>
      <w:r>
        <w:rPr>
          <w:rFonts w:hint="eastAsia" w:ascii="宋体" w:hAnsi="宋体" w:eastAsia="宋体" w:cs="宋体"/>
          <w:sz w:val="24"/>
          <w:szCs w:val="24"/>
        </w:rPr>
        <w:t>居住簇群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中设置</w:t>
      </w:r>
      <w:r>
        <w:rPr>
          <w:rFonts w:hint="eastAsia" w:ascii="宋体" w:hAnsi="宋体" w:eastAsia="宋体" w:cs="宋体"/>
          <w:sz w:val="24"/>
          <w:szCs w:val="24"/>
        </w:rPr>
        <w:t>“茶庭”，为住客提供户外品茗、休憩的私密空间，营造“竹下品茗、茶庭观山”的氛围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 w14:paraId="0C89E0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</w:p>
    <w:p w14:paraId="4484EC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879725" cy="1946275"/>
            <wp:effectExtent l="0" t="0" r="3175" b="9525"/>
            <wp:docPr id="16" name="图片 16" descr="图片变清晰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变清晰 (1)"/>
                    <pic:cNvPicPr>
                      <a:picLocks noChangeAspect="1"/>
                    </pic:cNvPicPr>
                  </pic:nvPicPr>
                  <pic:blipFill>
                    <a:blip r:embed="rId17"/>
                    <a:srcRect r="1530" b="11265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94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9BC37">
      <w:pPr>
        <w:widowControl w:val="0"/>
        <w:numPr>
          <w:ilvl w:val="0"/>
          <w:numId w:val="0"/>
        </w:numPr>
        <w:spacing w:line="360" w:lineRule="auto"/>
        <w:ind w:firstLine="400" w:firstLineChars="20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0"/>
          <w:szCs w:val="20"/>
          <w:lang w:val="en-US" w:eastAsia="zh-CN"/>
        </w:rPr>
        <w:t>图14  茶庭景观展示</w:t>
      </w:r>
    </w:p>
    <w:p w14:paraId="1E392C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•茶语工坊外围景观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茶语工坊作为公共核心，外围打造开放式茶广场，广场地面采用青石板与茶园汀步相结合的形式，保留茶田肌理，让公共空间融入生产景观；</w:t>
      </w:r>
    </w:p>
    <w:p w14:paraId="7F4E53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）</w:t>
      </w:r>
      <w:r>
        <w:rPr>
          <w:rFonts w:hint="eastAsia" w:ascii="宋体" w:hAnsi="宋体" w:eastAsia="宋体" w:cs="宋体"/>
          <w:sz w:val="24"/>
          <w:szCs w:val="24"/>
        </w:rPr>
        <w:t xml:space="preserve"> 景观设施与材料导则</w:t>
      </w:r>
    </w:p>
    <w:p w14:paraId="3C455F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所有景观设施均采用预制化、可再生、本土化材料；预制混凝土构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件</w:t>
      </w:r>
      <w:r>
        <w:rPr>
          <w:rFonts w:hint="eastAsia" w:ascii="宋体" w:hAnsi="宋体" w:eastAsia="宋体" w:cs="宋体"/>
          <w:sz w:val="24"/>
          <w:szCs w:val="24"/>
        </w:rPr>
        <w:t>均添加武夷本地建筑回收骨料，实现资源循环；木质设施选用防腐竹材、杉木等本土木材，做碳化防腐处理；景观给排水采用雨水回收系统，收集的雨水用于茶园灌溉与景观水系补水，实现水资源循环。</w:t>
      </w:r>
    </w:p>
    <w:p w14:paraId="194518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（二）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室内设计：“朴素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茶香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+现代智居”</w:t>
      </w:r>
    </w:p>
    <w:p w14:paraId="5B3A697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延续建筑“从茶园生长而出”的质朴感，融合武夷茶乡的文化与现代智慧居住需求，打造“材质本真、空间通透、功能实用、智控便捷”的室内空间，让室内空间成为连接人、茶、山的媒介，既保留乡土的温度，又具备现代旅居的舒适感，所有室内设计均遵循低碳环保原则，选用绿色环保材料，减少装修污染。</w:t>
      </w:r>
    </w:p>
    <w:p w14:paraId="4EB0B1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879725" cy="2221230"/>
            <wp:effectExtent l="0" t="0" r="3175" b="1270"/>
            <wp:docPr id="17" name="图片 17" descr="73e50dc3c5912152b3d3eed6b781b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73e50dc3c5912152b3d3eed6b781b8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22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30B76">
      <w:pPr>
        <w:widowControl w:val="0"/>
        <w:numPr>
          <w:ilvl w:val="0"/>
          <w:numId w:val="0"/>
        </w:numPr>
        <w:spacing w:line="360" w:lineRule="auto"/>
        <w:ind w:firstLine="400" w:firstLineChars="20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0"/>
          <w:szCs w:val="20"/>
          <w:lang w:val="en-US" w:eastAsia="zh-CN"/>
        </w:rPr>
        <w:t>图15  智能简洁室内装修展示</w:t>
      </w:r>
    </w:p>
    <w:p w14:paraId="30766B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）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功能空间深化设计</w:t>
      </w:r>
    </w:p>
    <w:p w14:paraId="4FD48E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（1）公共空间（茶语工坊：制茶工坊、茶文化展厅、品鉴区）</w:t>
      </w:r>
    </w:p>
    <w:p w14:paraId="54ACFF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• 制茶工坊：室内空间开敞，保留建筑高窗设计，适配制茶工艺需求；墙面采用清水混凝土工坊与品鉴区采用玻璃隔断分隔，让游客可直观观看制茶全过程，实现“生产即景观”。</w:t>
      </w:r>
    </w:p>
    <w:p w14:paraId="6BD4B7B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• 茶文化展厅：空间以简约留白为主，展墙采用硅藻泥墙面搭配原木展架；展厅内设置一处小型品茗体验区，摆放原木茶桌，供游客近距离感受茶文化。</w:t>
      </w:r>
    </w:p>
    <w:p w14:paraId="4062E9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• 品鉴区：为公共空间的核心体验区，采用大面落地窗设计，最大化引入室外茶园与山地风光，核心区域摆放大型原木茶桌，搭配竹制座椅，打造“坐看茶田，品茗观山”的体验；</w:t>
      </w:r>
    </w:p>
    <w:p w14:paraId="333B41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（2）居住空间</w:t>
      </w:r>
    </w:p>
    <w:p w14:paraId="768D8D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室内整体保持通透格局，依托家具、地面材质自然划分功能区域，原木与竹编的原生材质贯穿整体，营造质朴自然的空间质感。空间内打造茶事体验区，茶台直面户外茶田山地风光，在满足居住基础需求的同时，让茶乡美学与自然意趣融入每一处细节。</w:t>
      </w:r>
    </w:p>
    <w:p w14:paraId="712704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879725" cy="2162175"/>
            <wp:effectExtent l="0" t="0" r="3175" b="9525"/>
            <wp:docPr id="18" name="图片 18" descr="10372250ed74b29f2fa2153cf25cdd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0372250ed74b29f2fa2153cf25cdd89"/>
                    <pic:cNvPicPr>
                      <a:picLocks noChangeAspect="1"/>
                    </pic:cNvPicPr>
                  </pic:nvPicPr>
                  <pic:blipFill>
                    <a:blip r:embed="rId19"/>
                    <a:srcRect l="4694" t="5751" r="6540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2FC26">
      <w:pPr>
        <w:widowControl w:val="0"/>
        <w:numPr>
          <w:ilvl w:val="0"/>
          <w:numId w:val="0"/>
        </w:numPr>
        <w:spacing w:line="360" w:lineRule="auto"/>
        <w:ind w:firstLine="400" w:firstLineChars="20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0"/>
          <w:szCs w:val="20"/>
          <w:lang w:val="en-US" w:eastAsia="zh-CN"/>
        </w:rPr>
        <w:t>图16  居住区室内布置展示</w:t>
      </w:r>
    </w:p>
    <w:p w14:paraId="7A5AE2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67C49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9E7202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3061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sectPr>
      <w:pgSz w:w="11906" w:h="16838"/>
      <w:pgMar w:top="1440" w:right="1800" w:bottom="1440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084ED8E"/>
    <w:multiLevelType w:val="singleLevel"/>
    <w:tmpl w:val="9084ED8E"/>
    <w:lvl w:ilvl="0" w:tentative="0">
      <w:start w:val="1"/>
      <w:numFmt w:val="decimal"/>
      <w:suff w:val="nothing"/>
      <w:lvlText w:val="（%1）"/>
      <w:lvlJc w:val="left"/>
    </w:lvl>
  </w:abstractNum>
  <w:abstractNum w:abstractNumId="1">
    <w:nsid w:val="1B39273C"/>
    <w:multiLevelType w:val="singleLevel"/>
    <w:tmpl w:val="1B39273C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2">
    <w:nsid w:val="1EC19479"/>
    <w:multiLevelType w:val="singleLevel"/>
    <w:tmpl w:val="1EC19479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3">
    <w:nsid w:val="3875C0C2"/>
    <w:multiLevelType w:val="singleLevel"/>
    <w:tmpl w:val="3875C0C2"/>
    <w:lvl w:ilvl="0" w:tentative="0">
      <w:start w:val="1"/>
      <w:numFmt w:val="chineseCounting"/>
      <w:suff w:val="space"/>
      <w:lvlText w:val="%1、"/>
      <w:lvlJc w:val="left"/>
      <w:rPr>
        <w:rFonts w:hint="eastAsia"/>
      </w:rPr>
    </w:lvl>
  </w:abstractNum>
  <w:abstractNum w:abstractNumId="4">
    <w:nsid w:val="3D45AF33"/>
    <w:multiLevelType w:val="singleLevel"/>
    <w:tmpl w:val="3D45AF33"/>
    <w:lvl w:ilvl="0" w:tentative="0">
      <w:start w:val="1"/>
      <w:numFmt w:val="decimal"/>
      <w:suff w:val="space"/>
      <w:lvlText w:val="（%1）"/>
      <w:lvlJc w:val="left"/>
    </w:lvl>
  </w:abstractNum>
  <w:abstractNum w:abstractNumId="5">
    <w:nsid w:val="45C4572B"/>
    <w:multiLevelType w:val="multilevel"/>
    <w:tmpl w:val="45C4572B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 w:cs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 w:cs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 w:cs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 w:cs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 w:cs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 w:cs="Wingdings"/>
        <w:sz w:val="20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9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6687ED8"/>
    <w:rsid w:val="01E826E2"/>
    <w:rsid w:val="02EA5E64"/>
    <w:rsid w:val="0B1F5DFE"/>
    <w:rsid w:val="0F672256"/>
    <w:rsid w:val="169B423D"/>
    <w:rsid w:val="1D3849FD"/>
    <w:rsid w:val="21031370"/>
    <w:rsid w:val="255567F7"/>
    <w:rsid w:val="27E06D3B"/>
    <w:rsid w:val="37766623"/>
    <w:rsid w:val="3F094F7A"/>
    <w:rsid w:val="3F4B54B4"/>
    <w:rsid w:val="3FF2253A"/>
    <w:rsid w:val="489F6130"/>
    <w:rsid w:val="4B6724D4"/>
    <w:rsid w:val="4ED97DE9"/>
    <w:rsid w:val="4F287EB6"/>
    <w:rsid w:val="56A46A8E"/>
    <w:rsid w:val="59D87EF7"/>
    <w:rsid w:val="5BB0532E"/>
    <w:rsid w:val="5BFB3733"/>
    <w:rsid w:val="5F4B0427"/>
    <w:rsid w:val="60254083"/>
    <w:rsid w:val="60A73A4C"/>
    <w:rsid w:val="66687ED8"/>
    <w:rsid w:val="6CE841DA"/>
    <w:rsid w:val="75DB589D"/>
    <w:rsid w:val="787637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paragraph" w:styleId="3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paragraph" w:styleId="4">
    <w:name w:val="heading 4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4"/>
      <w:szCs w:val="24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6">
    <w:name w:val="Normal (Web)"/>
    <w:basedOn w:val="1"/>
    <w:qFormat/>
    <w:uiPriority w:val="0"/>
    <w:rPr>
      <w:sz w:val="24"/>
    </w:rPr>
  </w:style>
  <w:style w:type="character" w:styleId="9">
    <w:name w:val="Strong"/>
    <w:basedOn w:val="8"/>
    <w:qFormat/>
    <w:uiPriority w:val="0"/>
    <w:rPr>
      <w:b/>
    </w:rPr>
  </w:style>
  <w:style w:type="character" w:styleId="10">
    <w:name w:val="Emphasis"/>
    <w:basedOn w:val="8"/>
    <w:qFormat/>
    <w:uiPriority w:val="0"/>
    <w:rPr>
      <w:i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5498</Words>
  <Characters>5675</Characters>
  <Lines>0</Lines>
  <Paragraphs>0</Paragraphs>
  <TotalTime>10</TotalTime>
  <ScaleCrop>false</ScaleCrop>
  <LinksUpToDate>false</LinksUpToDate>
  <CharactersWithSpaces>5746</CharactersWithSpaces>
  <Application>WPS Office_12.1.0.22175_F1E327BC-269C-435d-A152-05C5408002CA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2026-02-28T12:20:00Z</dcterms:created>
  <dc:creator>Luffy</dc:creator>
  <cp:lastModifiedBy>WPS_1618203120</cp:lastModifiedBy>
  <dcterms:modified xsi:type="dcterms:W3CDTF">2026-03-21T03:33:33Z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2052-12.1.0.22175</vt:lpwstr>
  </property>
  <property fmtid="{D5CDD505-2E9C-101B-9397-08002B2CF9AE}" pid="3" name="ICV">
    <vt:lpwstr>00CC771FCACA4DE892BF5A3C8B020EE4_13</vt:lpwstr>
  </property>
  <property fmtid="{D5CDD505-2E9C-101B-9397-08002B2CF9AE}" pid="4" name="KSOTemplateDocerSaveRecord">
    <vt:lpwstr>eyJoZGlkIjoiYmY3YjhjYTY4YjJkZGQwNTI3MjFjZTM0ZDJiMmU1MTQiLCJ1c2VySWQiOiIxMTk3OTg3Mzg2In0=</vt:lpwstr>
  </property>
</Properties>
</file>