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AAD59">
      <w:pPr>
        <w:pStyle w:val="3"/>
        <w:bidi w:val="0"/>
        <w:spacing w:line="360" w:lineRule="auto"/>
        <w:jc w:val="center"/>
      </w:pPr>
      <w:r>
        <w:t>建筑给排水管道、设备、设施相关标识设置说明</w:t>
      </w:r>
    </w:p>
    <w:p w14:paraId="2879A091">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为规范本建筑给排水管道、设备及设施的标识设置，实现管道介质、流向、功能及设备状态的清晰识别，便于日常运维、检修及应急处置，依据《工业管道的基本识别色、识别符号和安全标识》（GB7231-2003）、《建筑给水排水及采暖工程施工质量验收规范》（GB50242-2002）等国家现行标准，结合本建筑给排水工程设计实际，制定本标识设置说明，本说明适用于建筑内所有给排水管道、水泵、水箱、卫生器具、阀门、井室等相关设施设备的标识设置。</w:t>
      </w:r>
    </w:p>
    <w:p w14:paraId="50213710">
      <w:pPr>
        <w:pStyle w:val="5"/>
        <w:numPr>
          <w:ilvl w:val="0"/>
          <w:numId w:val="1"/>
        </w:numPr>
        <w:bidi w:val="0"/>
        <w:spacing w:line="360" w:lineRule="auto"/>
      </w:pPr>
      <w:bookmarkStart w:id="0" w:name="heading_0"/>
      <w:r>
        <w:t>基本设置原则</w:t>
      </w:r>
      <w:bookmarkEnd w:id="0"/>
    </w:p>
    <w:p w14:paraId="24CE6A93">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1.标识设置应做到位置醒目、内容清晰、经久耐用、规范统一，标识应设置在易观察、无遮挡的部位，避免设置在管道弯头、阀门操作部位及设备运动部件处。</w:t>
      </w:r>
    </w:p>
    <w:p w14:paraId="31B3AEB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2.管道标识应与管道内介质的性质、功能匹配，设备标识应明确设备名称、型号、功能及运行状态，设施标识应清晰标注功能、编号及注意事项。</w:t>
      </w:r>
    </w:p>
    <w:p w14:paraId="4451BB1E">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3.标识采用的颜色、符号、文字应符合国家现行标准要求，文字宜采用中文，重要部位可增加英文标注，字体应工整、易识别，字号根据标识载体大小合理确定。</w:t>
      </w:r>
    </w:p>
    <w:p w14:paraId="12548AB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4.隐蔽管道在隐蔽前应在相关检修口、检查井及墙面预留标识线索；架空管道标识应设置在管道起点、终点、交叉点、转弯处、阀门两侧及穿墙孔两侧，两个标识的最小间距不大于10m。</w:t>
      </w:r>
    </w:p>
    <w:p w14:paraId="78884AE8">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5.标识材质应适应建筑内环境要求，优先选用耐腐蚀、耐磨损、防水、防火的材质（如亚克力、不锈钢、防腐PVC等），粘贴式标识应采用强力背胶，避免脱落。</w:t>
      </w:r>
    </w:p>
    <w:p w14:paraId="3D547F1E">
      <w:pPr>
        <w:pStyle w:val="5"/>
        <w:numPr>
          <w:numId w:val="0"/>
        </w:numPr>
        <w:bidi w:val="0"/>
        <w:spacing w:line="360" w:lineRule="auto"/>
        <w:rPr>
          <w:rFonts w:cstheme="minorBidi"/>
          <w:b/>
        </w:rPr>
      </w:pPr>
      <w:bookmarkStart w:id="1" w:name="heading_1"/>
      <w:r>
        <w:rPr>
          <w:rFonts w:cstheme="minorBidi"/>
          <w:b/>
        </w:rPr>
        <w:t>二、给排水管道标识设置</w:t>
      </w:r>
      <w:bookmarkEnd w:id="1"/>
    </w:p>
    <w:p w14:paraId="047CDCF8">
      <w:pPr>
        <w:spacing w:before="300" w:after="120" w:line="360" w:lineRule="auto"/>
        <w:ind w:left="0"/>
        <w:jc w:val="left"/>
        <w:outlineLvl w:val="2"/>
        <w:rPr>
          <w:rFonts w:ascii="Arial" w:hAnsi="Arial" w:eastAsia="黑体" w:cstheme="minorBidi"/>
          <w:b/>
          <w:sz w:val="24"/>
          <w:szCs w:val="21"/>
        </w:rPr>
      </w:pPr>
      <w:bookmarkStart w:id="2" w:name="heading_2"/>
      <w:r>
        <w:rPr>
          <w:rFonts w:hint="eastAsia" w:ascii="Arial" w:hAnsi="Arial" w:eastAsia="黑体" w:cstheme="minorBidi"/>
          <w:b/>
          <w:sz w:val="24"/>
          <w:szCs w:val="21"/>
          <w:lang w:val="en-US" w:eastAsia="zh-CN"/>
        </w:rPr>
        <w:t>2.1</w:t>
      </w:r>
      <w:r>
        <w:rPr>
          <w:rFonts w:ascii="Arial" w:hAnsi="Arial" w:eastAsia="黑体" w:cstheme="minorBidi"/>
          <w:b/>
          <w:sz w:val="24"/>
          <w:szCs w:val="21"/>
        </w:rPr>
        <w:t>基本识别色设置</w:t>
      </w:r>
      <w:bookmarkEnd w:id="2"/>
    </w:p>
    <w:p w14:paraId="590DBD7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管道基本识别色用于区分管道内介质类型，应按GB7231-2003要求执行，本建筑给排水管道识别色设置如下：</w:t>
      </w:r>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1324E93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93" w:hRule="atLeast"/>
        </w:trPr>
        <w:tc>
          <w:tcPr>
            <w:tcW w:w="2070" w:type="dxa"/>
            <w:tcMar>
              <w:top w:w="60" w:type="dxa"/>
              <w:left w:w="120" w:type="dxa"/>
              <w:bottom w:w="30" w:type="dxa"/>
              <w:right w:w="120" w:type="dxa"/>
            </w:tcMar>
          </w:tcPr>
          <w:p w14:paraId="19DFC73C">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管道介质类型</w:t>
            </w:r>
          </w:p>
        </w:tc>
        <w:tc>
          <w:tcPr>
            <w:tcW w:w="2070" w:type="dxa"/>
            <w:tcMar>
              <w:top w:w="60" w:type="dxa"/>
              <w:left w:w="120" w:type="dxa"/>
              <w:bottom w:w="30" w:type="dxa"/>
              <w:right w:w="120" w:type="dxa"/>
            </w:tcMar>
          </w:tcPr>
          <w:p w14:paraId="6CBAB7EA">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基本识别色</w:t>
            </w:r>
          </w:p>
        </w:tc>
        <w:tc>
          <w:tcPr>
            <w:tcW w:w="2070" w:type="dxa"/>
            <w:tcMar>
              <w:top w:w="60" w:type="dxa"/>
              <w:left w:w="120" w:type="dxa"/>
              <w:bottom w:w="30" w:type="dxa"/>
              <w:right w:w="120" w:type="dxa"/>
            </w:tcMar>
          </w:tcPr>
          <w:p w14:paraId="1EB5E9E2">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颜色标准编号</w:t>
            </w:r>
          </w:p>
        </w:tc>
        <w:tc>
          <w:tcPr>
            <w:tcW w:w="2070" w:type="dxa"/>
            <w:tcMar>
              <w:top w:w="60" w:type="dxa"/>
              <w:left w:w="120" w:type="dxa"/>
              <w:bottom w:w="30" w:type="dxa"/>
              <w:right w:w="120" w:type="dxa"/>
            </w:tcMar>
          </w:tcPr>
          <w:p w14:paraId="49757AB0">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适用管道范围</w:t>
            </w:r>
          </w:p>
        </w:tc>
      </w:tr>
      <w:tr w14:paraId="3DBCEA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43" w:hRule="atLeast"/>
        </w:trPr>
        <w:tc>
          <w:tcPr>
            <w:tcW w:w="2070" w:type="dxa"/>
            <w:tcMar>
              <w:top w:w="60" w:type="dxa"/>
              <w:left w:w="120" w:type="dxa"/>
              <w:bottom w:w="30" w:type="dxa"/>
              <w:right w:w="120" w:type="dxa"/>
            </w:tcMar>
          </w:tcPr>
          <w:p w14:paraId="4C2DF135">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生活饮用水</w:t>
            </w:r>
          </w:p>
        </w:tc>
        <w:tc>
          <w:tcPr>
            <w:tcW w:w="2070" w:type="dxa"/>
            <w:tcMar>
              <w:top w:w="60" w:type="dxa"/>
              <w:left w:w="120" w:type="dxa"/>
              <w:bottom w:w="30" w:type="dxa"/>
              <w:right w:w="120" w:type="dxa"/>
            </w:tcMar>
          </w:tcPr>
          <w:p w14:paraId="08819487">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艳绿</w:t>
            </w:r>
          </w:p>
        </w:tc>
        <w:tc>
          <w:tcPr>
            <w:tcW w:w="2070" w:type="dxa"/>
            <w:tcMar>
              <w:top w:w="60" w:type="dxa"/>
              <w:left w:w="120" w:type="dxa"/>
              <w:bottom w:w="30" w:type="dxa"/>
              <w:right w:w="120" w:type="dxa"/>
            </w:tcMar>
          </w:tcPr>
          <w:p w14:paraId="129D3951">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G03</w:t>
            </w:r>
          </w:p>
        </w:tc>
        <w:tc>
          <w:tcPr>
            <w:tcW w:w="2070" w:type="dxa"/>
            <w:tcMar>
              <w:top w:w="60" w:type="dxa"/>
              <w:left w:w="120" w:type="dxa"/>
              <w:bottom w:w="30" w:type="dxa"/>
              <w:right w:w="120" w:type="dxa"/>
            </w:tcMar>
          </w:tcPr>
          <w:p w14:paraId="14B3D11E">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室内外生活给水主管、支管、入户管</w:t>
            </w:r>
          </w:p>
        </w:tc>
      </w:tr>
      <w:tr w14:paraId="2EE7A5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760D49C">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消防给水</w:t>
            </w:r>
          </w:p>
        </w:tc>
        <w:tc>
          <w:tcPr>
            <w:tcW w:w="2070" w:type="dxa"/>
            <w:tcMar>
              <w:top w:w="60" w:type="dxa"/>
              <w:left w:w="120" w:type="dxa"/>
              <w:bottom w:w="30" w:type="dxa"/>
              <w:right w:w="120" w:type="dxa"/>
            </w:tcMar>
          </w:tcPr>
          <w:p w14:paraId="744BE076">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大红</w:t>
            </w:r>
          </w:p>
        </w:tc>
        <w:tc>
          <w:tcPr>
            <w:tcW w:w="2070" w:type="dxa"/>
            <w:tcMar>
              <w:top w:w="60" w:type="dxa"/>
              <w:left w:w="120" w:type="dxa"/>
              <w:bottom w:w="30" w:type="dxa"/>
              <w:right w:w="120" w:type="dxa"/>
            </w:tcMar>
          </w:tcPr>
          <w:p w14:paraId="45F608E3">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R03</w:t>
            </w:r>
          </w:p>
        </w:tc>
        <w:tc>
          <w:tcPr>
            <w:tcW w:w="2070" w:type="dxa"/>
            <w:tcMar>
              <w:top w:w="60" w:type="dxa"/>
              <w:left w:w="120" w:type="dxa"/>
              <w:bottom w:w="30" w:type="dxa"/>
              <w:right w:w="120" w:type="dxa"/>
            </w:tcMar>
          </w:tcPr>
          <w:p w14:paraId="0A39B11F">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消火栓给水管道、自动喷水灭火管道</w:t>
            </w:r>
          </w:p>
        </w:tc>
      </w:tr>
      <w:tr w14:paraId="28D1779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0E44BB5">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中水</w:t>
            </w:r>
          </w:p>
        </w:tc>
        <w:tc>
          <w:tcPr>
            <w:tcW w:w="2070" w:type="dxa"/>
            <w:tcMar>
              <w:top w:w="60" w:type="dxa"/>
              <w:left w:w="120" w:type="dxa"/>
              <w:bottom w:w="30" w:type="dxa"/>
              <w:right w:w="120" w:type="dxa"/>
            </w:tcMar>
          </w:tcPr>
          <w:p w14:paraId="4C761D0E">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淡蓝</w:t>
            </w:r>
          </w:p>
        </w:tc>
        <w:tc>
          <w:tcPr>
            <w:tcW w:w="2070" w:type="dxa"/>
            <w:tcMar>
              <w:top w:w="60" w:type="dxa"/>
              <w:left w:w="120" w:type="dxa"/>
              <w:bottom w:w="30" w:type="dxa"/>
              <w:right w:w="120" w:type="dxa"/>
            </w:tcMar>
          </w:tcPr>
          <w:p w14:paraId="6B70EB00">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PB06</w:t>
            </w:r>
          </w:p>
        </w:tc>
        <w:tc>
          <w:tcPr>
            <w:tcW w:w="2070" w:type="dxa"/>
            <w:tcMar>
              <w:top w:w="60" w:type="dxa"/>
              <w:left w:w="120" w:type="dxa"/>
              <w:bottom w:w="30" w:type="dxa"/>
              <w:right w:w="120" w:type="dxa"/>
            </w:tcMar>
          </w:tcPr>
          <w:p w14:paraId="6A01C953">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建筑中水供水管道</w:t>
            </w:r>
          </w:p>
        </w:tc>
      </w:tr>
      <w:tr w14:paraId="552CEF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1D6B68B">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雨水</w:t>
            </w:r>
          </w:p>
        </w:tc>
        <w:tc>
          <w:tcPr>
            <w:tcW w:w="2070" w:type="dxa"/>
            <w:tcMar>
              <w:top w:w="60" w:type="dxa"/>
              <w:left w:w="120" w:type="dxa"/>
              <w:bottom w:w="30" w:type="dxa"/>
              <w:right w:w="120" w:type="dxa"/>
            </w:tcMar>
          </w:tcPr>
          <w:p w14:paraId="2EF1FA64">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中黄</w:t>
            </w:r>
          </w:p>
        </w:tc>
        <w:tc>
          <w:tcPr>
            <w:tcW w:w="2070" w:type="dxa"/>
            <w:tcMar>
              <w:top w:w="60" w:type="dxa"/>
              <w:left w:w="120" w:type="dxa"/>
              <w:bottom w:w="30" w:type="dxa"/>
              <w:right w:w="120" w:type="dxa"/>
            </w:tcMar>
          </w:tcPr>
          <w:p w14:paraId="1B368E8A">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Y07</w:t>
            </w:r>
          </w:p>
        </w:tc>
        <w:tc>
          <w:tcPr>
            <w:tcW w:w="2070" w:type="dxa"/>
            <w:tcMar>
              <w:top w:w="60" w:type="dxa"/>
              <w:left w:w="120" w:type="dxa"/>
              <w:bottom w:w="30" w:type="dxa"/>
              <w:right w:w="120" w:type="dxa"/>
            </w:tcMar>
          </w:tcPr>
          <w:p w14:paraId="69AAA7E0">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室内外雨水收集、排放管道</w:t>
            </w:r>
          </w:p>
        </w:tc>
      </w:tr>
      <w:tr w14:paraId="13EA4C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BBBBCCB">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生活污水</w:t>
            </w:r>
          </w:p>
        </w:tc>
        <w:tc>
          <w:tcPr>
            <w:tcW w:w="2070" w:type="dxa"/>
            <w:tcMar>
              <w:top w:w="60" w:type="dxa"/>
              <w:left w:w="120" w:type="dxa"/>
              <w:bottom w:w="30" w:type="dxa"/>
              <w:right w:w="120" w:type="dxa"/>
            </w:tcMar>
          </w:tcPr>
          <w:p w14:paraId="0B299159">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棕</w:t>
            </w:r>
          </w:p>
        </w:tc>
        <w:tc>
          <w:tcPr>
            <w:tcW w:w="2070" w:type="dxa"/>
            <w:tcMar>
              <w:top w:w="60" w:type="dxa"/>
              <w:left w:w="120" w:type="dxa"/>
              <w:bottom w:w="30" w:type="dxa"/>
              <w:right w:w="120" w:type="dxa"/>
            </w:tcMar>
          </w:tcPr>
          <w:p w14:paraId="14F14DF1">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YR05</w:t>
            </w:r>
          </w:p>
        </w:tc>
        <w:tc>
          <w:tcPr>
            <w:tcW w:w="2070" w:type="dxa"/>
            <w:tcMar>
              <w:top w:w="60" w:type="dxa"/>
              <w:left w:w="120" w:type="dxa"/>
              <w:bottom w:w="30" w:type="dxa"/>
              <w:right w:w="120" w:type="dxa"/>
            </w:tcMar>
          </w:tcPr>
          <w:p w14:paraId="02905504">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室内生活污水管道、室外污水干管</w:t>
            </w:r>
          </w:p>
        </w:tc>
      </w:tr>
      <w:tr w14:paraId="3BC38B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96E97C7">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生活废水</w:t>
            </w:r>
          </w:p>
        </w:tc>
        <w:tc>
          <w:tcPr>
            <w:tcW w:w="2070" w:type="dxa"/>
            <w:tcMar>
              <w:top w:w="60" w:type="dxa"/>
              <w:left w:w="120" w:type="dxa"/>
              <w:bottom w:w="30" w:type="dxa"/>
              <w:right w:w="120" w:type="dxa"/>
            </w:tcMar>
          </w:tcPr>
          <w:p w14:paraId="57FFE3E4">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灰</w:t>
            </w:r>
          </w:p>
        </w:tc>
        <w:tc>
          <w:tcPr>
            <w:tcW w:w="2070" w:type="dxa"/>
            <w:tcMar>
              <w:top w:w="60" w:type="dxa"/>
              <w:left w:w="120" w:type="dxa"/>
              <w:bottom w:w="30" w:type="dxa"/>
              <w:right w:w="120" w:type="dxa"/>
            </w:tcMar>
          </w:tcPr>
          <w:p w14:paraId="4063FD48">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N03</w:t>
            </w:r>
          </w:p>
        </w:tc>
        <w:tc>
          <w:tcPr>
            <w:tcW w:w="2070" w:type="dxa"/>
            <w:tcMar>
              <w:top w:w="60" w:type="dxa"/>
              <w:left w:w="120" w:type="dxa"/>
              <w:bottom w:w="30" w:type="dxa"/>
              <w:right w:w="120" w:type="dxa"/>
            </w:tcMar>
          </w:tcPr>
          <w:p w14:paraId="11ACF1C4">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厨房废水、沐浴废水等排水管道</w:t>
            </w:r>
          </w:p>
        </w:tc>
      </w:tr>
      <w:tr w14:paraId="67FE8F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4C65A84">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冷却循环水</w:t>
            </w:r>
          </w:p>
        </w:tc>
        <w:tc>
          <w:tcPr>
            <w:tcW w:w="2070" w:type="dxa"/>
            <w:tcMar>
              <w:top w:w="60" w:type="dxa"/>
              <w:left w:w="120" w:type="dxa"/>
              <w:bottom w:w="30" w:type="dxa"/>
              <w:right w:w="120" w:type="dxa"/>
            </w:tcMar>
          </w:tcPr>
          <w:p w14:paraId="4F1E4566">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紫</w:t>
            </w:r>
          </w:p>
        </w:tc>
        <w:tc>
          <w:tcPr>
            <w:tcW w:w="2070" w:type="dxa"/>
            <w:tcMar>
              <w:top w:w="60" w:type="dxa"/>
              <w:left w:w="120" w:type="dxa"/>
              <w:bottom w:w="30" w:type="dxa"/>
              <w:right w:w="120" w:type="dxa"/>
            </w:tcMar>
          </w:tcPr>
          <w:p w14:paraId="739A6545">
            <w:pPr>
              <w:spacing w:before="120" w:after="120" w:line="360" w:lineRule="auto"/>
              <w:ind w:left="0" w:firstLine="420" w:firstLineChars="200"/>
              <w:jc w:val="center"/>
              <w:rPr>
                <w:rFonts w:hint="eastAsia" w:ascii="宋体" w:hAnsi="宋体" w:eastAsia="宋体" w:cs="宋体"/>
                <w:sz w:val="21"/>
                <w:szCs w:val="21"/>
              </w:rPr>
            </w:pPr>
            <w:r>
              <w:rPr>
                <w:rFonts w:hint="eastAsia" w:ascii="宋体" w:hAnsi="宋体" w:eastAsia="宋体" w:cs="宋体"/>
                <w:sz w:val="21"/>
                <w:szCs w:val="21"/>
              </w:rPr>
              <w:t>P02</w:t>
            </w:r>
          </w:p>
        </w:tc>
        <w:tc>
          <w:tcPr>
            <w:tcW w:w="2070" w:type="dxa"/>
            <w:tcMar>
              <w:top w:w="60" w:type="dxa"/>
              <w:left w:w="120" w:type="dxa"/>
              <w:bottom w:w="30" w:type="dxa"/>
              <w:right w:w="120" w:type="dxa"/>
            </w:tcMar>
          </w:tcPr>
          <w:p w14:paraId="562041D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建筑内冷却循环给水、回水管</w:t>
            </w:r>
          </w:p>
        </w:tc>
      </w:tr>
    </w:tbl>
    <w:p w14:paraId="402518AD">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管道识别色的标识方式根据现场施工条件及管道规格选择以下一种或多种组合，标识尺寸应与管道管径匹配：</w:t>
      </w:r>
    </w:p>
    <w:p w14:paraId="6601978D">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全管段标识：适用于管径较小（DN≤50mm）的管道，在管道全长涂刷基本识别色；</w:t>
      </w:r>
    </w:p>
    <w:p w14:paraId="6414B2AC">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色环标识：适用于管径较大（DN＞50mm）的管道，在管道上涂刷宽度为150mm的识别色色环，色环应与管道轴线垂直；</w:t>
      </w:r>
    </w:p>
    <w:p w14:paraId="1A09B5F6">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标牌标识：采用长方形带箭头的识别色标牌，标牌固定在管道支架或管道上，标牌箭头指向介质流向，标牌最小尺寸以清晰观察识别色及文字为准；</w:t>
      </w:r>
    </w:p>
    <w:p w14:paraId="618BFCE4">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系挂标识：适用于不便涂刷或安装固定标牌的管道，采用系挂式识别色标牌，标牌应牢固系挂在管道上。</w:t>
      </w:r>
    </w:p>
    <w:p w14:paraId="0EBEC29E">
      <w:pPr>
        <w:spacing w:before="300" w:after="120" w:line="360" w:lineRule="auto"/>
        <w:ind w:left="0"/>
        <w:jc w:val="left"/>
        <w:outlineLvl w:val="2"/>
        <w:rPr>
          <w:rFonts w:hint="eastAsia" w:ascii="Arial" w:hAnsi="Arial" w:eastAsia="黑体" w:cstheme="minorBidi"/>
          <w:b/>
          <w:sz w:val="24"/>
          <w:szCs w:val="21"/>
          <w:lang w:val="en-US" w:eastAsia="zh-CN"/>
        </w:rPr>
      </w:pPr>
      <w:bookmarkStart w:id="3" w:name="heading_3"/>
      <w:r>
        <w:rPr>
          <w:rFonts w:hint="eastAsia" w:ascii="Arial" w:hAnsi="Arial" w:eastAsia="黑体" w:cstheme="minorBidi"/>
          <w:b/>
          <w:sz w:val="24"/>
          <w:szCs w:val="21"/>
          <w:lang w:val="en-US" w:eastAsia="zh-CN"/>
        </w:rPr>
        <w:t>（二）识别符号设置</w:t>
      </w:r>
      <w:bookmarkEnd w:id="3"/>
    </w:p>
    <w:p w14:paraId="0E5AEDF9">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管道识别符号由介质名称、流向箭头、工艺参数（可选） 组成，应设置在识别色标识旁，与识别色配合使用。</w:t>
      </w:r>
    </w:p>
    <w:p w14:paraId="1FBFFB70">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介质名称：采用全称标注，如“生活给水”“消防给水”“中水”“生活污水”“雨水”等，也可同时标注化学分子式（如中水H₂O）；</w:t>
      </w:r>
    </w:p>
    <w:p w14:paraId="393BBB45">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流向箭头：采用白色或黑色箭头（与识别色形成明显对比），箭头指向介质流动方向，双向流动管道标注双向箭头；当采用带箭头的识别色标牌时，标牌箭头即为流向标识；</w:t>
      </w:r>
    </w:p>
    <w:p w14:paraId="5D003561">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工艺参数：根据运维需要，可标注管道内介质的压力、流速、温度等，如“生活给水 0.6MPa”，参数标注在介质名称下方。</w:t>
      </w:r>
    </w:p>
    <w:p w14:paraId="0AACB926">
      <w:pPr>
        <w:spacing w:before="300" w:after="120" w:line="360" w:lineRule="auto"/>
        <w:ind w:left="0"/>
        <w:jc w:val="left"/>
        <w:outlineLvl w:val="2"/>
        <w:rPr>
          <w:rFonts w:hint="eastAsia" w:ascii="Arial" w:hAnsi="Arial" w:eastAsia="黑体" w:cstheme="minorBidi"/>
          <w:b/>
          <w:sz w:val="24"/>
          <w:szCs w:val="21"/>
          <w:lang w:val="en-US" w:eastAsia="zh-CN"/>
        </w:rPr>
      </w:pPr>
      <w:bookmarkStart w:id="4" w:name="heading_4"/>
      <w:r>
        <w:rPr>
          <w:rFonts w:hint="eastAsia" w:ascii="Arial" w:hAnsi="Arial" w:eastAsia="黑体" w:cstheme="minorBidi"/>
          <w:b/>
          <w:sz w:val="24"/>
          <w:szCs w:val="21"/>
          <w:lang w:val="en-US" w:eastAsia="zh-CN"/>
        </w:rPr>
        <w:t>（三）特殊管道标识设置</w:t>
      </w:r>
      <w:bookmarkEnd w:id="4"/>
    </w:p>
    <w:p w14:paraId="457CC007">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消防专用管道：除按大红识别色设置外，应在管道上标注“消防专用”识别符号，标识部位包括管道起点、终点、阀门处及检查井内，字体为红色或白色，字号不小于20mm；</w:t>
      </w:r>
    </w:p>
    <w:p w14:paraId="1F873E4E">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中水管道：除按淡蓝识别色设置外，管道外壁应涂浅绿色标志，所有中水阀门、水表、给水栓及中水池（箱）均应标注“中水”专用标识，严禁标注“饮用水”等字样；</w:t>
      </w:r>
    </w:p>
    <w:p w14:paraId="0E8CED86">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虹吸雨水管道：在雨水识别色基础上，标注“虹吸雨水”字样，同时标注管道设计坡度及流速；</w:t>
      </w:r>
    </w:p>
    <w:p w14:paraId="29903EFA">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承压管道：在管道起点及阀门处标注设计试验压力，如“试验压力1.0MPa”；</w:t>
      </w:r>
    </w:p>
    <w:p w14:paraId="5A59DC32">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埋地管道：在检查井内的埋地管道上设置固定标牌，标注管道介质、管径、埋深及走向，同时在地面对应位置设置地面标识牌，标注“给排水管道”“严禁挖掘”等字样。</w:t>
      </w:r>
    </w:p>
    <w:p w14:paraId="47E0AA97">
      <w:pPr>
        <w:pStyle w:val="5"/>
        <w:numPr>
          <w:numId w:val="0"/>
        </w:numPr>
        <w:bidi w:val="0"/>
        <w:spacing w:line="360" w:lineRule="auto"/>
        <w:rPr>
          <w:rFonts w:cstheme="minorBidi"/>
          <w:b/>
        </w:rPr>
      </w:pPr>
      <w:bookmarkStart w:id="5" w:name="heading_5"/>
      <w:r>
        <w:rPr>
          <w:rFonts w:cstheme="minorBidi"/>
          <w:b/>
        </w:rPr>
        <w:t>三、给排水设备标识设置</w:t>
      </w:r>
      <w:bookmarkEnd w:id="5"/>
    </w:p>
    <w:p w14:paraId="031C3898">
      <w:pPr>
        <w:spacing w:before="120" w:after="120" w:line="360" w:lineRule="auto"/>
        <w:ind w:left="0" w:firstLine="420" w:firstLineChars="200"/>
        <w:jc w:val="left"/>
      </w:pPr>
      <w:r>
        <w:rPr>
          <w:rFonts w:hint="eastAsia" w:ascii="宋体" w:hAnsi="宋体" w:eastAsia="宋体" w:cs="宋体"/>
          <w:sz w:val="21"/>
          <w:szCs w:val="21"/>
        </w:rPr>
        <w:t>本建筑给排水设备包括水泵、水箱（池）、换热器、水处理设备、隔油池、化粪池等，标识应明确设备名称、型号、功能、运行状态及操作要点，设置在设备正面醒目位置或操作面板旁。</w:t>
      </w:r>
    </w:p>
    <w:p w14:paraId="4FABA6A2">
      <w:pPr>
        <w:spacing w:before="300" w:after="120" w:line="360" w:lineRule="auto"/>
        <w:ind w:left="0"/>
        <w:jc w:val="left"/>
        <w:outlineLvl w:val="2"/>
        <w:rPr>
          <w:rFonts w:hint="eastAsia" w:ascii="Arial" w:hAnsi="Arial" w:eastAsia="黑体" w:cstheme="minorBidi"/>
          <w:b/>
          <w:sz w:val="24"/>
          <w:szCs w:val="21"/>
          <w:lang w:val="en-US" w:eastAsia="zh-CN"/>
        </w:rPr>
      </w:pPr>
      <w:bookmarkStart w:id="6" w:name="heading_6"/>
      <w:r>
        <w:rPr>
          <w:rFonts w:hint="eastAsia" w:ascii="Arial" w:hAnsi="Arial" w:eastAsia="黑体" w:cstheme="minorBidi"/>
          <w:b/>
          <w:sz w:val="24"/>
          <w:szCs w:val="21"/>
          <w:lang w:val="en-US" w:eastAsia="zh-CN"/>
        </w:rPr>
        <w:t>（一）水泵设备</w:t>
      </w:r>
      <w:bookmarkEnd w:id="6"/>
    </w:p>
    <w:p w14:paraId="4BA9BE27">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每台水泵均应设置固定金属标牌，标注“设备名称（如生活给水泵1#、消防稳压泵2#）、型号、额定流量、额定扬程、额定功率、出厂编号、制造厂家、安装日期”；</w:t>
      </w:r>
    </w:p>
    <w:p w14:paraId="042A6B35">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水泵进出口管道应对应标注“进水”“出水”及流向箭头，水泵控制柜上标注与水泵对应的编号及运行状态（“运行”“停止”“备用”），采用指示灯配合文字标识，绿灯表示运行，红灯表示停止，黄灯表示备用；</w:t>
      </w:r>
    </w:p>
    <w:p w14:paraId="4DA648EE">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消防水泵应单独标注“消防专用 严禁停用”警示标识，控制柜上设置消防联动标识。</w:t>
      </w:r>
    </w:p>
    <w:p w14:paraId="13ABE890">
      <w:pPr>
        <w:spacing w:before="300" w:after="120" w:line="360" w:lineRule="auto"/>
        <w:ind w:left="0"/>
        <w:jc w:val="left"/>
        <w:outlineLvl w:val="2"/>
        <w:rPr>
          <w:rFonts w:hint="eastAsia" w:ascii="Arial" w:hAnsi="Arial" w:eastAsia="黑体" w:cstheme="minorBidi"/>
          <w:b/>
          <w:sz w:val="24"/>
          <w:szCs w:val="21"/>
          <w:lang w:val="en-US" w:eastAsia="zh-CN"/>
        </w:rPr>
      </w:pPr>
      <w:bookmarkStart w:id="7" w:name="heading_7"/>
      <w:r>
        <w:rPr>
          <w:rFonts w:hint="eastAsia" w:ascii="Arial" w:hAnsi="Arial" w:eastAsia="黑体" w:cstheme="minorBidi"/>
          <w:b/>
          <w:sz w:val="24"/>
          <w:szCs w:val="21"/>
          <w:lang w:val="en-US" w:eastAsia="zh-CN"/>
        </w:rPr>
        <w:t>（二）水箱（池）设备</w:t>
      </w:r>
      <w:bookmarkEnd w:id="7"/>
    </w:p>
    <w:p w14:paraId="582F2F84">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生活饮用水箱（池）、中水箱（池）、消防水箱（池）应在箱体（池体）外侧醒目位置设置固定标牌，标注“水箱（池）名称（如生活饮用水箱、消防储水箱）、有效容积、设计水位、材质、安装日期”；</w:t>
      </w:r>
    </w:p>
    <w:p w14:paraId="48F484F9">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生活饮用水箱（池）必须标注“生活饮用水 严禁污染”警示标识，中水箱（池）标注“中水 非饮用水”标识，消防水箱（池）标注“消防用水 严禁挪用”标识；</w:t>
      </w:r>
    </w:p>
    <w:p w14:paraId="742803F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水箱（池）的进水管、出水管、溢流管、泄水管等接口处，应对应标注接口名称及流向，如“进水”“出水”“溢流”“泄水”。</w:t>
      </w:r>
    </w:p>
    <w:p w14:paraId="788A1026">
      <w:pPr>
        <w:spacing w:before="300" w:after="120" w:line="360" w:lineRule="auto"/>
        <w:ind w:left="0"/>
        <w:jc w:val="left"/>
        <w:outlineLvl w:val="2"/>
        <w:rPr>
          <w:rFonts w:hint="eastAsia" w:ascii="Arial" w:hAnsi="Arial" w:eastAsia="黑体" w:cstheme="minorBidi"/>
          <w:b/>
          <w:sz w:val="24"/>
          <w:szCs w:val="21"/>
          <w:lang w:val="en-US" w:eastAsia="zh-CN"/>
        </w:rPr>
      </w:pPr>
      <w:bookmarkStart w:id="8" w:name="heading_8"/>
      <w:r>
        <w:rPr>
          <w:rFonts w:hint="eastAsia" w:ascii="Arial" w:hAnsi="Arial" w:eastAsia="黑体" w:cstheme="minorBidi"/>
          <w:b/>
          <w:sz w:val="24"/>
          <w:szCs w:val="21"/>
          <w:lang w:val="en-US" w:eastAsia="zh-CN"/>
        </w:rPr>
        <w:t>（三）水处理及辅助设备</w:t>
      </w:r>
      <w:bookmarkEnd w:id="8"/>
    </w:p>
    <w:p w14:paraId="5294836C">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净水器、软水器、消毒设备（如紫外线消毒器、二氧化氯发生器）等水处理设备，标注“设备名称、型号、处理能力、运行参数”，操作面板旁设置简易操作流程标识；</w:t>
      </w:r>
    </w:p>
    <w:p w14:paraId="1CD8D024">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隔油池、化粪池、沉淀池等污水处理设施，标注“设备名称、有效容积、设计处理量”，并设置“注意防臭”“定期清掏”等提示标识；</w:t>
      </w:r>
    </w:p>
    <w:p w14:paraId="1BF646EE">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换热器、循环泵等热水供应设备，标注“设备名称、额定换热能力、进出口水温”，进出口管道标注“热水进”“热水出”及流向。</w:t>
      </w:r>
    </w:p>
    <w:p w14:paraId="708DABD1">
      <w:pPr>
        <w:spacing w:before="300" w:after="120" w:line="360" w:lineRule="auto"/>
        <w:ind w:left="0"/>
        <w:jc w:val="left"/>
        <w:outlineLvl w:val="2"/>
        <w:rPr>
          <w:rFonts w:hint="eastAsia" w:ascii="Arial" w:hAnsi="Arial" w:eastAsia="黑体" w:cstheme="minorBidi"/>
          <w:b/>
          <w:sz w:val="24"/>
          <w:szCs w:val="21"/>
          <w:lang w:val="en-US" w:eastAsia="zh-CN"/>
        </w:rPr>
      </w:pPr>
      <w:bookmarkStart w:id="9" w:name="heading_9"/>
      <w:r>
        <w:rPr>
          <w:rFonts w:hint="eastAsia" w:ascii="Arial" w:hAnsi="Arial" w:eastAsia="黑体" w:cstheme="minorBidi"/>
          <w:b/>
          <w:sz w:val="24"/>
          <w:szCs w:val="21"/>
          <w:lang w:val="en-US" w:eastAsia="zh-CN"/>
        </w:rPr>
        <w:t>（四）阀门及仪表设备</w:t>
      </w:r>
      <w:bookmarkEnd w:id="9"/>
    </w:p>
    <w:p w14:paraId="654235C1">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所有阀门均应设置标识牌，标注“阀门名称、编号、规格、启闭状态”，如“生活给水总阀DN100 常开”“消防水泵出水阀DN150 常闭”，阀门手轮上可采用喷漆标注启闭方向（顺时针关、逆时针开）；</w:t>
      </w:r>
    </w:p>
    <w:p w14:paraId="2817817E">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水表、压力表、温度计、流量计等仪表，在仪表旁标注“仪表名称、测量参数、量程、精度等级”，如“生活给水水表 量程0-100m³/h”，仪表读数范围用红色标注警戒值；</w:t>
      </w:r>
    </w:p>
    <w:p w14:paraId="0E319D23">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止回阀、减压阀、安全阀等专用阀门，标注阀门类型及功能，如“消声止回阀 防止水倒流”“减压阀 出口压力0.3MPa”，安全阀标注整定压力并设置“严禁随意调整”警示标识。</w:t>
      </w:r>
    </w:p>
    <w:p w14:paraId="62F0AAF8">
      <w:pPr>
        <w:pStyle w:val="5"/>
        <w:numPr>
          <w:numId w:val="0"/>
        </w:numPr>
        <w:bidi w:val="0"/>
        <w:spacing w:line="360" w:lineRule="auto"/>
        <w:rPr>
          <w:rFonts w:cstheme="minorBidi"/>
          <w:b/>
        </w:rPr>
      </w:pPr>
      <w:bookmarkStart w:id="10" w:name="heading_10"/>
      <w:r>
        <w:rPr>
          <w:rFonts w:cstheme="minorBidi"/>
          <w:b/>
        </w:rPr>
        <w:t>四、给排水设施标识设置</w:t>
      </w:r>
      <w:bookmarkEnd w:id="10"/>
    </w:p>
    <w:p w14:paraId="184EA462">
      <w:pPr>
        <w:spacing w:before="300" w:after="120" w:line="360" w:lineRule="auto"/>
        <w:ind w:left="0"/>
        <w:jc w:val="left"/>
        <w:outlineLvl w:val="2"/>
        <w:rPr>
          <w:rFonts w:hint="eastAsia" w:ascii="Arial" w:hAnsi="Arial" w:eastAsia="黑体" w:cstheme="minorBidi"/>
          <w:b/>
          <w:sz w:val="24"/>
          <w:szCs w:val="21"/>
          <w:lang w:val="en-US" w:eastAsia="zh-CN"/>
        </w:rPr>
      </w:pPr>
      <w:bookmarkStart w:id="11" w:name="heading_11"/>
      <w:r>
        <w:rPr>
          <w:rFonts w:hint="eastAsia" w:ascii="Arial" w:hAnsi="Arial" w:eastAsia="黑体" w:cstheme="minorBidi"/>
          <w:b/>
          <w:sz w:val="24"/>
          <w:szCs w:val="21"/>
          <w:lang w:val="en-US" w:eastAsia="zh-CN"/>
        </w:rPr>
        <w:t>（一）卫生器具及排水设施</w:t>
      </w:r>
      <w:bookmarkEnd w:id="11"/>
    </w:p>
    <w:p w14:paraId="4469B9A3">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公共区域的卫生器具（如洗手盆、小便器、大便器等），在旁侧墙面设置功能标识，如“洗手盆”“残疾人专用便器”，卫生间内设置“节约用水”“随手冲水”等提示标识；</w:t>
      </w:r>
    </w:p>
    <w:p w14:paraId="08AD383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地漏、清扫口、排水栓等排水设施，在旁侧标注“地漏”“清扫口”，厨房、卫生间的地漏标注“防臭地漏”，屋面地漏标注“屋面雨水地漏”；</w:t>
      </w:r>
    </w:p>
    <w:p w14:paraId="2EFCFC90">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公共区域的饮水器、直饮水平台，标注“直饮水 符合国家饮用水标准”，并设置“请勿触摸出水口”“节约用水”等标识。</w:t>
      </w:r>
    </w:p>
    <w:p w14:paraId="1F3AD14F">
      <w:pPr>
        <w:spacing w:before="300" w:after="120" w:line="360" w:lineRule="auto"/>
        <w:ind w:left="0"/>
        <w:jc w:val="left"/>
        <w:outlineLvl w:val="2"/>
        <w:rPr>
          <w:rFonts w:hint="eastAsia" w:ascii="Arial" w:hAnsi="Arial" w:eastAsia="黑体" w:cstheme="minorBidi"/>
          <w:b/>
          <w:sz w:val="24"/>
          <w:szCs w:val="21"/>
          <w:lang w:val="en-US" w:eastAsia="zh-CN"/>
        </w:rPr>
      </w:pPr>
      <w:bookmarkStart w:id="12" w:name="heading_12"/>
      <w:r>
        <w:rPr>
          <w:rFonts w:hint="eastAsia" w:ascii="Arial" w:hAnsi="Arial" w:eastAsia="黑体" w:cstheme="minorBidi"/>
          <w:b/>
          <w:sz w:val="24"/>
          <w:szCs w:val="21"/>
          <w:lang w:val="en-US" w:eastAsia="zh-CN"/>
        </w:rPr>
        <w:t>（二）检查井及井室设施</w:t>
      </w:r>
      <w:bookmarkEnd w:id="12"/>
    </w:p>
    <w:p w14:paraId="0EFAC346">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室</w:t>
      </w:r>
      <w:r>
        <w:rPr>
          <w:rFonts w:hint="eastAsia" w:ascii="宋体" w:hAnsi="宋体" w:eastAsia="宋体" w:cs="宋体"/>
          <w:sz w:val="21"/>
          <w:szCs w:val="21"/>
        </w:rPr>
        <w:t>外给排水检查井（包括给水井、污水井、雨水井、消防井），在井盖表面采用铸字或喷漆方式标注井室类型，如“给水井”“污水井”“雨水井”“消防水泵接合器井”，并标注井室编号（如J-S-01，代表给水井-南区-01号）；</w:t>
      </w:r>
    </w:p>
    <w:p w14:paraId="6029D788">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井室内的管道、阀门、水泵接合器等设施，按本说明第二、三部分要求设置标识，井室内壁标注井室功能、管道走向及检修电话；</w:t>
      </w:r>
    </w:p>
    <w:p w14:paraId="13F9A58E">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化粪池、隔油池等地下设施，在地面对应位置设置地面标识牌，标注“化粪池”“隔油池”“严禁重型车辆碾压”“检修口位置”等信息。</w:t>
      </w:r>
    </w:p>
    <w:p w14:paraId="6F1DB213">
      <w:pPr>
        <w:spacing w:before="300" w:after="120" w:line="360" w:lineRule="auto"/>
        <w:ind w:left="0"/>
        <w:jc w:val="left"/>
        <w:outlineLvl w:val="2"/>
        <w:rPr>
          <w:rFonts w:hint="eastAsia" w:ascii="Arial" w:hAnsi="Arial" w:eastAsia="黑体" w:cstheme="minorBidi"/>
          <w:b/>
          <w:sz w:val="24"/>
          <w:szCs w:val="21"/>
          <w:lang w:val="en-US" w:eastAsia="zh-CN"/>
        </w:rPr>
      </w:pPr>
      <w:bookmarkStart w:id="13" w:name="heading_13"/>
      <w:r>
        <w:rPr>
          <w:rFonts w:hint="eastAsia" w:ascii="Arial" w:hAnsi="Arial" w:eastAsia="黑体" w:cstheme="minorBidi"/>
          <w:b/>
          <w:sz w:val="24"/>
          <w:szCs w:val="21"/>
          <w:lang w:val="en-US" w:eastAsia="zh-CN"/>
        </w:rPr>
        <w:t>（三）消防专用设施</w:t>
      </w:r>
      <w:bookmarkEnd w:id="13"/>
    </w:p>
    <w:p w14:paraId="7D2B42D2">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室内消火栓箱，在箱体正面标注“消火栓”“消防水带”“水枪”，并设置“火警119”“严禁遮挡”“严禁挪用”警示标识，箱内张贴消火栓操作流程示意图；</w:t>
      </w:r>
    </w:p>
    <w:p w14:paraId="38498D33">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室外消火栓、消防水泵接合器，在设施旁设置固定标识牌，标注“室外消火栓”“消防水泵接合器”“保护半径XXm”“维护单位及电话”，设施本体涂刷大红识别色；</w:t>
      </w:r>
    </w:p>
    <w:p w14:paraId="5734393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消防水池、消防水箱的检修口旁，设置“消防设施 专人负责”“定期检查水位”等标识。</w:t>
      </w:r>
    </w:p>
    <w:p w14:paraId="7E00C89E">
      <w:pPr>
        <w:pStyle w:val="5"/>
        <w:numPr>
          <w:numId w:val="0"/>
        </w:numPr>
        <w:bidi w:val="0"/>
        <w:spacing w:line="360" w:lineRule="auto"/>
        <w:rPr>
          <w:rFonts w:cstheme="minorBidi"/>
          <w:b/>
        </w:rPr>
      </w:pPr>
      <w:bookmarkStart w:id="14" w:name="heading_14"/>
      <w:r>
        <w:rPr>
          <w:rFonts w:cstheme="minorBidi"/>
          <w:b/>
        </w:rPr>
        <w:t>五、安全标识及警示标识设置</w:t>
      </w:r>
      <w:bookmarkEnd w:id="14"/>
    </w:p>
    <w:p w14:paraId="7C701383">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对于涉及危险的给排水设施设备，如化粪池、污水池、地下检修井等，设置防中毒、防坠落警示标识，采用国家标准</w:t>
      </w:r>
      <w:bookmarkStart w:id="17" w:name="_GoBack"/>
      <w:bookmarkEnd w:id="17"/>
      <w:r>
        <w:rPr>
          <w:rFonts w:hint="eastAsia" w:ascii="宋体" w:hAnsi="宋体" w:eastAsia="宋体" w:cs="宋体"/>
          <w:sz w:val="21"/>
          <w:szCs w:val="21"/>
        </w:rPr>
        <w:t>警示符号，标注“当心有毒有害气体”“禁止入内”“必须佩戴防毒面具”等；</w:t>
      </w:r>
    </w:p>
    <w:p w14:paraId="21A29CA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高压给排水管道、设备（如高压给水泵、减压阀组）设置防高压警示标识，标注“当心高压”“严禁靠近”；</w:t>
      </w:r>
    </w:p>
    <w:p w14:paraId="6060D5DF">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给排水设备机房（如水泵房、水处理机房）设置机房名称标识牌，门口设置“机房重地 非工作人员禁止入内”“注意防潮”“注意防触电”等警示标识，机房内张贴设备布置图及应急处置流程；</w:t>
      </w:r>
    </w:p>
    <w:p w14:paraId="552FEA05">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中水系统所有设施设备，严禁设置任何与饮用水相关的标识，且必须设置“中水 非饮用水 严禁饮用”的醒目警示标识；</w:t>
      </w:r>
    </w:p>
    <w:p w14:paraId="3CABDCDB">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屋面给排水设施（如雨水斗、消防水箱），在屋面周边设置“当心坠落”“严禁攀爬”警示标识，设施旁标注“屋面雨水设施 严禁堵塞”。</w:t>
      </w:r>
    </w:p>
    <w:p w14:paraId="58F7C818">
      <w:pPr>
        <w:pStyle w:val="5"/>
        <w:numPr>
          <w:numId w:val="0"/>
        </w:numPr>
        <w:bidi w:val="0"/>
        <w:spacing w:line="360" w:lineRule="auto"/>
        <w:rPr>
          <w:rFonts w:cstheme="minorBidi"/>
          <w:b/>
        </w:rPr>
      </w:pPr>
      <w:bookmarkStart w:id="15" w:name="heading_15"/>
      <w:r>
        <w:rPr>
          <w:rFonts w:ascii="Arial" w:hAnsi="Arial" w:eastAsia="等线" w:cs="Arial"/>
          <w:b/>
          <w:sz w:val="32"/>
        </w:rPr>
        <w:t>六、标识维护与管理</w:t>
      </w:r>
      <w:bookmarkEnd w:id="15"/>
    </w:p>
    <w:p w14:paraId="2AE5A4CF">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本建筑给排水标识由物业管理单位负责日常维护与管理，建立标识台账，记录标识的位置、类型、设置时间及维护情况；</w:t>
      </w:r>
    </w:p>
    <w:p w14:paraId="6431B250">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定期对标识进行检查（每月至少1次），发现标识脱落、模糊、损坏、褪色等情况，应及时修复或更换，确保标识清晰完整；</w:t>
      </w:r>
    </w:p>
    <w:p w14:paraId="7FC44C6C">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给排水工程进行改造、检修后，应及时更新相关标识，新增管道、设备设施应按本说明要求补充设置标识，严禁擅自更改、拆除标识；</w:t>
      </w:r>
    </w:p>
    <w:p w14:paraId="13806C32">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标识的维护与更换应遵循原设置标准，保证标识的统一性和规范性，更换后的标识应做好台账记录。</w:t>
      </w:r>
    </w:p>
    <w:p w14:paraId="6650BCBA">
      <w:pPr>
        <w:pStyle w:val="5"/>
        <w:numPr>
          <w:numId w:val="0"/>
        </w:numPr>
        <w:bidi w:val="0"/>
        <w:spacing w:line="360" w:lineRule="auto"/>
      </w:pPr>
      <w:bookmarkStart w:id="16" w:name="heading_16"/>
      <w:r>
        <w:rPr>
          <w:rFonts w:ascii="Arial" w:hAnsi="Arial" w:eastAsia="等线" w:cs="Arial"/>
          <w:b/>
          <w:sz w:val="32"/>
        </w:rPr>
        <w:t>七、附则</w:t>
      </w:r>
      <w:bookmarkEnd w:id="16"/>
    </w:p>
    <w:p w14:paraId="1D902FF4">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本标识设置说明未明确的内容，应严格按照《工业管道的基本识别色、识别符号和安全标识》（GB7231-2003）、《建筑给水排水及采暖工程施工质量验收规范》（GB50242-2002）及国家现行其他相关标准执行；</w:t>
      </w:r>
    </w:p>
    <w:p w14:paraId="7989B156">
      <w:pPr>
        <w:spacing w:before="120" w:after="120"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本标识设置说明由本建筑设计单位负责解释，若因建筑使用功能调整需变更标识设置，应经设计单位确认后执行。</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A2A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92E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1C840"/>
    <w:multiLevelType w:val="singleLevel"/>
    <w:tmpl w:val="29D1C8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78551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3892</Words>
  <Characters>4091</Characters>
  <TotalTime>6</TotalTime>
  <ScaleCrop>false</ScaleCrop>
  <LinksUpToDate>false</LinksUpToDate>
  <CharactersWithSpaces>4110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2026-03-13T14:18:00Z</dcterms:created>
  <dc:creator>Apache POI</dc:creator>
  <cp:lastModifiedBy>蜗</cp:lastModifiedBy>
  <dcterms:modified xsi:type="dcterms:W3CDTF">2026-03-13T14:25:47Z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eyJoZGlkIjoiYzNhOTBiNTA2YjkyMzk5MTdmN2RhYWUxOTk0YzVkMzIiLCJ1c2VySWQiOiI4Mjk5NzI2MjEifQ==</vt:lpwstr>
  </property>
  <property fmtid="{D5CDD505-2E9C-101B-9397-08002B2CF9AE}" pid="3" name="KSOProductBuildVer">
    <vt:lpwstr>2052-12.1.0.24657</vt:lpwstr>
  </property>
  <property fmtid="{D5CDD505-2E9C-101B-9397-08002B2CF9AE}" pid="4" name="ICV">
    <vt:lpwstr>07E6458A0D7F48C6A9DD0393A1E2F2B4_12</vt:lpwstr>
  </property>
</Properties>
</file>